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16.odttf" ContentType="application/vnd.openxmlformats-officedocument.obfuscatedFont"/>
  <Override PartName="/word/fonts/font17.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B428FDF">
      <w:pPr>
        <w:spacing w:line="600" w:lineRule="exact"/>
        <w:jc w:val="center"/>
        <w:outlineLvl w:val="9"/>
        <w:rPr>
          <w:rFonts w:hint="default" w:ascii="方正小标宋简体" w:hAnsi="宋体" w:eastAsia="方正小标宋简体"/>
          <w:color w:val="auto"/>
          <w:sz w:val="72"/>
          <w:szCs w:val="72"/>
          <w:highlight w:val="none"/>
          <w:lang w:val="en-US" w:eastAsia="zh-CN"/>
        </w:rPr>
      </w:pPr>
      <w:bookmarkStart w:id="0" w:name="_Toc15396475"/>
      <w:bookmarkStart w:id="1" w:name="_Toc15377193"/>
      <w:bookmarkStart w:id="2" w:name="_Toc15396597"/>
      <w:bookmarkStart w:id="3" w:name="_Toc15378441"/>
      <w:bookmarkStart w:id="4" w:name="_Toc15377425"/>
      <w:bookmarkStart w:id="5" w:name="_Toc15306267"/>
      <w:r>
        <w:rPr>
          <w:rFonts w:hint="eastAsia" w:ascii="方正小标宋简体" w:hAnsi="宋体" w:eastAsia="方正小标宋简体"/>
          <w:color w:val="auto"/>
          <w:sz w:val="72"/>
          <w:szCs w:val="72"/>
          <w:highlight w:val="none"/>
          <w:lang w:val="en-US" w:eastAsia="zh-CN"/>
        </w:rPr>
        <w:t xml:space="preserve"> </w:t>
      </w:r>
    </w:p>
    <w:p w14:paraId="4A5FBCAA">
      <w:pPr>
        <w:spacing w:line="600" w:lineRule="exact"/>
        <w:jc w:val="center"/>
        <w:outlineLvl w:val="9"/>
        <w:rPr>
          <w:rFonts w:ascii="方正小标宋简体" w:hAnsi="宋体" w:eastAsia="方正小标宋简体"/>
          <w:color w:val="auto"/>
          <w:sz w:val="72"/>
          <w:szCs w:val="72"/>
          <w:highlight w:val="none"/>
        </w:rPr>
      </w:pPr>
    </w:p>
    <w:p w14:paraId="57E18F28">
      <w:pPr>
        <w:spacing w:line="600" w:lineRule="exact"/>
        <w:jc w:val="center"/>
        <w:outlineLvl w:val="9"/>
        <w:rPr>
          <w:rFonts w:ascii="方正小标宋简体" w:hAnsi="宋体" w:eastAsia="方正小标宋简体"/>
          <w:color w:val="auto"/>
          <w:sz w:val="72"/>
          <w:szCs w:val="72"/>
          <w:highlight w:val="none"/>
        </w:rPr>
      </w:pPr>
    </w:p>
    <w:p w14:paraId="7D52F725">
      <w:pPr>
        <w:spacing w:line="600" w:lineRule="exact"/>
        <w:jc w:val="center"/>
        <w:outlineLvl w:val="9"/>
        <w:rPr>
          <w:rFonts w:ascii="方正小标宋简体" w:hAnsi="宋体" w:eastAsia="方正小标宋简体"/>
          <w:color w:val="auto"/>
          <w:sz w:val="72"/>
          <w:szCs w:val="72"/>
          <w:highlight w:val="none"/>
        </w:rPr>
      </w:pPr>
    </w:p>
    <w:p w14:paraId="15C7EDC3">
      <w:pPr>
        <w:adjustRightInd w:val="0"/>
        <w:snapToGrid w:val="0"/>
        <w:spacing w:line="360" w:lineRule="auto"/>
        <w:jc w:val="center"/>
        <w:outlineLvl w:val="0"/>
        <w:rPr>
          <w:rFonts w:hint="eastAsia" w:ascii="方正小标宋简体" w:hAnsi="方正小标宋简体" w:eastAsia="方正小标宋简体" w:cs="方正小标宋简体"/>
          <w:color w:val="auto"/>
          <w:sz w:val="72"/>
          <w:szCs w:val="72"/>
          <w:highlight w:val="none"/>
        </w:rPr>
      </w:pPr>
      <w:bookmarkStart w:id="6" w:name="_Toc26668"/>
      <w:bookmarkStart w:id="7" w:name="_Toc7291"/>
      <w:bookmarkStart w:id="8" w:name="_Toc8362"/>
      <w:r>
        <w:rPr>
          <w:rFonts w:hint="eastAsia" w:ascii="方正小标宋简体" w:hAnsi="方正小标宋简体" w:eastAsia="方正小标宋简体" w:cs="方正小标宋简体"/>
          <w:color w:val="auto"/>
          <w:sz w:val="72"/>
          <w:szCs w:val="72"/>
          <w:highlight w:val="none"/>
        </w:rPr>
        <w:t>20</w:t>
      </w:r>
      <w:r>
        <w:rPr>
          <w:rFonts w:hint="eastAsia" w:ascii="方正小标宋简体" w:hAnsi="方正小标宋简体" w:eastAsia="方正小标宋简体" w:cs="方正小标宋简体"/>
          <w:color w:val="auto"/>
          <w:sz w:val="72"/>
          <w:szCs w:val="72"/>
          <w:highlight w:val="none"/>
          <w:lang w:val="en-US" w:eastAsia="zh-CN"/>
        </w:rPr>
        <w:t>23</w:t>
      </w:r>
      <w:r>
        <w:rPr>
          <w:rFonts w:hint="eastAsia" w:ascii="方正小标宋简体" w:hAnsi="方正小标宋简体" w:eastAsia="方正小标宋简体" w:cs="方正小标宋简体"/>
          <w:color w:val="auto"/>
          <w:sz w:val="72"/>
          <w:szCs w:val="72"/>
          <w:highlight w:val="none"/>
        </w:rPr>
        <w:t>年度</w:t>
      </w:r>
      <w:bookmarkEnd w:id="0"/>
      <w:bookmarkEnd w:id="1"/>
      <w:bookmarkEnd w:id="2"/>
      <w:bookmarkEnd w:id="3"/>
      <w:bookmarkEnd w:id="4"/>
      <w:bookmarkEnd w:id="6"/>
      <w:bookmarkEnd w:id="7"/>
      <w:bookmarkEnd w:id="8"/>
    </w:p>
    <w:bookmarkEnd w:id="5"/>
    <w:p w14:paraId="497760A4">
      <w:pPr>
        <w:adjustRightInd w:val="0"/>
        <w:snapToGrid w:val="0"/>
        <w:spacing w:line="360" w:lineRule="auto"/>
        <w:jc w:val="center"/>
        <w:outlineLvl w:val="0"/>
        <w:rPr>
          <w:rFonts w:hint="eastAsia" w:ascii="方正小标宋简体" w:hAnsi="宋体" w:eastAsia="方正小标宋简体"/>
          <w:color w:val="000000"/>
          <w:sz w:val="72"/>
          <w:szCs w:val="72"/>
        </w:rPr>
      </w:pPr>
      <w:bookmarkStart w:id="9" w:name="_Toc26834"/>
      <w:bookmarkStart w:id="10" w:name="_Toc6417"/>
      <w:bookmarkStart w:id="11" w:name="_Toc474"/>
      <w:bookmarkStart w:id="12" w:name="_Toc15396598"/>
      <w:bookmarkStart w:id="13" w:name="_Toc15377194"/>
      <w:bookmarkStart w:id="14" w:name="_Toc15396476"/>
      <w:bookmarkStart w:id="15" w:name="_Toc15378442"/>
      <w:bookmarkStart w:id="16" w:name="_Toc15377426"/>
      <w:r>
        <w:rPr>
          <w:rFonts w:hint="eastAsia" w:ascii="方正小标宋简体" w:hAnsi="宋体" w:eastAsia="方正小标宋简体"/>
          <w:color w:val="000000"/>
          <w:sz w:val="72"/>
          <w:szCs w:val="72"/>
        </w:rPr>
        <w:t>广元市</w:t>
      </w:r>
      <w:bookmarkStart w:id="17" w:name="_Toc15306268"/>
      <w:r>
        <w:rPr>
          <w:rFonts w:hint="eastAsia" w:ascii="方正小标宋简体" w:hAnsi="宋体" w:eastAsia="方正小标宋简体"/>
          <w:color w:val="000000"/>
          <w:sz w:val="72"/>
          <w:szCs w:val="72"/>
        </w:rPr>
        <w:t>发展和改革委员会</w:t>
      </w:r>
      <w:bookmarkEnd w:id="9"/>
      <w:bookmarkEnd w:id="10"/>
      <w:bookmarkEnd w:id="11"/>
    </w:p>
    <w:p w14:paraId="14B1731B">
      <w:pPr>
        <w:adjustRightInd w:val="0"/>
        <w:snapToGrid w:val="0"/>
        <w:spacing w:line="360" w:lineRule="auto"/>
        <w:jc w:val="center"/>
        <w:outlineLvl w:val="0"/>
        <w:rPr>
          <w:rFonts w:ascii="方正小标宋简体" w:hAnsi="宋体" w:eastAsia="方正小标宋简体"/>
          <w:color w:val="000000"/>
          <w:sz w:val="72"/>
          <w:szCs w:val="72"/>
        </w:rPr>
      </w:pPr>
      <w:bookmarkStart w:id="18" w:name="_Toc8522"/>
      <w:bookmarkStart w:id="19" w:name="_Toc9302"/>
      <w:bookmarkStart w:id="20" w:name="_Toc6649"/>
      <w:r>
        <w:rPr>
          <w:rFonts w:hint="eastAsia" w:ascii="方正小标宋简体" w:hAnsi="宋体" w:eastAsia="方正小标宋简体"/>
          <w:color w:val="000000"/>
          <w:sz w:val="72"/>
          <w:szCs w:val="72"/>
        </w:rPr>
        <w:t>部门决算</w:t>
      </w:r>
      <w:bookmarkEnd w:id="12"/>
      <w:bookmarkEnd w:id="13"/>
      <w:bookmarkEnd w:id="14"/>
      <w:bookmarkEnd w:id="15"/>
      <w:bookmarkEnd w:id="16"/>
      <w:bookmarkEnd w:id="17"/>
      <w:bookmarkEnd w:id="18"/>
      <w:bookmarkEnd w:id="19"/>
      <w:bookmarkEnd w:id="20"/>
    </w:p>
    <w:p w14:paraId="161D1884">
      <w:pPr>
        <w:pStyle w:val="15"/>
        <w:rPr>
          <w:color w:val="auto"/>
          <w:highlight w:val="none"/>
        </w:rPr>
      </w:pPr>
      <w:r>
        <w:rPr>
          <w:rFonts w:ascii="方正小标宋简体" w:hAnsi="宋体" w:eastAsia="方正小标宋简体"/>
          <w:color w:val="auto"/>
          <w:sz w:val="36"/>
          <w:szCs w:val="36"/>
          <w:highlight w:val="none"/>
        </w:rPr>
        <w:br w:type="page"/>
      </w:r>
    </w:p>
    <w:p w14:paraId="2643B827">
      <w:pPr>
        <w:rPr>
          <w:color w:val="auto"/>
          <w:highlight w:val="none"/>
        </w:rPr>
      </w:pPr>
    </w:p>
    <w:p w14:paraId="612F6C7F">
      <w:pPr>
        <w:widowControl/>
        <w:jc w:val="center"/>
        <w:rPr>
          <w:rFonts w:hint="eastAsia" w:ascii="方正小标宋简体" w:hAnsi="黑体" w:eastAsia="方正小标宋简体"/>
          <w:color w:val="000000"/>
          <w:sz w:val="44"/>
          <w:szCs w:val="44"/>
        </w:rPr>
      </w:pPr>
      <w:r>
        <w:rPr>
          <w:rFonts w:hint="eastAsia" w:ascii="方正小标宋简体" w:hAnsi="黑体" w:eastAsia="方正小标宋简体"/>
          <w:color w:val="000000"/>
          <w:spacing w:val="440"/>
          <w:kern w:val="0"/>
          <w:sz w:val="44"/>
          <w:szCs w:val="44"/>
          <w:fitText w:val="1760" w:id="1931967877"/>
        </w:rPr>
        <w:t>目</w:t>
      </w:r>
      <w:r>
        <w:rPr>
          <w:rFonts w:hint="eastAsia" w:ascii="方正小标宋简体" w:hAnsi="黑体" w:eastAsia="方正小标宋简体"/>
          <w:color w:val="000000"/>
          <w:spacing w:val="0"/>
          <w:kern w:val="0"/>
          <w:sz w:val="44"/>
          <w:szCs w:val="44"/>
          <w:fitText w:val="1760" w:id="1931967877"/>
        </w:rPr>
        <w:t>录</w:t>
      </w:r>
    </w:p>
    <w:p w14:paraId="0C74DD13">
      <w:pPr>
        <w:pStyle w:val="15"/>
        <w:tabs>
          <w:tab w:val="right" w:leader="dot" w:pos="8844"/>
          <w:tab w:val="clear" w:pos="8296"/>
        </w:tabs>
        <w:rPr>
          <w:rFonts w:hint="eastAsia"/>
          <w:lang w:val="en-US" w:eastAsia="zh-CN"/>
        </w:rPr>
      </w:pPr>
      <w:r>
        <w:rPr>
          <w:rFonts w:hint="eastAsia"/>
          <w:lang w:val="en-US" w:eastAsia="zh-CN"/>
        </w:rPr>
        <w:t>（公开时间2024年9月29日）</w:t>
      </w:r>
      <w:bookmarkStart w:id="21" w:name="_Toc15377196"/>
      <w:bookmarkStart w:id="22" w:name="_Toc15396599"/>
    </w:p>
    <w:sdt>
      <w:sdtPr>
        <w:rPr>
          <w:rFonts w:ascii="宋体" w:hAnsi="宋体" w:eastAsia="宋体" w:cs="Times New Roman"/>
          <w:kern w:val="2"/>
          <w:sz w:val="21"/>
          <w:szCs w:val="24"/>
          <w:lang w:val="en-US" w:eastAsia="zh-CN" w:bidi="ar-SA"/>
        </w:rPr>
        <w:id w:val="147468485"/>
        <w15:color w:val="DBDBDB"/>
        <w:docPartObj>
          <w:docPartGallery w:val="Table of Contents"/>
          <w:docPartUnique/>
        </w:docPartObj>
      </w:sdtPr>
      <w:sdtEndPr>
        <w:rPr>
          <w:rFonts w:ascii="宋体" w:hAnsi="宋体" w:eastAsia="宋体" w:cs="Times New Roman"/>
          <w:b/>
          <w:kern w:val="2"/>
          <w:sz w:val="21"/>
          <w:szCs w:val="24"/>
          <w:lang w:val="en-US" w:eastAsia="zh-CN" w:bidi="ar-SA"/>
        </w:rPr>
      </w:sdtEndPr>
      <w:sdtContent>
        <w:p w14:paraId="144F13EA">
          <w:pPr>
            <w:keepNext w:val="0"/>
            <w:keepLines w:val="0"/>
            <w:pageBreakBefore w:val="0"/>
            <w:kinsoku/>
            <w:wordWrap/>
            <w:overflowPunct/>
            <w:topLinePunct w:val="0"/>
            <w:autoSpaceDE/>
            <w:autoSpaceDN/>
            <w:bidi w:val="0"/>
            <w:adjustRightInd/>
            <w:snapToGrid/>
            <w:spacing w:before="0" w:beforeLines="0" w:after="0" w:afterLines="0" w:line="360" w:lineRule="exact"/>
            <w:ind w:left="0" w:leftChars="0" w:right="0" w:rightChars="0" w:firstLine="0" w:firstLineChars="0"/>
            <w:jc w:val="center"/>
            <w:textAlignment w:val="auto"/>
            <w:rPr>
              <w:b/>
            </w:rPr>
          </w:pPr>
          <w:r>
            <w:fldChar w:fldCharType="begin"/>
          </w:r>
          <w:r>
            <w:instrText xml:space="preserve">TOC \o "1-2" \h \u </w:instrText>
          </w:r>
          <w:r>
            <w:fldChar w:fldCharType="separate"/>
          </w:r>
        </w:p>
        <w:p w14:paraId="0BB6E966">
          <w:pPr>
            <w:pStyle w:val="47"/>
            <w:keepNext w:val="0"/>
            <w:keepLines w:val="0"/>
            <w:pageBreakBefore w:val="0"/>
            <w:tabs>
              <w:tab w:val="right" w:leader="dot" w:pos="8306"/>
            </w:tabs>
            <w:kinsoku/>
            <w:wordWrap/>
            <w:overflowPunct/>
            <w:topLinePunct w:val="0"/>
            <w:autoSpaceDE/>
            <w:autoSpaceDN/>
            <w:bidi w:val="0"/>
            <w:adjustRightInd/>
            <w:snapToGrid/>
            <w:spacing w:line="360" w:lineRule="exact"/>
            <w:textAlignment w:val="auto"/>
            <w:rPr>
              <w:b/>
            </w:rPr>
          </w:pPr>
          <w:r>
            <w:rPr>
              <w:b/>
            </w:rPr>
            <w:fldChar w:fldCharType="begin"/>
          </w:r>
          <w:r>
            <w:rPr>
              <w:b/>
            </w:rPr>
            <w:instrText xml:space="preserve"> HYPERLINK \l _Toc32221 </w:instrText>
          </w:r>
          <w:r>
            <w:rPr>
              <w:b/>
            </w:rPr>
            <w:fldChar w:fldCharType="separate"/>
          </w:r>
          <w:r>
            <w:rPr>
              <w:rFonts w:hint="eastAsia" w:ascii="黑体" w:hAnsi="黑体" w:eastAsia="黑体"/>
              <w:b/>
              <w:highlight w:val="none"/>
            </w:rPr>
            <w:t>第一部分</w:t>
          </w:r>
          <w:r>
            <w:rPr>
              <w:rFonts w:hint="eastAsia" w:ascii="黑体" w:hAnsi="黑体" w:eastAsia="黑体"/>
              <w:b/>
              <w:bCs w:val="0"/>
              <w:highlight w:val="none"/>
            </w:rPr>
            <w:t>部门概况</w:t>
          </w:r>
          <w:r>
            <w:rPr>
              <w:b/>
            </w:rPr>
            <w:tab/>
          </w:r>
          <w:r>
            <w:rPr>
              <w:b/>
            </w:rPr>
            <w:fldChar w:fldCharType="begin"/>
          </w:r>
          <w:r>
            <w:rPr>
              <w:b/>
            </w:rPr>
            <w:instrText xml:space="preserve"> PAGEREF _Toc32221 \h </w:instrText>
          </w:r>
          <w:r>
            <w:rPr>
              <w:b/>
            </w:rPr>
            <w:fldChar w:fldCharType="separate"/>
          </w:r>
          <w:r>
            <w:rPr>
              <w:b/>
            </w:rPr>
            <w:t>1</w:t>
          </w:r>
          <w:r>
            <w:rPr>
              <w:b/>
            </w:rPr>
            <w:fldChar w:fldCharType="end"/>
          </w:r>
          <w:r>
            <w:rPr>
              <w:b/>
            </w:rPr>
            <w:fldChar w:fldCharType="end"/>
          </w:r>
        </w:p>
        <w:p w14:paraId="4EE15955">
          <w:pPr>
            <w:pStyle w:val="48"/>
            <w:keepNext w:val="0"/>
            <w:keepLines w:val="0"/>
            <w:pageBreakBefore w:val="0"/>
            <w:tabs>
              <w:tab w:val="right" w:leader="dot" w:pos="8306"/>
            </w:tabs>
            <w:kinsoku/>
            <w:wordWrap/>
            <w:overflowPunct/>
            <w:topLinePunct w:val="0"/>
            <w:autoSpaceDE/>
            <w:autoSpaceDN/>
            <w:bidi w:val="0"/>
            <w:adjustRightInd/>
            <w:snapToGrid/>
            <w:spacing w:line="360" w:lineRule="exact"/>
            <w:textAlignment w:val="auto"/>
          </w:pPr>
          <w:r>
            <w:fldChar w:fldCharType="begin"/>
          </w:r>
          <w:r>
            <w:instrText xml:space="preserve"> HYPERLINK \l _Toc16311 </w:instrText>
          </w:r>
          <w:r>
            <w:fldChar w:fldCharType="separate"/>
          </w:r>
          <w:r>
            <w:rPr>
              <w:rFonts w:hint="eastAsia" w:ascii="黑体" w:hAnsi="黑体" w:eastAsia="黑体"/>
              <w:highlight w:val="none"/>
            </w:rPr>
            <w:t>一、基</w:t>
          </w:r>
          <w:r>
            <w:rPr>
              <w:rFonts w:hint="eastAsia" w:ascii="黑体" w:hAnsi="黑体" w:eastAsia="黑体"/>
              <w:bCs w:val="0"/>
              <w:highlight w:val="none"/>
            </w:rPr>
            <w:t>本职能及主要工作</w:t>
          </w:r>
          <w:r>
            <w:tab/>
          </w:r>
          <w:r>
            <w:fldChar w:fldCharType="begin"/>
          </w:r>
          <w:r>
            <w:instrText xml:space="preserve"> PAGEREF _Toc16311 \h </w:instrText>
          </w:r>
          <w:r>
            <w:fldChar w:fldCharType="separate"/>
          </w:r>
          <w:r>
            <w:t>1</w:t>
          </w:r>
          <w:r>
            <w:fldChar w:fldCharType="end"/>
          </w:r>
          <w:r>
            <w:fldChar w:fldCharType="end"/>
          </w:r>
        </w:p>
        <w:p w14:paraId="164622AF">
          <w:pPr>
            <w:pStyle w:val="48"/>
            <w:keepNext w:val="0"/>
            <w:keepLines w:val="0"/>
            <w:pageBreakBefore w:val="0"/>
            <w:tabs>
              <w:tab w:val="right" w:leader="dot" w:pos="8306"/>
            </w:tabs>
            <w:kinsoku/>
            <w:wordWrap/>
            <w:overflowPunct/>
            <w:topLinePunct w:val="0"/>
            <w:autoSpaceDE/>
            <w:autoSpaceDN/>
            <w:bidi w:val="0"/>
            <w:adjustRightInd/>
            <w:snapToGrid/>
            <w:spacing w:line="360" w:lineRule="exact"/>
            <w:textAlignment w:val="auto"/>
          </w:pPr>
          <w:r>
            <w:fldChar w:fldCharType="begin"/>
          </w:r>
          <w:r>
            <w:instrText xml:space="preserve"> HYPERLINK \l _Toc3464 </w:instrText>
          </w:r>
          <w:r>
            <w:fldChar w:fldCharType="separate"/>
          </w:r>
          <w:r>
            <w:rPr>
              <w:rFonts w:hint="eastAsia" w:ascii="黑体" w:eastAsia="黑体"/>
              <w:highlight w:val="none"/>
            </w:rPr>
            <w:t>二、</w:t>
          </w:r>
          <w:r>
            <w:rPr>
              <w:rFonts w:hint="eastAsia" w:ascii="黑体" w:hAnsi="黑体" w:eastAsia="黑体"/>
              <w:highlight w:val="none"/>
            </w:rPr>
            <w:t>机</w:t>
          </w:r>
          <w:r>
            <w:rPr>
              <w:rFonts w:hint="eastAsia" w:ascii="黑体" w:hAnsi="黑体" w:eastAsia="黑体"/>
              <w:bCs w:val="0"/>
              <w:highlight w:val="none"/>
            </w:rPr>
            <w:t>构设置</w:t>
          </w:r>
          <w:r>
            <w:tab/>
          </w:r>
          <w:r>
            <w:fldChar w:fldCharType="begin"/>
          </w:r>
          <w:r>
            <w:instrText xml:space="preserve"> PAGEREF _Toc3464 \h </w:instrText>
          </w:r>
          <w:r>
            <w:fldChar w:fldCharType="separate"/>
          </w:r>
          <w:r>
            <w:t>7</w:t>
          </w:r>
          <w:r>
            <w:fldChar w:fldCharType="end"/>
          </w:r>
          <w:r>
            <w:fldChar w:fldCharType="end"/>
          </w:r>
        </w:p>
        <w:p w14:paraId="67ADFDFD">
          <w:pPr>
            <w:pStyle w:val="47"/>
            <w:keepNext w:val="0"/>
            <w:keepLines w:val="0"/>
            <w:pageBreakBefore w:val="0"/>
            <w:tabs>
              <w:tab w:val="right" w:leader="dot" w:pos="8306"/>
            </w:tabs>
            <w:kinsoku/>
            <w:wordWrap/>
            <w:overflowPunct/>
            <w:topLinePunct w:val="0"/>
            <w:autoSpaceDE/>
            <w:autoSpaceDN/>
            <w:bidi w:val="0"/>
            <w:adjustRightInd/>
            <w:snapToGrid/>
            <w:spacing w:line="360" w:lineRule="exact"/>
            <w:textAlignment w:val="auto"/>
            <w:rPr>
              <w:b/>
            </w:rPr>
          </w:pPr>
          <w:r>
            <w:rPr>
              <w:b/>
            </w:rPr>
            <w:fldChar w:fldCharType="begin"/>
          </w:r>
          <w:r>
            <w:rPr>
              <w:b/>
            </w:rPr>
            <w:instrText xml:space="preserve"> HYPERLINK \l _Toc11749 </w:instrText>
          </w:r>
          <w:r>
            <w:rPr>
              <w:b/>
            </w:rPr>
            <w:fldChar w:fldCharType="separate"/>
          </w:r>
          <w:r>
            <w:rPr>
              <w:rFonts w:hint="eastAsia" w:ascii="黑体" w:hAnsi="黑体" w:eastAsia="黑体"/>
              <w:b/>
              <w:bCs/>
              <w:highlight w:val="none"/>
            </w:rPr>
            <w:t>第二部分</w:t>
          </w:r>
          <w:r>
            <w:rPr>
              <w:rFonts w:hint="eastAsia" w:ascii="黑体" w:hAnsi="黑体" w:eastAsia="黑体"/>
              <w:b/>
              <w:bCs/>
              <w:highlight w:val="none"/>
              <w:lang w:val="en-US" w:eastAsia="zh-CN"/>
            </w:rPr>
            <w:t>2023年度</w:t>
          </w:r>
          <w:r>
            <w:rPr>
              <w:rFonts w:hint="eastAsia" w:ascii="黑体" w:hAnsi="黑体" w:eastAsia="黑体"/>
              <w:b/>
              <w:bCs/>
              <w:highlight w:val="none"/>
            </w:rPr>
            <w:t>部门决算情况说明</w:t>
          </w:r>
          <w:r>
            <w:rPr>
              <w:b/>
            </w:rPr>
            <w:tab/>
          </w:r>
          <w:r>
            <w:rPr>
              <w:b/>
            </w:rPr>
            <w:fldChar w:fldCharType="begin"/>
          </w:r>
          <w:r>
            <w:rPr>
              <w:b/>
            </w:rPr>
            <w:instrText xml:space="preserve"> PAGEREF _Toc11749 \h </w:instrText>
          </w:r>
          <w:r>
            <w:rPr>
              <w:b/>
            </w:rPr>
            <w:fldChar w:fldCharType="separate"/>
          </w:r>
          <w:r>
            <w:rPr>
              <w:b/>
            </w:rPr>
            <w:t>15</w:t>
          </w:r>
          <w:r>
            <w:rPr>
              <w:b/>
            </w:rPr>
            <w:fldChar w:fldCharType="end"/>
          </w:r>
          <w:r>
            <w:rPr>
              <w:b/>
            </w:rPr>
            <w:fldChar w:fldCharType="end"/>
          </w:r>
        </w:p>
        <w:p w14:paraId="315D938C">
          <w:pPr>
            <w:pStyle w:val="48"/>
            <w:keepNext w:val="0"/>
            <w:keepLines w:val="0"/>
            <w:pageBreakBefore w:val="0"/>
            <w:tabs>
              <w:tab w:val="right" w:leader="dot" w:pos="8306"/>
            </w:tabs>
            <w:kinsoku/>
            <w:wordWrap/>
            <w:overflowPunct/>
            <w:topLinePunct w:val="0"/>
            <w:autoSpaceDE/>
            <w:autoSpaceDN/>
            <w:bidi w:val="0"/>
            <w:adjustRightInd/>
            <w:snapToGrid/>
            <w:spacing w:line="360" w:lineRule="exact"/>
            <w:textAlignment w:val="auto"/>
          </w:pPr>
          <w:r>
            <w:fldChar w:fldCharType="begin"/>
          </w:r>
          <w:r>
            <w:instrText xml:space="preserve"> HYPERLINK \l _Toc9104 </w:instrText>
          </w:r>
          <w:r>
            <w:fldChar w:fldCharType="separate"/>
          </w:r>
          <w:r>
            <w:rPr>
              <w:rFonts w:hint="default" w:ascii="黑体" w:hAnsi="黑体" w:eastAsia="黑体"/>
            </w:rPr>
            <w:t>一、</w:t>
          </w:r>
          <w:r>
            <w:rPr>
              <w:rFonts w:hint="eastAsia" w:ascii="黑体" w:hAnsi="黑体" w:eastAsia="黑体"/>
              <w:szCs w:val="32"/>
              <w:highlight w:val="none"/>
            </w:rPr>
            <w:t>收</w:t>
          </w:r>
          <w:r>
            <w:rPr>
              <w:rFonts w:hint="eastAsia" w:ascii="黑体" w:hAnsi="黑体" w:eastAsia="黑体"/>
              <w:highlight w:val="none"/>
            </w:rPr>
            <w:t>入支出决算总体情况说明</w:t>
          </w:r>
          <w:r>
            <w:tab/>
          </w:r>
          <w:r>
            <w:fldChar w:fldCharType="begin"/>
          </w:r>
          <w:r>
            <w:instrText xml:space="preserve"> PAGEREF _Toc9104 \h </w:instrText>
          </w:r>
          <w:r>
            <w:fldChar w:fldCharType="separate"/>
          </w:r>
          <w:r>
            <w:t>15</w:t>
          </w:r>
          <w:r>
            <w:fldChar w:fldCharType="end"/>
          </w:r>
          <w:r>
            <w:fldChar w:fldCharType="end"/>
          </w:r>
        </w:p>
        <w:p w14:paraId="100C2402">
          <w:pPr>
            <w:pStyle w:val="48"/>
            <w:keepNext w:val="0"/>
            <w:keepLines w:val="0"/>
            <w:pageBreakBefore w:val="0"/>
            <w:tabs>
              <w:tab w:val="right" w:leader="dot" w:pos="8306"/>
            </w:tabs>
            <w:kinsoku/>
            <w:wordWrap/>
            <w:overflowPunct/>
            <w:topLinePunct w:val="0"/>
            <w:autoSpaceDE/>
            <w:autoSpaceDN/>
            <w:bidi w:val="0"/>
            <w:adjustRightInd/>
            <w:snapToGrid/>
            <w:spacing w:line="360" w:lineRule="exact"/>
            <w:textAlignment w:val="auto"/>
          </w:pPr>
          <w:r>
            <w:fldChar w:fldCharType="begin"/>
          </w:r>
          <w:r>
            <w:instrText xml:space="preserve"> HYPERLINK \l _Toc8634 </w:instrText>
          </w:r>
          <w:r>
            <w:fldChar w:fldCharType="separate"/>
          </w:r>
          <w:r>
            <w:rPr>
              <w:rFonts w:hint="default" w:ascii="黑体" w:hAnsi="黑体" w:eastAsia="黑体"/>
            </w:rPr>
            <w:t>二、</w:t>
          </w:r>
          <w:r>
            <w:rPr>
              <w:rFonts w:hint="eastAsia" w:ascii="黑体" w:hAnsi="黑体" w:eastAsia="黑体"/>
              <w:szCs w:val="32"/>
              <w:highlight w:val="none"/>
            </w:rPr>
            <w:t>收</w:t>
          </w:r>
          <w:r>
            <w:rPr>
              <w:rFonts w:hint="eastAsia" w:ascii="黑体" w:hAnsi="黑体" w:eastAsia="黑体"/>
              <w:highlight w:val="none"/>
            </w:rPr>
            <w:t>入决算情况说明</w:t>
          </w:r>
          <w:r>
            <w:tab/>
          </w:r>
          <w:r>
            <w:fldChar w:fldCharType="begin"/>
          </w:r>
          <w:r>
            <w:instrText xml:space="preserve"> PAGEREF _Toc8634 \h </w:instrText>
          </w:r>
          <w:r>
            <w:fldChar w:fldCharType="separate"/>
          </w:r>
          <w:r>
            <w:t>15</w:t>
          </w:r>
          <w:r>
            <w:fldChar w:fldCharType="end"/>
          </w:r>
          <w:r>
            <w:fldChar w:fldCharType="end"/>
          </w:r>
        </w:p>
        <w:p w14:paraId="5DBC5C78">
          <w:pPr>
            <w:pStyle w:val="48"/>
            <w:keepNext w:val="0"/>
            <w:keepLines w:val="0"/>
            <w:pageBreakBefore w:val="0"/>
            <w:tabs>
              <w:tab w:val="right" w:leader="dot" w:pos="8306"/>
            </w:tabs>
            <w:kinsoku/>
            <w:wordWrap/>
            <w:overflowPunct/>
            <w:topLinePunct w:val="0"/>
            <w:autoSpaceDE/>
            <w:autoSpaceDN/>
            <w:bidi w:val="0"/>
            <w:adjustRightInd/>
            <w:snapToGrid/>
            <w:spacing w:line="360" w:lineRule="exact"/>
            <w:textAlignment w:val="auto"/>
          </w:pPr>
          <w:r>
            <w:fldChar w:fldCharType="begin"/>
          </w:r>
          <w:r>
            <w:instrText xml:space="preserve"> HYPERLINK \l _Toc15527 </w:instrText>
          </w:r>
          <w:r>
            <w:fldChar w:fldCharType="separate"/>
          </w:r>
          <w:r>
            <w:rPr>
              <w:rFonts w:hint="default" w:ascii="黑体" w:hAnsi="黑体" w:eastAsia="黑体"/>
            </w:rPr>
            <w:t>三、</w:t>
          </w:r>
          <w:r>
            <w:rPr>
              <w:rFonts w:hint="eastAsia" w:ascii="黑体" w:hAnsi="黑体" w:eastAsia="黑体"/>
              <w:szCs w:val="32"/>
              <w:highlight w:val="none"/>
            </w:rPr>
            <w:t>支</w:t>
          </w:r>
          <w:r>
            <w:rPr>
              <w:rFonts w:hint="eastAsia" w:ascii="黑体" w:hAnsi="黑体" w:eastAsia="黑体"/>
              <w:highlight w:val="none"/>
            </w:rPr>
            <w:t>出决算情况说明</w:t>
          </w:r>
          <w:r>
            <w:tab/>
          </w:r>
          <w:r>
            <w:fldChar w:fldCharType="begin"/>
          </w:r>
          <w:r>
            <w:instrText xml:space="preserve"> PAGEREF _Toc15527 \h </w:instrText>
          </w:r>
          <w:r>
            <w:fldChar w:fldCharType="separate"/>
          </w:r>
          <w:r>
            <w:t>16</w:t>
          </w:r>
          <w:r>
            <w:fldChar w:fldCharType="end"/>
          </w:r>
          <w:r>
            <w:fldChar w:fldCharType="end"/>
          </w:r>
        </w:p>
        <w:p w14:paraId="428A67EC">
          <w:pPr>
            <w:pStyle w:val="48"/>
            <w:keepNext w:val="0"/>
            <w:keepLines w:val="0"/>
            <w:pageBreakBefore w:val="0"/>
            <w:tabs>
              <w:tab w:val="right" w:leader="dot" w:pos="8306"/>
            </w:tabs>
            <w:kinsoku/>
            <w:wordWrap/>
            <w:overflowPunct/>
            <w:topLinePunct w:val="0"/>
            <w:autoSpaceDE/>
            <w:autoSpaceDN/>
            <w:bidi w:val="0"/>
            <w:adjustRightInd/>
            <w:snapToGrid/>
            <w:spacing w:line="360" w:lineRule="exact"/>
            <w:textAlignment w:val="auto"/>
          </w:pPr>
          <w:r>
            <w:fldChar w:fldCharType="begin"/>
          </w:r>
          <w:r>
            <w:instrText xml:space="preserve"> HYPERLINK \l _Toc24983 </w:instrText>
          </w:r>
          <w:r>
            <w:fldChar w:fldCharType="separate"/>
          </w:r>
          <w:r>
            <w:rPr>
              <w:rFonts w:hint="eastAsia" w:ascii="黑体" w:hAnsi="黑体" w:eastAsia="黑体"/>
              <w:szCs w:val="32"/>
              <w:highlight w:val="none"/>
            </w:rPr>
            <w:t>四、财</w:t>
          </w:r>
          <w:r>
            <w:rPr>
              <w:rFonts w:hint="eastAsia" w:ascii="黑体" w:hAnsi="黑体" w:eastAsia="黑体"/>
              <w:highlight w:val="none"/>
            </w:rPr>
            <w:t>政拨款收入支出决算总体情况说明</w:t>
          </w:r>
          <w:r>
            <w:tab/>
          </w:r>
          <w:r>
            <w:fldChar w:fldCharType="begin"/>
          </w:r>
          <w:r>
            <w:instrText xml:space="preserve"> PAGEREF _Toc24983 \h </w:instrText>
          </w:r>
          <w:r>
            <w:fldChar w:fldCharType="separate"/>
          </w:r>
          <w:r>
            <w:t>16</w:t>
          </w:r>
          <w:r>
            <w:fldChar w:fldCharType="end"/>
          </w:r>
          <w:r>
            <w:fldChar w:fldCharType="end"/>
          </w:r>
        </w:p>
        <w:p w14:paraId="4BECC039">
          <w:pPr>
            <w:pStyle w:val="48"/>
            <w:keepNext w:val="0"/>
            <w:keepLines w:val="0"/>
            <w:pageBreakBefore w:val="0"/>
            <w:tabs>
              <w:tab w:val="right" w:leader="dot" w:pos="8306"/>
            </w:tabs>
            <w:kinsoku/>
            <w:wordWrap/>
            <w:overflowPunct/>
            <w:topLinePunct w:val="0"/>
            <w:autoSpaceDE/>
            <w:autoSpaceDN/>
            <w:bidi w:val="0"/>
            <w:adjustRightInd/>
            <w:snapToGrid/>
            <w:spacing w:line="360" w:lineRule="exact"/>
            <w:textAlignment w:val="auto"/>
          </w:pPr>
          <w:r>
            <w:fldChar w:fldCharType="begin"/>
          </w:r>
          <w:r>
            <w:instrText xml:space="preserve"> HYPERLINK \l _Toc26410 </w:instrText>
          </w:r>
          <w:r>
            <w:fldChar w:fldCharType="separate"/>
          </w:r>
          <w:r>
            <w:rPr>
              <w:rFonts w:hint="eastAsia" w:ascii="黑体" w:hAnsi="黑体" w:eastAsia="黑体"/>
              <w:szCs w:val="32"/>
              <w:highlight w:val="none"/>
            </w:rPr>
            <w:t>五、一</w:t>
          </w:r>
          <w:r>
            <w:rPr>
              <w:rFonts w:hint="eastAsia" w:ascii="黑体" w:hAnsi="黑体" w:eastAsia="黑体"/>
              <w:highlight w:val="none"/>
            </w:rPr>
            <w:t>般公共预算财政拨款支出决算情况说明</w:t>
          </w:r>
          <w:r>
            <w:tab/>
          </w:r>
          <w:r>
            <w:fldChar w:fldCharType="begin"/>
          </w:r>
          <w:r>
            <w:instrText xml:space="preserve"> PAGEREF _Toc26410 \h </w:instrText>
          </w:r>
          <w:r>
            <w:fldChar w:fldCharType="separate"/>
          </w:r>
          <w:r>
            <w:t>17</w:t>
          </w:r>
          <w:r>
            <w:fldChar w:fldCharType="end"/>
          </w:r>
          <w:r>
            <w:fldChar w:fldCharType="end"/>
          </w:r>
        </w:p>
        <w:p w14:paraId="30139303">
          <w:pPr>
            <w:pStyle w:val="48"/>
            <w:keepNext w:val="0"/>
            <w:keepLines w:val="0"/>
            <w:pageBreakBefore w:val="0"/>
            <w:tabs>
              <w:tab w:val="right" w:leader="dot" w:pos="8306"/>
            </w:tabs>
            <w:kinsoku/>
            <w:wordWrap/>
            <w:overflowPunct/>
            <w:topLinePunct w:val="0"/>
            <w:autoSpaceDE/>
            <w:autoSpaceDN/>
            <w:bidi w:val="0"/>
            <w:adjustRightInd/>
            <w:snapToGrid/>
            <w:spacing w:line="360" w:lineRule="exact"/>
            <w:textAlignment w:val="auto"/>
          </w:pPr>
          <w:r>
            <w:fldChar w:fldCharType="begin"/>
          </w:r>
          <w:r>
            <w:instrText xml:space="preserve"> HYPERLINK \l _Toc4027 </w:instrText>
          </w:r>
          <w:r>
            <w:fldChar w:fldCharType="separate"/>
          </w:r>
          <w:r>
            <w:rPr>
              <w:rFonts w:hint="eastAsia" w:ascii="黑体" w:eastAsia="黑体"/>
              <w:szCs w:val="32"/>
              <w:highlight w:val="none"/>
            </w:rPr>
            <w:t>六、</w:t>
          </w:r>
          <w:r>
            <w:rPr>
              <w:rFonts w:hint="eastAsia" w:ascii="黑体" w:hAnsi="黑体" w:eastAsia="黑体"/>
              <w:szCs w:val="32"/>
              <w:highlight w:val="none"/>
            </w:rPr>
            <w:t>一</w:t>
          </w:r>
          <w:r>
            <w:rPr>
              <w:rFonts w:hint="eastAsia" w:ascii="黑体" w:hAnsi="黑体" w:eastAsia="黑体"/>
              <w:highlight w:val="none"/>
            </w:rPr>
            <w:t>般公共预算财政拨款基本支出决算情况说明</w:t>
          </w:r>
          <w:r>
            <w:tab/>
          </w:r>
          <w:r>
            <w:fldChar w:fldCharType="begin"/>
          </w:r>
          <w:r>
            <w:instrText xml:space="preserve"> PAGEREF _Toc4027 \h </w:instrText>
          </w:r>
          <w:r>
            <w:fldChar w:fldCharType="separate"/>
          </w:r>
          <w:r>
            <w:t>20</w:t>
          </w:r>
          <w:r>
            <w:fldChar w:fldCharType="end"/>
          </w:r>
          <w:r>
            <w:fldChar w:fldCharType="end"/>
          </w:r>
        </w:p>
        <w:p w14:paraId="0C504DE7">
          <w:pPr>
            <w:pStyle w:val="48"/>
            <w:keepNext w:val="0"/>
            <w:keepLines w:val="0"/>
            <w:pageBreakBefore w:val="0"/>
            <w:tabs>
              <w:tab w:val="right" w:leader="dot" w:pos="8306"/>
            </w:tabs>
            <w:kinsoku/>
            <w:wordWrap/>
            <w:overflowPunct/>
            <w:topLinePunct w:val="0"/>
            <w:autoSpaceDE/>
            <w:autoSpaceDN/>
            <w:bidi w:val="0"/>
            <w:adjustRightInd/>
            <w:snapToGrid/>
            <w:spacing w:line="360" w:lineRule="exact"/>
            <w:textAlignment w:val="auto"/>
          </w:pPr>
          <w:r>
            <w:fldChar w:fldCharType="begin"/>
          </w:r>
          <w:r>
            <w:instrText xml:space="preserve"> HYPERLINK \l _Toc11352 </w:instrText>
          </w:r>
          <w:r>
            <w:fldChar w:fldCharType="separate"/>
          </w:r>
          <w:r>
            <w:rPr>
              <w:rFonts w:hint="eastAsia" w:ascii="黑体" w:eastAsia="黑体"/>
              <w:szCs w:val="32"/>
              <w:highlight w:val="none"/>
            </w:rPr>
            <w:t>七、</w:t>
          </w:r>
          <w:r>
            <w:rPr>
              <w:rFonts w:hint="eastAsia" w:ascii="黑体" w:hAnsi="黑体" w:eastAsia="黑体"/>
              <w:highlight w:val="none"/>
            </w:rPr>
            <w:t>“三公”经费财政拨款支出决算情况说明</w:t>
          </w:r>
          <w:r>
            <w:tab/>
          </w:r>
          <w:r>
            <w:fldChar w:fldCharType="begin"/>
          </w:r>
          <w:r>
            <w:instrText xml:space="preserve"> PAGEREF _Toc11352 \h </w:instrText>
          </w:r>
          <w:r>
            <w:fldChar w:fldCharType="separate"/>
          </w:r>
          <w:r>
            <w:t>21</w:t>
          </w:r>
          <w:r>
            <w:fldChar w:fldCharType="end"/>
          </w:r>
          <w:r>
            <w:fldChar w:fldCharType="end"/>
          </w:r>
        </w:p>
        <w:p w14:paraId="21871C98">
          <w:pPr>
            <w:pStyle w:val="48"/>
            <w:keepNext w:val="0"/>
            <w:keepLines w:val="0"/>
            <w:pageBreakBefore w:val="0"/>
            <w:tabs>
              <w:tab w:val="right" w:leader="dot" w:pos="8306"/>
            </w:tabs>
            <w:kinsoku/>
            <w:wordWrap/>
            <w:overflowPunct/>
            <w:topLinePunct w:val="0"/>
            <w:autoSpaceDE/>
            <w:autoSpaceDN/>
            <w:bidi w:val="0"/>
            <w:adjustRightInd/>
            <w:snapToGrid/>
            <w:spacing w:line="360" w:lineRule="exact"/>
            <w:textAlignment w:val="auto"/>
          </w:pPr>
          <w:r>
            <w:fldChar w:fldCharType="begin"/>
          </w:r>
          <w:r>
            <w:instrText xml:space="preserve"> HYPERLINK \l _Toc3329 </w:instrText>
          </w:r>
          <w:r>
            <w:fldChar w:fldCharType="separate"/>
          </w:r>
          <w:r>
            <w:rPr>
              <w:rFonts w:hint="eastAsia" w:ascii="黑体" w:eastAsia="黑体"/>
              <w:szCs w:val="32"/>
              <w:highlight w:val="none"/>
            </w:rPr>
            <w:t>八、</w:t>
          </w:r>
          <w:r>
            <w:rPr>
              <w:rFonts w:hint="eastAsia" w:ascii="黑体" w:hAnsi="黑体" w:eastAsia="黑体"/>
              <w:highlight w:val="none"/>
            </w:rPr>
            <w:t>政府性基金预算支出决算情况说明</w:t>
          </w:r>
          <w:r>
            <w:tab/>
          </w:r>
          <w:r>
            <w:fldChar w:fldCharType="begin"/>
          </w:r>
          <w:r>
            <w:instrText xml:space="preserve"> PAGEREF _Toc3329 \h </w:instrText>
          </w:r>
          <w:r>
            <w:fldChar w:fldCharType="separate"/>
          </w:r>
          <w:r>
            <w:t>23</w:t>
          </w:r>
          <w:r>
            <w:fldChar w:fldCharType="end"/>
          </w:r>
          <w:r>
            <w:fldChar w:fldCharType="end"/>
          </w:r>
        </w:p>
        <w:p w14:paraId="346B448E">
          <w:pPr>
            <w:pStyle w:val="48"/>
            <w:keepNext w:val="0"/>
            <w:keepLines w:val="0"/>
            <w:pageBreakBefore w:val="0"/>
            <w:tabs>
              <w:tab w:val="right" w:leader="dot" w:pos="8306"/>
            </w:tabs>
            <w:kinsoku/>
            <w:wordWrap/>
            <w:overflowPunct/>
            <w:topLinePunct w:val="0"/>
            <w:autoSpaceDE/>
            <w:autoSpaceDN/>
            <w:bidi w:val="0"/>
            <w:adjustRightInd/>
            <w:snapToGrid/>
            <w:spacing w:line="360" w:lineRule="exact"/>
            <w:textAlignment w:val="auto"/>
          </w:pPr>
          <w:r>
            <w:fldChar w:fldCharType="begin"/>
          </w:r>
          <w:r>
            <w:instrText xml:space="preserve"> HYPERLINK \l _Toc6963 </w:instrText>
          </w:r>
          <w:r>
            <w:fldChar w:fldCharType="separate"/>
          </w:r>
          <w:r>
            <w:rPr>
              <w:rFonts w:hint="eastAsia" w:ascii="黑体" w:hAnsi="黑体" w:eastAsia="黑体"/>
            </w:rPr>
            <w:t>九、</w:t>
          </w:r>
          <w:r>
            <w:rPr>
              <w:rFonts w:hint="eastAsia" w:ascii="黑体" w:hAnsi="黑体" w:eastAsia="黑体"/>
              <w:highlight w:val="none"/>
            </w:rPr>
            <w:t>国有资本经营预算支出决算情况说明</w:t>
          </w:r>
          <w:r>
            <w:tab/>
          </w:r>
          <w:r>
            <w:fldChar w:fldCharType="begin"/>
          </w:r>
          <w:r>
            <w:instrText xml:space="preserve"> PAGEREF _Toc6963 \h </w:instrText>
          </w:r>
          <w:r>
            <w:fldChar w:fldCharType="separate"/>
          </w:r>
          <w:r>
            <w:t>23</w:t>
          </w:r>
          <w:r>
            <w:fldChar w:fldCharType="end"/>
          </w:r>
          <w:r>
            <w:fldChar w:fldCharType="end"/>
          </w:r>
        </w:p>
        <w:p w14:paraId="641AF08A">
          <w:pPr>
            <w:pStyle w:val="48"/>
            <w:keepNext w:val="0"/>
            <w:keepLines w:val="0"/>
            <w:pageBreakBefore w:val="0"/>
            <w:tabs>
              <w:tab w:val="right" w:leader="dot" w:pos="8306"/>
            </w:tabs>
            <w:kinsoku/>
            <w:wordWrap/>
            <w:overflowPunct/>
            <w:topLinePunct w:val="0"/>
            <w:autoSpaceDE/>
            <w:autoSpaceDN/>
            <w:bidi w:val="0"/>
            <w:adjustRightInd/>
            <w:snapToGrid/>
            <w:spacing w:line="360" w:lineRule="exact"/>
            <w:textAlignment w:val="auto"/>
          </w:pPr>
          <w:r>
            <w:fldChar w:fldCharType="begin"/>
          </w:r>
          <w:r>
            <w:instrText xml:space="preserve"> HYPERLINK \l _Toc9480 </w:instrText>
          </w:r>
          <w:r>
            <w:fldChar w:fldCharType="separate"/>
          </w:r>
          <w:r>
            <w:rPr>
              <w:rFonts w:hint="eastAsia" w:ascii="黑体" w:hAnsi="黑体" w:eastAsia="黑体"/>
            </w:rPr>
            <w:t>十、</w:t>
          </w:r>
          <w:r>
            <w:rPr>
              <w:rFonts w:hint="eastAsia" w:ascii="黑体" w:hAnsi="黑体" w:eastAsia="黑体"/>
              <w:highlight w:val="none"/>
            </w:rPr>
            <w:t>其他重要事项的情况说明</w:t>
          </w:r>
          <w:r>
            <w:tab/>
          </w:r>
          <w:r>
            <w:fldChar w:fldCharType="begin"/>
          </w:r>
          <w:r>
            <w:instrText xml:space="preserve"> PAGEREF _Toc9480 \h </w:instrText>
          </w:r>
          <w:r>
            <w:fldChar w:fldCharType="separate"/>
          </w:r>
          <w:r>
            <w:t>23</w:t>
          </w:r>
          <w:r>
            <w:fldChar w:fldCharType="end"/>
          </w:r>
          <w:r>
            <w:fldChar w:fldCharType="end"/>
          </w:r>
        </w:p>
        <w:p w14:paraId="12746A15">
          <w:pPr>
            <w:pStyle w:val="47"/>
            <w:keepNext w:val="0"/>
            <w:keepLines w:val="0"/>
            <w:pageBreakBefore w:val="0"/>
            <w:tabs>
              <w:tab w:val="right" w:leader="dot" w:pos="8306"/>
            </w:tabs>
            <w:kinsoku/>
            <w:wordWrap/>
            <w:overflowPunct/>
            <w:topLinePunct w:val="0"/>
            <w:autoSpaceDE/>
            <w:autoSpaceDN/>
            <w:bidi w:val="0"/>
            <w:adjustRightInd/>
            <w:snapToGrid/>
            <w:spacing w:line="360" w:lineRule="exact"/>
            <w:textAlignment w:val="auto"/>
            <w:rPr>
              <w:b/>
            </w:rPr>
          </w:pPr>
          <w:r>
            <w:rPr>
              <w:b/>
            </w:rPr>
            <w:fldChar w:fldCharType="begin"/>
          </w:r>
          <w:r>
            <w:rPr>
              <w:b/>
            </w:rPr>
            <w:instrText xml:space="preserve"> HYPERLINK \l _Toc23419 </w:instrText>
          </w:r>
          <w:r>
            <w:rPr>
              <w:b/>
            </w:rPr>
            <w:fldChar w:fldCharType="separate"/>
          </w:r>
          <w:r>
            <w:rPr>
              <w:rFonts w:hint="eastAsia" w:ascii="黑体" w:hAnsi="黑体" w:eastAsia="黑体"/>
              <w:b/>
            </w:rPr>
            <w:t>第三部分</w:t>
          </w:r>
          <w:r>
            <w:rPr>
              <w:rFonts w:hint="eastAsia" w:ascii="黑体" w:hAnsi="黑体" w:eastAsia="黑体"/>
              <w:b/>
              <w:szCs w:val="44"/>
              <w:highlight w:val="none"/>
            </w:rPr>
            <w:t>名</w:t>
          </w:r>
          <w:r>
            <w:rPr>
              <w:rFonts w:hint="eastAsia" w:ascii="黑体" w:hAnsi="黑体" w:eastAsia="黑体"/>
              <w:b/>
              <w:highlight w:val="none"/>
            </w:rPr>
            <w:t>词解释</w:t>
          </w:r>
          <w:r>
            <w:rPr>
              <w:b/>
            </w:rPr>
            <w:tab/>
          </w:r>
          <w:r>
            <w:rPr>
              <w:b/>
            </w:rPr>
            <w:fldChar w:fldCharType="begin"/>
          </w:r>
          <w:r>
            <w:rPr>
              <w:b/>
            </w:rPr>
            <w:instrText xml:space="preserve"> PAGEREF _Toc23419 \h </w:instrText>
          </w:r>
          <w:r>
            <w:rPr>
              <w:b/>
            </w:rPr>
            <w:fldChar w:fldCharType="separate"/>
          </w:r>
          <w:r>
            <w:rPr>
              <w:b/>
            </w:rPr>
            <w:t>26</w:t>
          </w:r>
          <w:r>
            <w:rPr>
              <w:b/>
            </w:rPr>
            <w:fldChar w:fldCharType="end"/>
          </w:r>
          <w:r>
            <w:rPr>
              <w:b/>
            </w:rPr>
            <w:fldChar w:fldCharType="end"/>
          </w:r>
        </w:p>
        <w:p w14:paraId="3137822F">
          <w:pPr>
            <w:pStyle w:val="47"/>
            <w:keepNext w:val="0"/>
            <w:keepLines w:val="0"/>
            <w:pageBreakBefore w:val="0"/>
            <w:tabs>
              <w:tab w:val="right" w:leader="dot" w:pos="8306"/>
            </w:tabs>
            <w:kinsoku/>
            <w:wordWrap/>
            <w:overflowPunct/>
            <w:topLinePunct w:val="0"/>
            <w:autoSpaceDE/>
            <w:autoSpaceDN/>
            <w:bidi w:val="0"/>
            <w:adjustRightInd/>
            <w:snapToGrid/>
            <w:spacing w:line="360" w:lineRule="exact"/>
            <w:textAlignment w:val="auto"/>
            <w:rPr>
              <w:b/>
            </w:rPr>
          </w:pPr>
          <w:r>
            <w:rPr>
              <w:b/>
            </w:rPr>
            <w:fldChar w:fldCharType="begin"/>
          </w:r>
          <w:r>
            <w:rPr>
              <w:b/>
            </w:rPr>
            <w:instrText xml:space="preserve"> HYPERLINK \l _Toc10431 </w:instrText>
          </w:r>
          <w:r>
            <w:rPr>
              <w:b/>
            </w:rPr>
            <w:fldChar w:fldCharType="separate"/>
          </w:r>
          <w:r>
            <w:rPr>
              <w:rFonts w:hint="eastAsia" w:ascii="黑体" w:hAnsi="黑体" w:eastAsia="黑体"/>
              <w:b/>
              <w:szCs w:val="44"/>
              <w:highlight w:val="none"/>
            </w:rPr>
            <w:t>第</w:t>
          </w:r>
          <w:r>
            <w:rPr>
              <w:rFonts w:hint="eastAsia" w:ascii="黑体" w:hAnsi="黑体" w:eastAsia="黑体"/>
              <w:b/>
              <w:highlight w:val="none"/>
            </w:rPr>
            <w:t>四部分附件</w:t>
          </w:r>
          <w:r>
            <w:rPr>
              <w:b/>
            </w:rPr>
            <w:tab/>
          </w:r>
          <w:r>
            <w:rPr>
              <w:b/>
            </w:rPr>
            <w:fldChar w:fldCharType="begin"/>
          </w:r>
          <w:r>
            <w:rPr>
              <w:b/>
            </w:rPr>
            <w:instrText xml:space="preserve"> PAGEREF _Toc10431 \h </w:instrText>
          </w:r>
          <w:r>
            <w:rPr>
              <w:b/>
            </w:rPr>
            <w:fldChar w:fldCharType="separate"/>
          </w:r>
          <w:r>
            <w:rPr>
              <w:b/>
            </w:rPr>
            <w:t>30</w:t>
          </w:r>
          <w:r>
            <w:rPr>
              <w:b/>
            </w:rPr>
            <w:fldChar w:fldCharType="end"/>
          </w:r>
          <w:r>
            <w:rPr>
              <w:b/>
            </w:rPr>
            <w:fldChar w:fldCharType="end"/>
          </w:r>
        </w:p>
        <w:p w14:paraId="07D379C0">
          <w:pPr>
            <w:pStyle w:val="47"/>
            <w:keepNext w:val="0"/>
            <w:keepLines w:val="0"/>
            <w:pageBreakBefore w:val="0"/>
            <w:tabs>
              <w:tab w:val="right" w:leader="dot" w:pos="8306"/>
            </w:tabs>
            <w:kinsoku/>
            <w:wordWrap/>
            <w:overflowPunct/>
            <w:topLinePunct w:val="0"/>
            <w:autoSpaceDE/>
            <w:autoSpaceDN/>
            <w:bidi w:val="0"/>
            <w:adjustRightInd/>
            <w:snapToGrid/>
            <w:spacing w:line="360" w:lineRule="exact"/>
            <w:textAlignment w:val="auto"/>
            <w:rPr>
              <w:b/>
            </w:rPr>
          </w:pPr>
          <w:r>
            <w:rPr>
              <w:b/>
            </w:rPr>
            <w:fldChar w:fldCharType="begin"/>
          </w:r>
          <w:r>
            <w:rPr>
              <w:b/>
            </w:rPr>
            <w:instrText xml:space="preserve"> HYPERLINK \l _Toc14099 </w:instrText>
          </w:r>
          <w:r>
            <w:rPr>
              <w:b/>
            </w:rPr>
            <w:fldChar w:fldCharType="separate"/>
          </w:r>
          <w:r>
            <w:rPr>
              <w:rFonts w:hint="eastAsia" w:ascii="黑体" w:hAnsi="黑体" w:eastAsia="黑体"/>
              <w:b/>
              <w:szCs w:val="44"/>
              <w:highlight w:val="none"/>
            </w:rPr>
            <w:t>第</w:t>
          </w:r>
          <w:r>
            <w:rPr>
              <w:rFonts w:hint="eastAsia" w:ascii="黑体" w:hAnsi="黑体" w:eastAsia="黑体"/>
              <w:b/>
              <w:highlight w:val="none"/>
            </w:rPr>
            <w:t>五部分附表</w:t>
          </w:r>
          <w:r>
            <w:rPr>
              <w:b/>
            </w:rPr>
            <w:tab/>
          </w:r>
          <w:r>
            <w:rPr>
              <w:b/>
            </w:rPr>
            <w:fldChar w:fldCharType="begin"/>
          </w:r>
          <w:r>
            <w:rPr>
              <w:b/>
            </w:rPr>
            <w:instrText xml:space="preserve"> PAGEREF _Toc14099 \h </w:instrText>
          </w:r>
          <w:r>
            <w:rPr>
              <w:b/>
            </w:rPr>
            <w:fldChar w:fldCharType="separate"/>
          </w:r>
          <w:r>
            <w:rPr>
              <w:b/>
            </w:rPr>
            <w:t>226</w:t>
          </w:r>
          <w:r>
            <w:rPr>
              <w:b/>
            </w:rPr>
            <w:fldChar w:fldCharType="end"/>
          </w:r>
          <w:r>
            <w:rPr>
              <w:b/>
            </w:rPr>
            <w:fldChar w:fldCharType="end"/>
          </w:r>
        </w:p>
        <w:p w14:paraId="5B86BA2C">
          <w:pPr>
            <w:pStyle w:val="48"/>
            <w:keepNext w:val="0"/>
            <w:keepLines w:val="0"/>
            <w:pageBreakBefore w:val="0"/>
            <w:tabs>
              <w:tab w:val="right" w:leader="dot" w:pos="8306"/>
            </w:tabs>
            <w:kinsoku/>
            <w:wordWrap/>
            <w:overflowPunct/>
            <w:topLinePunct w:val="0"/>
            <w:autoSpaceDE/>
            <w:autoSpaceDN/>
            <w:bidi w:val="0"/>
            <w:adjustRightInd/>
            <w:snapToGrid/>
            <w:spacing w:line="360" w:lineRule="exact"/>
            <w:textAlignment w:val="auto"/>
          </w:pPr>
          <w:r>
            <w:fldChar w:fldCharType="begin"/>
          </w:r>
          <w:r>
            <w:instrText xml:space="preserve"> HYPERLINK \l _Toc11820 </w:instrText>
          </w:r>
          <w:r>
            <w:fldChar w:fldCharType="separate"/>
          </w:r>
          <w:r>
            <w:rPr>
              <w:rFonts w:hint="eastAsia" w:ascii="仿宋" w:hAnsi="仿宋" w:eastAsia="仿宋"/>
              <w:highlight w:val="none"/>
            </w:rPr>
            <w:t>一、收</w:t>
          </w:r>
          <w:r>
            <w:rPr>
              <w:rFonts w:hint="eastAsia" w:ascii="仿宋" w:hAnsi="仿宋" w:eastAsia="仿宋"/>
              <w:bCs w:val="0"/>
              <w:highlight w:val="none"/>
            </w:rPr>
            <w:t>入支出决算总表</w:t>
          </w:r>
          <w:r>
            <w:tab/>
          </w:r>
          <w:r>
            <w:fldChar w:fldCharType="begin"/>
          </w:r>
          <w:r>
            <w:instrText xml:space="preserve"> PAGEREF _Toc11820 \h </w:instrText>
          </w:r>
          <w:r>
            <w:fldChar w:fldCharType="separate"/>
          </w:r>
          <w:r>
            <w:t>309</w:t>
          </w:r>
          <w:r>
            <w:fldChar w:fldCharType="end"/>
          </w:r>
          <w:r>
            <w:fldChar w:fldCharType="end"/>
          </w:r>
        </w:p>
        <w:p w14:paraId="7630CEE5">
          <w:pPr>
            <w:pStyle w:val="48"/>
            <w:keepNext w:val="0"/>
            <w:keepLines w:val="0"/>
            <w:pageBreakBefore w:val="0"/>
            <w:tabs>
              <w:tab w:val="right" w:leader="dot" w:pos="8306"/>
            </w:tabs>
            <w:kinsoku/>
            <w:wordWrap/>
            <w:overflowPunct/>
            <w:topLinePunct w:val="0"/>
            <w:autoSpaceDE/>
            <w:autoSpaceDN/>
            <w:bidi w:val="0"/>
            <w:adjustRightInd/>
            <w:snapToGrid/>
            <w:spacing w:line="360" w:lineRule="exact"/>
            <w:textAlignment w:val="auto"/>
          </w:pPr>
          <w:r>
            <w:fldChar w:fldCharType="begin"/>
          </w:r>
          <w:r>
            <w:instrText xml:space="preserve"> HYPERLINK \l _Toc22817 </w:instrText>
          </w:r>
          <w:r>
            <w:fldChar w:fldCharType="separate"/>
          </w:r>
          <w:r>
            <w:rPr>
              <w:rFonts w:hint="eastAsia" w:ascii="仿宋" w:hAnsi="仿宋" w:eastAsia="仿宋"/>
              <w:highlight w:val="none"/>
            </w:rPr>
            <w:t>二、收</w:t>
          </w:r>
          <w:r>
            <w:rPr>
              <w:rFonts w:hint="eastAsia" w:ascii="仿宋" w:hAnsi="仿宋" w:eastAsia="仿宋"/>
              <w:bCs w:val="0"/>
              <w:highlight w:val="none"/>
            </w:rPr>
            <w:t>入决算表</w:t>
          </w:r>
          <w:r>
            <w:tab/>
          </w:r>
          <w:r>
            <w:fldChar w:fldCharType="begin"/>
          </w:r>
          <w:r>
            <w:instrText xml:space="preserve"> PAGEREF _Toc22817 \h </w:instrText>
          </w:r>
          <w:r>
            <w:fldChar w:fldCharType="separate"/>
          </w:r>
          <w:r>
            <w:t>309</w:t>
          </w:r>
          <w:r>
            <w:fldChar w:fldCharType="end"/>
          </w:r>
          <w:r>
            <w:fldChar w:fldCharType="end"/>
          </w:r>
        </w:p>
        <w:p w14:paraId="7813474F">
          <w:pPr>
            <w:pStyle w:val="48"/>
            <w:keepNext w:val="0"/>
            <w:keepLines w:val="0"/>
            <w:pageBreakBefore w:val="0"/>
            <w:tabs>
              <w:tab w:val="right" w:leader="dot" w:pos="8306"/>
            </w:tabs>
            <w:kinsoku/>
            <w:wordWrap/>
            <w:overflowPunct/>
            <w:topLinePunct w:val="0"/>
            <w:autoSpaceDE/>
            <w:autoSpaceDN/>
            <w:bidi w:val="0"/>
            <w:adjustRightInd/>
            <w:snapToGrid/>
            <w:spacing w:line="360" w:lineRule="exact"/>
            <w:textAlignment w:val="auto"/>
          </w:pPr>
          <w:r>
            <w:fldChar w:fldCharType="begin"/>
          </w:r>
          <w:r>
            <w:instrText xml:space="preserve"> HYPERLINK \l _Toc22133 </w:instrText>
          </w:r>
          <w:r>
            <w:fldChar w:fldCharType="separate"/>
          </w:r>
          <w:r>
            <w:rPr>
              <w:rFonts w:hint="eastAsia" w:ascii="仿宋" w:hAnsi="仿宋" w:eastAsia="仿宋"/>
              <w:bCs w:val="0"/>
              <w:highlight w:val="none"/>
            </w:rPr>
            <w:t>三、</w:t>
          </w:r>
          <w:r>
            <w:rPr>
              <w:rFonts w:hint="eastAsia" w:ascii="仿宋" w:hAnsi="仿宋" w:eastAsia="仿宋"/>
              <w:highlight w:val="none"/>
            </w:rPr>
            <w:t>支</w:t>
          </w:r>
          <w:r>
            <w:rPr>
              <w:rFonts w:hint="eastAsia" w:ascii="仿宋" w:hAnsi="仿宋" w:eastAsia="仿宋"/>
              <w:bCs w:val="0"/>
              <w:highlight w:val="none"/>
            </w:rPr>
            <w:t>出决算表</w:t>
          </w:r>
          <w:r>
            <w:tab/>
          </w:r>
          <w:r>
            <w:fldChar w:fldCharType="begin"/>
          </w:r>
          <w:r>
            <w:instrText xml:space="preserve"> PAGEREF _Toc22133 \h </w:instrText>
          </w:r>
          <w:r>
            <w:fldChar w:fldCharType="separate"/>
          </w:r>
          <w:r>
            <w:t>309</w:t>
          </w:r>
          <w:r>
            <w:fldChar w:fldCharType="end"/>
          </w:r>
          <w:r>
            <w:fldChar w:fldCharType="end"/>
          </w:r>
        </w:p>
        <w:p w14:paraId="373E5FEA">
          <w:pPr>
            <w:pStyle w:val="48"/>
            <w:keepNext w:val="0"/>
            <w:keepLines w:val="0"/>
            <w:pageBreakBefore w:val="0"/>
            <w:tabs>
              <w:tab w:val="right" w:leader="dot" w:pos="8306"/>
            </w:tabs>
            <w:kinsoku/>
            <w:wordWrap/>
            <w:overflowPunct/>
            <w:topLinePunct w:val="0"/>
            <w:autoSpaceDE/>
            <w:autoSpaceDN/>
            <w:bidi w:val="0"/>
            <w:adjustRightInd/>
            <w:snapToGrid/>
            <w:spacing w:line="360" w:lineRule="exact"/>
            <w:textAlignment w:val="auto"/>
          </w:pPr>
          <w:r>
            <w:fldChar w:fldCharType="begin"/>
          </w:r>
          <w:r>
            <w:instrText xml:space="preserve"> HYPERLINK \l _Toc5904 </w:instrText>
          </w:r>
          <w:r>
            <w:fldChar w:fldCharType="separate"/>
          </w:r>
          <w:r>
            <w:rPr>
              <w:rFonts w:hint="eastAsia" w:ascii="仿宋" w:hAnsi="仿宋" w:eastAsia="仿宋"/>
              <w:bCs w:val="0"/>
              <w:highlight w:val="none"/>
            </w:rPr>
            <w:t>四、</w:t>
          </w:r>
          <w:r>
            <w:rPr>
              <w:rFonts w:hint="eastAsia" w:ascii="仿宋" w:hAnsi="仿宋" w:eastAsia="仿宋"/>
              <w:highlight w:val="none"/>
            </w:rPr>
            <w:t>财</w:t>
          </w:r>
          <w:r>
            <w:rPr>
              <w:rFonts w:hint="eastAsia" w:ascii="仿宋" w:hAnsi="仿宋" w:eastAsia="仿宋"/>
              <w:bCs w:val="0"/>
              <w:highlight w:val="none"/>
            </w:rPr>
            <w:t>政拨款收入支出决算总表</w:t>
          </w:r>
          <w:r>
            <w:tab/>
          </w:r>
          <w:r>
            <w:fldChar w:fldCharType="begin"/>
          </w:r>
          <w:r>
            <w:instrText xml:space="preserve"> PAGEREF _Toc5904 \h </w:instrText>
          </w:r>
          <w:r>
            <w:fldChar w:fldCharType="separate"/>
          </w:r>
          <w:r>
            <w:t>309</w:t>
          </w:r>
          <w:r>
            <w:fldChar w:fldCharType="end"/>
          </w:r>
          <w:r>
            <w:fldChar w:fldCharType="end"/>
          </w:r>
        </w:p>
        <w:p w14:paraId="4FEF6FCC">
          <w:pPr>
            <w:pStyle w:val="48"/>
            <w:keepNext w:val="0"/>
            <w:keepLines w:val="0"/>
            <w:pageBreakBefore w:val="0"/>
            <w:tabs>
              <w:tab w:val="right" w:leader="dot" w:pos="8306"/>
            </w:tabs>
            <w:kinsoku/>
            <w:wordWrap/>
            <w:overflowPunct/>
            <w:topLinePunct w:val="0"/>
            <w:autoSpaceDE/>
            <w:autoSpaceDN/>
            <w:bidi w:val="0"/>
            <w:adjustRightInd/>
            <w:snapToGrid/>
            <w:spacing w:line="360" w:lineRule="exact"/>
            <w:textAlignment w:val="auto"/>
          </w:pPr>
          <w:r>
            <w:fldChar w:fldCharType="begin"/>
          </w:r>
          <w:r>
            <w:instrText xml:space="preserve"> HYPERLINK \l _Toc20972 </w:instrText>
          </w:r>
          <w:r>
            <w:fldChar w:fldCharType="separate"/>
          </w:r>
          <w:r>
            <w:rPr>
              <w:rFonts w:hint="eastAsia" w:ascii="仿宋" w:hAnsi="仿宋" w:eastAsia="仿宋"/>
              <w:bCs w:val="0"/>
              <w:highlight w:val="none"/>
            </w:rPr>
            <w:t>五、</w:t>
          </w:r>
          <w:r>
            <w:rPr>
              <w:rFonts w:hint="eastAsia" w:ascii="仿宋" w:hAnsi="仿宋" w:eastAsia="仿宋"/>
              <w:highlight w:val="none"/>
            </w:rPr>
            <w:t>财</w:t>
          </w:r>
          <w:r>
            <w:rPr>
              <w:rFonts w:hint="eastAsia" w:ascii="仿宋" w:hAnsi="仿宋" w:eastAsia="仿宋"/>
              <w:bCs w:val="0"/>
              <w:highlight w:val="none"/>
            </w:rPr>
            <w:t>政拨款支出决算明细表</w:t>
          </w:r>
          <w:r>
            <w:tab/>
          </w:r>
          <w:r>
            <w:fldChar w:fldCharType="begin"/>
          </w:r>
          <w:r>
            <w:instrText xml:space="preserve"> PAGEREF _Toc20972 \h </w:instrText>
          </w:r>
          <w:r>
            <w:fldChar w:fldCharType="separate"/>
          </w:r>
          <w:r>
            <w:t>309</w:t>
          </w:r>
          <w:r>
            <w:fldChar w:fldCharType="end"/>
          </w:r>
          <w:r>
            <w:fldChar w:fldCharType="end"/>
          </w:r>
        </w:p>
        <w:p w14:paraId="7D572793">
          <w:pPr>
            <w:pStyle w:val="48"/>
            <w:keepNext w:val="0"/>
            <w:keepLines w:val="0"/>
            <w:pageBreakBefore w:val="0"/>
            <w:tabs>
              <w:tab w:val="right" w:leader="dot" w:pos="8306"/>
            </w:tabs>
            <w:kinsoku/>
            <w:wordWrap/>
            <w:overflowPunct/>
            <w:topLinePunct w:val="0"/>
            <w:autoSpaceDE/>
            <w:autoSpaceDN/>
            <w:bidi w:val="0"/>
            <w:adjustRightInd/>
            <w:snapToGrid/>
            <w:spacing w:line="360" w:lineRule="exact"/>
            <w:textAlignment w:val="auto"/>
          </w:pPr>
          <w:r>
            <w:fldChar w:fldCharType="begin"/>
          </w:r>
          <w:r>
            <w:instrText xml:space="preserve"> HYPERLINK \l _Toc30725 </w:instrText>
          </w:r>
          <w:r>
            <w:fldChar w:fldCharType="separate"/>
          </w:r>
          <w:r>
            <w:rPr>
              <w:rFonts w:hint="eastAsia" w:ascii="仿宋" w:hAnsi="仿宋" w:eastAsia="仿宋"/>
              <w:bCs w:val="0"/>
              <w:highlight w:val="none"/>
            </w:rPr>
            <w:t>六、</w:t>
          </w:r>
          <w:r>
            <w:rPr>
              <w:rFonts w:hint="eastAsia" w:ascii="仿宋" w:hAnsi="仿宋" w:eastAsia="仿宋"/>
              <w:highlight w:val="none"/>
            </w:rPr>
            <w:t>一</w:t>
          </w:r>
          <w:r>
            <w:rPr>
              <w:rFonts w:hint="eastAsia" w:ascii="仿宋" w:hAnsi="仿宋" w:eastAsia="仿宋"/>
              <w:bCs w:val="0"/>
              <w:highlight w:val="none"/>
            </w:rPr>
            <w:t>般公共预算财政拨款支出决算表</w:t>
          </w:r>
          <w:r>
            <w:tab/>
          </w:r>
          <w:r>
            <w:fldChar w:fldCharType="begin"/>
          </w:r>
          <w:r>
            <w:instrText xml:space="preserve"> PAGEREF _Toc30725 \h </w:instrText>
          </w:r>
          <w:r>
            <w:fldChar w:fldCharType="separate"/>
          </w:r>
          <w:r>
            <w:t>309</w:t>
          </w:r>
          <w:r>
            <w:fldChar w:fldCharType="end"/>
          </w:r>
          <w:r>
            <w:fldChar w:fldCharType="end"/>
          </w:r>
        </w:p>
        <w:p w14:paraId="229B81AC">
          <w:pPr>
            <w:pStyle w:val="48"/>
            <w:keepNext w:val="0"/>
            <w:keepLines w:val="0"/>
            <w:pageBreakBefore w:val="0"/>
            <w:tabs>
              <w:tab w:val="right" w:leader="dot" w:pos="8306"/>
            </w:tabs>
            <w:kinsoku/>
            <w:wordWrap/>
            <w:overflowPunct/>
            <w:topLinePunct w:val="0"/>
            <w:autoSpaceDE/>
            <w:autoSpaceDN/>
            <w:bidi w:val="0"/>
            <w:adjustRightInd/>
            <w:snapToGrid/>
            <w:spacing w:line="360" w:lineRule="exact"/>
            <w:textAlignment w:val="auto"/>
          </w:pPr>
          <w:r>
            <w:fldChar w:fldCharType="begin"/>
          </w:r>
          <w:r>
            <w:instrText xml:space="preserve"> HYPERLINK \l _Toc23455 </w:instrText>
          </w:r>
          <w:r>
            <w:fldChar w:fldCharType="separate"/>
          </w:r>
          <w:r>
            <w:rPr>
              <w:rFonts w:hint="eastAsia" w:ascii="仿宋" w:hAnsi="仿宋" w:eastAsia="仿宋"/>
              <w:bCs w:val="0"/>
              <w:highlight w:val="none"/>
            </w:rPr>
            <w:t>七、</w:t>
          </w:r>
          <w:r>
            <w:rPr>
              <w:rFonts w:hint="eastAsia" w:ascii="仿宋" w:hAnsi="仿宋" w:eastAsia="仿宋"/>
              <w:highlight w:val="none"/>
            </w:rPr>
            <w:t>一</w:t>
          </w:r>
          <w:r>
            <w:rPr>
              <w:rFonts w:hint="eastAsia" w:ascii="仿宋" w:hAnsi="仿宋" w:eastAsia="仿宋"/>
              <w:bCs w:val="0"/>
              <w:highlight w:val="none"/>
            </w:rPr>
            <w:t>般公共预算财政拨款支出决算明细表</w:t>
          </w:r>
          <w:r>
            <w:tab/>
          </w:r>
          <w:r>
            <w:fldChar w:fldCharType="begin"/>
          </w:r>
          <w:r>
            <w:instrText xml:space="preserve"> PAGEREF _Toc23455 \h </w:instrText>
          </w:r>
          <w:r>
            <w:fldChar w:fldCharType="separate"/>
          </w:r>
          <w:r>
            <w:t>309</w:t>
          </w:r>
          <w:r>
            <w:fldChar w:fldCharType="end"/>
          </w:r>
          <w:r>
            <w:fldChar w:fldCharType="end"/>
          </w:r>
        </w:p>
        <w:p w14:paraId="0650F962">
          <w:pPr>
            <w:pStyle w:val="48"/>
            <w:keepNext w:val="0"/>
            <w:keepLines w:val="0"/>
            <w:pageBreakBefore w:val="0"/>
            <w:tabs>
              <w:tab w:val="right" w:leader="dot" w:pos="8306"/>
            </w:tabs>
            <w:kinsoku/>
            <w:wordWrap/>
            <w:overflowPunct/>
            <w:topLinePunct w:val="0"/>
            <w:autoSpaceDE/>
            <w:autoSpaceDN/>
            <w:bidi w:val="0"/>
            <w:adjustRightInd/>
            <w:snapToGrid/>
            <w:spacing w:line="360" w:lineRule="exact"/>
            <w:textAlignment w:val="auto"/>
          </w:pPr>
          <w:r>
            <w:fldChar w:fldCharType="begin"/>
          </w:r>
          <w:r>
            <w:instrText xml:space="preserve"> HYPERLINK \l _Toc24910 </w:instrText>
          </w:r>
          <w:r>
            <w:fldChar w:fldCharType="separate"/>
          </w:r>
          <w:r>
            <w:rPr>
              <w:rFonts w:hint="eastAsia" w:ascii="仿宋" w:hAnsi="仿宋" w:eastAsia="仿宋"/>
              <w:bCs w:val="0"/>
              <w:highlight w:val="none"/>
            </w:rPr>
            <w:t>八、</w:t>
          </w:r>
          <w:r>
            <w:rPr>
              <w:rFonts w:hint="eastAsia" w:ascii="仿宋" w:hAnsi="仿宋" w:eastAsia="仿宋"/>
              <w:highlight w:val="none"/>
            </w:rPr>
            <w:t>一</w:t>
          </w:r>
          <w:r>
            <w:rPr>
              <w:rFonts w:hint="eastAsia" w:ascii="仿宋" w:hAnsi="仿宋" w:eastAsia="仿宋"/>
              <w:bCs w:val="0"/>
              <w:highlight w:val="none"/>
            </w:rPr>
            <w:t>般公共预算财政拨款基本支出决算表</w:t>
          </w:r>
          <w:r>
            <w:tab/>
          </w:r>
          <w:r>
            <w:fldChar w:fldCharType="begin"/>
          </w:r>
          <w:r>
            <w:instrText xml:space="preserve"> PAGEREF _Toc24910 \h </w:instrText>
          </w:r>
          <w:r>
            <w:fldChar w:fldCharType="separate"/>
          </w:r>
          <w:r>
            <w:t>309</w:t>
          </w:r>
          <w:r>
            <w:fldChar w:fldCharType="end"/>
          </w:r>
          <w:r>
            <w:fldChar w:fldCharType="end"/>
          </w:r>
        </w:p>
        <w:p w14:paraId="1498DE0D">
          <w:pPr>
            <w:pStyle w:val="48"/>
            <w:keepNext w:val="0"/>
            <w:keepLines w:val="0"/>
            <w:pageBreakBefore w:val="0"/>
            <w:tabs>
              <w:tab w:val="right" w:leader="dot" w:pos="8306"/>
            </w:tabs>
            <w:kinsoku/>
            <w:wordWrap/>
            <w:overflowPunct/>
            <w:topLinePunct w:val="0"/>
            <w:autoSpaceDE/>
            <w:autoSpaceDN/>
            <w:bidi w:val="0"/>
            <w:adjustRightInd/>
            <w:snapToGrid/>
            <w:spacing w:line="360" w:lineRule="exact"/>
            <w:textAlignment w:val="auto"/>
          </w:pPr>
          <w:r>
            <w:fldChar w:fldCharType="begin"/>
          </w:r>
          <w:r>
            <w:instrText xml:space="preserve"> HYPERLINK \l _Toc26685 </w:instrText>
          </w:r>
          <w:r>
            <w:fldChar w:fldCharType="separate"/>
          </w:r>
          <w:r>
            <w:rPr>
              <w:rFonts w:hint="eastAsia" w:ascii="仿宋" w:hAnsi="仿宋" w:eastAsia="仿宋"/>
              <w:bCs w:val="0"/>
              <w:highlight w:val="none"/>
            </w:rPr>
            <w:t>九、</w:t>
          </w:r>
          <w:r>
            <w:rPr>
              <w:rFonts w:hint="eastAsia" w:ascii="仿宋" w:hAnsi="仿宋" w:eastAsia="仿宋"/>
              <w:highlight w:val="none"/>
            </w:rPr>
            <w:t>一</w:t>
          </w:r>
          <w:r>
            <w:rPr>
              <w:rFonts w:hint="eastAsia" w:ascii="仿宋" w:hAnsi="仿宋" w:eastAsia="仿宋"/>
              <w:bCs w:val="0"/>
              <w:highlight w:val="none"/>
            </w:rPr>
            <w:t>般公共预算财政拨款项目支出决算表</w:t>
          </w:r>
          <w:r>
            <w:tab/>
          </w:r>
          <w:r>
            <w:fldChar w:fldCharType="begin"/>
          </w:r>
          <w:r>
            <w:instrText xml:space="preserve"> PAGEREF _Toc26685 \h </w:instrText>
          </w:r>
          <w:r>
            <w:fldChar w:fldCharType="separate"/>
          </w:r>
          <w:r>
            <w:t>309</w:t>
          </w:r>
          <w:r>
            <w:fldChar w:fldCharType="end"/>
          </w:r>
          <w:r>
            <w:fldChar w:fldCharType="end"/>
          </w:r>
        </w:p>
        <w:p w14:paraId="15C107C1">
          <w:pPr>
            <w:pStyle w:val="48"/>
            <w:keepNext w:val="0"/>
            <w:keepLines w:val="0"/>
            <w:pageBreakBefore w:val="0"/>
            <w:tabs>
              <w:tab w:val="right" w:leader="dot" w:pos="8306"/>
            </w:tabs>
            <w:kinsoku/>
            <w:wordWrap/>
            <w:overflowPunct/>
            <w:topLinePunct w:val="0"/>
            <w:autoSpaceDE/>
            <w:autoSpaceDN/>
            <w:bidi w:val="0"/>
            <w:adjustRightInd/>
            <w:snapToGrid/>
            <w:spacing w:line="360" w:lineRule="exact"/>
            <w:textAlignment w:val="auto"/>
          </w:pPr>
          <w:r>
            <w:fldChar w:fldCharType="begin"/>
          </w:r>
          <w:r>
            <w:instrText xml:space="preserve"> HYPERLINK \l _Toc20266 </w:instrText>
          </w:r>
          <w:r>
            <w:fldChar w:fldCharType="separate"/>
          </w:r>
          <w:r>
            <w:rPr>
              <w:rFonts w:hint="eastAsia" w:ascii="仿宋" w:hAnsi="仿宋" w:eastAsia="仿宋"/>
              <w:bCs w:val="0"/>
              <w:highlight w:val="none"/>
            </w:rPr>
            <w:t>十、</w:t>
          </w:r>
          <w:r>
            <w:rPr>
              <w:rFonts w:hint="eastAsia" w:ascii="仿宋" w:hAnsi="仿宋" w:eastAsia="仿宋"/>
              <w:highlight w:val="none"/>
            </w:rPr>
            <w:t>政</w:t>
          </w:r>
          <w:r>
            <w:rPr>
              <w:rFonts w:hint="eastAsia" w:ascii="仿宋" w:hAnsi="仿宋" w:eastAsia="仿宋"/>
              <w:bCs w:val="0"/>
              <w:highlight w:val="none"/>
            </w:rPr>
            <w:t>府性基金预算财政拨款收入支出决算表</w:t>
          </w:r>
          <w:r>
            <w:tab/>
          </w:r>
          <w:r>
            <w:fldChar w:fldCharType="begin"/>
          </w:r>
          <w:r>
            <w:instrText xml:space="preserve"> PAGEREF _Toc20266 \h </w:instrText>
          </w:r>
          <w:r>
            <w:fldChar w:fldCharType="separate"/>
          </w:r>
          <w:r>
            <w:t>309</w:t>
          </w:r>
          <w:r>
            <w:fldChar w:fldCharType="end"/>
          </w:r>
          <w:r>
            <w:fldChar w:fldCharType="end"/>
          </w:r>
        </w:p>
        <w:p w14:paraId="79EED7CC">
          <w:pPr>
            <w:pStyle w:val="48"/>
            <w:keepNext w:val="0"/>
            <w:keepLines w:val="0"/>
            <w:pageBreakBefore w:val="0"/>
            <w:tabs>
              <w:tab w:val="right" w:leader="dot" w:pos="8306"/>
            </w:tabs>
            <w:kinsoku/>
            <w:wordWrap/>
            <w:overflowPunct/>
            <w:topLinePunct w:val="0"/>
            <w:autoSpaceDE/>
            <w:autoSpaceDN/>
            <w:bidi w:val="0"/>
            <w:adjustRightInd/>
            <w:snapToGrid/>
            <w:spacing w:line="360" w:lineRule="exact"/>
            <w:textAlignment w:val="auto"/>
          </w:pPr>
          <w:r>
            <w:fldChar w:fldCharType="begin"/>
          </w:r>
          <w:r>
            <w:instrText xml:space="preserve"> HYPERLINK \l _Toc7208 </w:instrText>
          </w:r>
          <w:r>
            <w:fldChar w:fldCharType="separate"/>
          </w:r>
          <w:r>
            <w:rPr>
              <w:rFonts w:hint="eastAsia" w:ascii="仿宋" w:hAnsi="仿宋" w:eastAsia="仿宋"/>
              <w:bCs w:val="0"/>
              <w:highlight w:val="none"/>
            </w:rPr>
            <w:t>十一、</w:t>
          </w:r>
          <w:r>
            <w:rPr>
              <w:rFonts w:hint="eastAsia" w:ascii="仿宋" w:hAnsi="仿宋" w:eastAsia="仿宋"/>
              <w:highlight w:val="none"/>
            </w:rPr>
            <w:t>国</w:t>
          </w:r>
          <w:r>
            <w:rPr>
              <w:rFonts w:hint="eastAsia" w:ascii="仿宋" w:hAnsi="仿宋" w:eastAsia="仿宋"/>
              <w:bCs w:val="0"/>
              <w:highlight w:val="none"/>
            </w:rPr>
            <w:t>有资本经营预算</w:t>
          </w:r>
          <w:r>
            <w:rPr>
              <w:rFonts w:hint="eastAsia" w:ascii="仿宋" w:hAnsi="仿宋" w:eastAsia="仿宋"/>
              <w:bCs w:val="0"/>
              <w:highlight w:val="none"/>
              <w:lang w:eastAsia="zh-CN"/>
            </w:rPr>
            <w:t>财政拨款收入</w:t>
          </w:r>
          <w:r>
            <w:rPr>
              <w:rFonts w:hint="eastAsia" w:ascii="仿宋" w:hAnsi="仿宋" w:eastAsia="仿宋"/>
              <w:bCs w:val="0"/>
              <w:highlight w:val="none"/>
            </w:rPr>
            <w:t>支出决算表</w:t>
          </w:r>
          <w:r>
            <w:tab/>
          </w:r>
          <w:r>
            <w:fldChar w:fldCharType="begin"/>
          </w:r>
          <w:r>
            <w:instrText xml:space="preserve"> PAGEREF _Toc7208 \h </w:instrText>
          </w:r>
          <w:r>
            <w:fldChar w:fldCharType="separate"/>
          </w:r>
          <w:r>
            <w:t>309</w:t>
          </w:r>
          <w:r>
            <w:fldChar w:fldCharType="end"/>
          </w:r>
          <w:r>
            <w:fldChar w:fldCharType="end"/>
          </w:r>
        </w:p>
        <w:p w14:paraId="681F481B">
          <w:pPr>
            <w:pStyle w:val="48"/>
            <w:keepNext w:val="0"/>
            <w:keepLines w:val="0"/>
            <w:pageBreakBefore w:val="0"/>
            <w:tabs>
              <w:tab w:val="right" w:leader="dot" w:pos="8306"/>
            </w:tabs>
            <w:kinsoku/>
            <w:wordWrap/>
            <w:overflowPunct/>
            <w:topLinePunct w:val="0"/>
            <w:autoSpaceDE/>
            <w:autoSpaceDN/>
            <w:bidi w:val="0"/>
            <w:adjustRightInd/>
            <w:snapToGrid/>
            <w:spacing w:line="360" w:lineRule="exact"/>
            <w:textAlignment w:val="auto"/>
          </w:pPr>
          <w:r>
            <w:fldChar w:fldCharType="begin"/>
          </w:r>
          <w:r>
            <w:instrText xml:space="preserve"> HYPERLINK \l _Toc4364 </w:instrText>
          </w:r>
          <w:r>
            <w:fldChar w:fldCharType="separate"/>
          </w:r>
          <w:r>
            <w:rPr>
              <w:rFonts w:hint="eastAsia" w:ascii="仿宋" w:hAnsi="仿宋" w:eastAsia="仿宋"/>
              <w:bCs w:val="0"/>
              <w:highlight w:val="none"/>
            </w:rPr>
            <w:t>十二、</w:t>
          </w:r>
          <w:r>
            <w:rPr>
              <w:rFonts w:hint="eastAsia" w:ascii="仿宋" w:hAnsi="仿宋" w:eastAsia="仿宋"/>
              <w:bCs w:val="0"/>
              <w:highlight w:val="none"/>
              <w:lang w:eastAsia="zh-CN"/>
            </w:rPr>
            <w:t>国有资本经营预算财政拨款支出决算表</w:t>
          </w:r>
          <w:r>
            <w:tab/>
          </w:r>
          <w:r>
            <w:fldChar w:fldCharType="begin"/>
          </w:r>
          <w:r>
            <w:instrText xml:space="preserve"> PAGEREF _Toc4364 \h </w:instrText>
          </w:r>
          <w:r>
            <w:fldChar w:fldCharType="separate"/>
          </w:r>
          <w:r>
            <w:t>309</w:t>
          </w:r>
          <w:r>
            <w:fldChar w:fldCharType="end"/>
          </w:r>
          <w:r>
            <w:fldChar w:fldCharType="end"/>
          </w:r>
        </w:p>
        <w:p w14:paraId="776435C2">
          <w:pPr>
            <w:pStyle w:val="48"/>
            <w:keepNext w:val="0"/>
            <w:keepLines w:val="0"/>
            <w:pageBreakBefore w:val="0"/>
            <w:tabs>
              <w:tab w:val="right" w:leader="dot" w:pos="8306"/>
            </w:tabs>
            <w:kinsoku/>
            <w:wordWrap/>
            <w:overflowPunct/>
            <w:topLinePunct w:val="0"/>
            <w:autoSpaceDE/>
            <w:autoSpaceDN/>
            <w:bidi w:val="0"/>
            <w:adjustRightInd/>
            <w:snapToGrid/>
            <w:spacing w:line="360" w:lineRule="exact"/>
            <w:textAlignment w:val="auto"/>
          </w:pPr>
          <w:r>
            <w:fldChar w:fldCharType="begin"/>
          </w:r>
          <w:r>
            <w:instrText xml:space="preserve"> HYPERLINK \l _Toc15161 </w:instrText>
          </w:r>
          <w:r>
            <w:fldChar w:fldCharType="separate"/>
          </w:r>
          <w:r>
            <w:rPr>
              <w:rFonts w:hint="eastAsia" w:ascii="仿宋" w:hAnsi="仿宋" w:eastAsia="仿宋"/>
              <w:bCs w:val="0"/>
              <w:highlight w:val="none"/>
            </w:rPr>
            <w:t>十三、</w:t>
          </w:r>
          <w:r>
            <w:rPr>
              <w:rFonts w:hint="eastAsia" w:ascii="仿宋" w:hAnsi="仿宋" w:eastAsia="仿宋"/>
              <w:bCs w:val="0"/>
              <w:highlight w:val="none"/>
              <w:lang w:eastAsia="zh-CN"/>
            </w:rPr>
            <w:t>财政拨款“三公”经费支出决算表</w:t>
          </w:r>
          <w:r>
            <w:tab/>
          </w:r>
          <w:r>
            <w:fldChar w:fldCharType="begin"/>
          </w:r>
          <w:r>
            <w:instrText xml:space="preserve"> PAGEREF _Toc15161 \h </w:instrText>
          </w:r>
          <w:r>
            <w:fldChar w:fldCharType="separate"/>
          </w:r>
          <w:r>
            <w:t>309</w:t>
          </w:r>
          <w:r>
            <w:fldChar w:fldCharType="end"/>
          </w:r>
          <w:r>
            <w:fldChar w:fldCharType="end"/>
          </w:r>
        </w:p>
        <w:p w14:paraId="7B925C4E">
          <w:pPr>
            <w:spacing w:line="360" w:lineRule="auto"/>
          </w:pPr>
          <w:r>
            <w:rPr>
              <w:b/>
            </w:rPr>
            <w:fldChar w:fldCharType="end"/>
          </w:r>
        </w:p>
      </w:sdtContent>
    </w:sdt>
    <w:p w14:paraId="28ACF7D7">
      <w:pPr>
        <w:pStyle w:val="15"/>
        <w:tabs>
          <w:tab w:val="right" w:leader="dot" w:pos="8306"/>
          <w:tab w:val="clear" w:pos="8296"/>
        </w:tabs>
        <w:sectPr>
          <w:footerReference r:id="rId5" w:type="first"/>
          <w:headerReference r:id="rId3" w:type="default"/>
          <w:footerReference r:id="rId4" w:type="default"/>
          <w:pgSz w:w="11906" w:h="16838"/>
          <w:pgMar w:top="1440" w:right="1800" w:bottom="1440" w:left="1800" w:header="851" w:footer="992" w:gutter="0"/>
          <w:pgNumType w:fmt="decimal" w:start="1"/>
          <w:cols w:space="425" w:num="1"/>
          <w:titlePg/>
          <w:docGrid w:type="lines" w:linePitch="312" w:charSpace="0"/>
        </w:sectPr>
      </w:pPr>
    </w:p>
    <w:p w14:paraId="547F3F8A"/>
    <w:p w14:paraId="38690B0F">
      <w:pPr>
        <w:pStyle w:val="3"/>
        <w:jc w:val="center"/>
        <w:rPr>
          <w:rFonts w:ascii="黑体" w:eastAsia="黑体"/>
          <w:color w:val="auto"/>
          <w:sz w:val="32"/>
          <w:szCs w:val="32"/>
          <w:highlight w:val="none"/>
        </w:rPr>
      </w:pPr>
      <w:bookmarkStart w:id="23" w:name="_Toc5805"/>
      <w:bookmarkStart w:id="24" w:name="_Toc32221"/>
      <w:r>
        <w:rPr>
          <w:rFonts w:hint="eastAsia" w:ascii="黑体" w:hAnsi="黑体" w:eastAsia="黑体"/>
          <w:b w:val="0"/>
          <w:color w:val="auto"/>
          <w:highlight w:val="none"/>
        </w:rPr>
        <w:t>第一部分</w:t>
      </w:r>
      <w:r>
        <w:rPr>
          <w:rStyle w:val="25"/>
          <w:rFonts w:hint="eastAsia" w:ascii="黑体" w:hAnsi="黑体" w:eastAsia="黑体"/>
          <w:b w:val="0"/>
          <w:bCs w:val="0"/>
          <w:color w:val="auto"/>
          <w:highlight w:val="none"/>
        </w:rPr>
        <w:t>部门概况</w:t>
      </w:r>
      <w:bookmarkEnd w:id="21"/>
      <w:bookmarkEnd w:id="22"/>
      <w:bookmarkEnd w:id="23"/>
      <w:bookmarkEnd w:id="24"/>
    </w:p>
    <w:p w14:paraId="33082F82">
      <w:pPr>
        <w:pStyle w:val="4"/>
        <w:rPr>
          <w:rStyle w:val="26"/>
          <w:rFonts w:ascii="仿宋" w:hAnsi="仿宋" w:eastAsia="仿宋"/>
          <w:b w:val="0"/>
          <w:bCs w:val="0"/>
          <w:color w:val="auto"/>
          <w:highlight w:val="none"/>
        </w:rPr>
      </w:pPr>
      <w:bookmarkStart w:id="25" w:name="_Toc9566"/>
      <w:bookmarkStart w:id="26" w:name="_Toc16311"/>
      <w:bookmarkStart w:id="27" w:name="_Toc15377197"/>
      <w:bookmarkStart w:id="28" w:name="_Toc15396600"/>
      <w:r>
        <w:rPr>
          <w:rFonts w:hint="eastAsia" w:ascii="黑体" w:hAnsi="黑体" w:eastAsia="黑体"/>
          <w:b w:val="0"/>
          <w:color w:val="auto"/>
          <w:highlight w:val="none"/>
        </w:rPr>
        <w:t>一、基</w:t>
      </w:r>
      <w:r>
        <w:rPr>
          <w:rStyle w:val="26"/>
          <w:rFonts w:hint="eastAsia" w:ascii="黑体" w:hAnsi="黑体" w:eastAsia="黑体"/>
          <w:b w:val="0"/>
          <w:bCs w:val="0"/>
          <w:color w:val="auto"/>
          <w:highlight w:val="none"/>
        </w:rPr>
        <w:t>本职能及主要工作</w:t>
      </w:r>
      <w:bookmarkEnd w:id="25"/>
      <w:bookmarkEnd w:id="26"/>
      <w:bookmarkEnd w:id="27"/>
      <w:bookmarkEnd w:id="28"/>
    </w:p>
    <w:p w14:paraId="23843DFC">
      <w:pPr>
        <w:pStyle w:val="8"/>
        <w:adjustRightInd w:val="0"/>
        <w:snapToGrid w:val="0"/>
        <w:spacing w:before="93" w:line="600" w:lineRule="exact"/>
        <w:ind w:firstLine="672" w:firstLineChars="210"/>
        <w:outlineLvl w:val="2"/>
        <w:rPr>
          <w:rFonts w:hint="eastAsia" w:ascii="仿宋" w:hAnsi="仿宋" w:eastAsia="仿宋"/>
          <w:bCs/>
          <w:color w:val="auto"/>
          <w:sz w:val="32"/>
          <w:szCs w:val="32"/>
          <w:highlight w:val="none"/>
        </w:rPr>
      </w:pPr>
      <w:bookmarkStart w:id="29" w:name="_Toc15377198"/>
      <w:bookmarkStart w:id="30" w:name="_Toc15378445"/>
      <w:r>
        <w:rPr>
          <w:rFonts w:hint="eastAsia" w:ascii="楷体_GB2312" w:eastAsia="楷体_GB2312"/>
          <w:sz w:val="32"/>
          <w:szCs w:val="32"/>
        </w:rPr>
        <w:t>（一）主要职能</w:t>
      </w:r>
      <w:r>
        <w:rPr>
          <w:rFonts w:hint="eastAsia" w:ascii="仿宋" w:hAnsi="仿宋" w:eastAsia="仿宋"/>
          <w:bCs/>
          <w:color w:val="auto"/>
          <w:sz w:val="32"/>
          <w:szCs w:val="32"/>
          <w:highlight w:val="none"/>
        </w:rPr>
        <w:t>。</w:t>
      </w:r>
      <w:bookmarkEnd w:id="29"/>
      <w:bookmarkEnd w:id="30"/>
      <w:bookmarkStart w:id="31" w:name="_Toc15378446"/>
      <w:bookmarkStart w:id="32" w:name="_Toc15377199"/>
    </w:p>
    <w:p w14:paraId="0B0F7618">
      <w:pPr>
        <w:spacing w:line="576" w:lineRule="exact"/>
        <w:ind w:firstLine="640" w:firstLineChars="200"/>
        <w:rPr>
          <w:rFonts w:hint="eastAsia" w:ascii="仿宋_GB2312" w:eastAsia="仿宋_GB2312"/>
          <w:sz w:val="32"/>
          <w:szCs w:val="32"/>
        </w:rPr>
      </w:pPr>
      <w:r>
        <w:rPr>
          <w:rFonts w:hint="eastAsia" w:ascii="仿宋_GB2312" w:eastAsia="仿宋_GB2312"/>
          <w:sz w:val="32"/>
          <w:szCs w:val="32"/>
        </w:rPr>
        <w:t>1.贯彻实施国家有关国民经济和社会发展、经济体制改革、国家粮食流通和储备粮管理的方针、政策和法律、法规。拟订全市有关国民经济和社会发展、经济体制改革、粮食流通和储备粮管理的政策措施；拟订全市粮食流通体制改革方案并组织实施；提出发展现代粮食流通产业战略建议；负责本系统、本部门依法行政工作，落实行政执法责任制。</w:t>
      </w:r>
    </w:p>
    <w:p w14:paraId="2DE656B1">
      <w:pPr>
        <w:spacing w:line="576" w:lineRule="exact"/>
        <w:ind w:firstLine="640" w:firstLineChars="200"/>
        <w:rPr>
          <w:rFonts w:hint="eastAsia" w:ascii="仿宋_GB2312" w:eastAsia="仿宋_GB2312"/>
          <w:sz w:val="32"/>
          <w:szCs w:val="32"/>
        </w:rPr>
      </w:pPr>
      <w:r>
        <w:rPr>
          <w:rFonts w:hint="eastAsia" w:ascii="仿宋_GB2312" w:eastAsia="仿宋_GB2312"/>
          <w:sz w:val="32"/>
          <w:szCs w:val="32"/>
        </w:rPr>
        <w:t>2.负责拟订并组织实施全市国民经济和社会发展战略、中长期规划和年度计划，统筹协调全市经济社会发展，研究分析宏观经济形势，提出全市经济社会发展、经济结构优化、价格总水平调控目标和政策建议。受市政府委托向市人大提交国民经济和社会发展计划报告。</w:t>
      </w:r>
    </w:p>
    <w:p w14:paraId="21AFEA5A">
      <w:pPr>
        <w:spacing w:line="576" w:lineRule="exact"/>
        <w:ind w:firstLine="640" w:firstLineChars="200"/>
        <w:rPr>
          <w:rFonts w:hint="eastAsia" w:ascii="仿宋_GB2312" w:eastAsia="仿宋_GB2312"/>
          <w:sz w:val="32"/>
          <w:szCs w:val="32"/>
        </w:rPr>
      </w:pPr>
      <w:r>
        <w:rPr>
          <w:rFonts w:hint="eastAsia" w:ascii="仿宋_GB2312" w:eastAsia="仿宋_GB2312"/>
          <w:sz w:val="32"/>
          <w:szCs w:val="32"/>
        </w:rPr>
        <w:t>3.负责监测宏观经济和社会发展态势，承担预测预警和信息引导的责任，研究宏观调控重大问题并提出政策建议，搞好总量平衡，综合协调经济社会发展中的重大问题。负责开发区的指导、协调和宏观管理。</w:t>
      </w:r>
    </w:p>
    <w:p w14:paraId="57CD0185">
      <w:pPr>
        <w:spacing w:line="576" w:lineRule="exact"/>
        <w:ind w:firstLine="640" w:firstLineChars="200"/>
        <w:rPr>
          <w:rFonts w:hint="eastAsia" w:ascii="仿宋_GB2312" w:eastAsia="仿宋_GB2312"/>
          <w:sz w:val="32"/>
          <w:szCs w:val="32"/>
        </w:rPr>
      </w:pPr>
      <w:r>
        <w:rPr>
          <w:rFonts w:hint="eastAsia" w:ascii="仿宋_GB2312" w:eastAsia="仿宋_GB2312"/>
          <w:sz w:val="32"/>
          <w:szCs w:val="32"/>
        </w:rPr>
        <w:t>4.负责全市投资宏观管理。拟订全社会固定资产投资总规模和投资结构的调控目标、政策及措施，安排市级预算内基本建设资金，按规定权限审批、核准、备案或转报固定资产投资项目（企业技术改造项目除外）和资源开发利用、外资、境外投资项目。引导民间投资方向，研究提出利用外资和境外投资的规划、总量平衡和结构优化的目标和政策，指导和协调国外贷款项目实施。指导工程咨询业发展。</w:t>
      </w:r>
    </w:p>
    <w:p w14:paraId="1F4B80F5">
      <w:pPr>
        <w:spacing w:line="576" w:lineRule="exact"/>
        <w:ind w:firstLine="640" w:firstLineChars="200"/>
        <w:rPr>
          <w:rFonts w:hint="eastAsia" w:ascii="仿宋_GB2312" w:eastAsia="仿宋_GB2312"/>
          <w:sz w:val="32"/>
          <w:szCs w:val="32"/>
        </w:rPr>
      </w:pPr>
      <w:r>
        <w:rPr>
          <w:rFonts w:hint="eastAsia" w:ascii="仿宋_GB2312" w:eastAsia="仿宋_GB2312"/>
          <w:sz w:val="32"/>
          <w:szCs w:val="32"/>
        </w:rPr>
        <w:t>5.推进经济结构战略性调整。组织拟订全市综合性产业政策，负责协调第一、二、三产业发展的重大问题，衔接平衡相关发展规划和重大政策，协调农业和农村经济社会发展的重大问题，衔接农村专项规划和政策。拟订重大产业发展规划，引导全市重大生产力合理布局，协调推进全市重大产业基地建设，会同有关部门拟订服务业、现代物流业发展战略、规划和重大政策。组织拟订高技术产业发展、产业技术进步的战略、规划和重大政策，指导全市自主创新体系建设发展。</w:t>
      </w:r>
    </w:p>
    <w:p w14:paraId="0A8DF756">
      <w:pPr>
        <w:spacing w:line="576" w:lineRule="exact"/>
        <w:ind w:firstLine="640" w:firstLineChars="200"/>
        <w:rPr>
          <w:rFonts w:hint="eastAsia" w:ascii="仿宋_GB2312" w:eastAsia="仿宋_GB2312"/>
          <w:sz w:val="32"/>
          <w:szCs w:val="32"/>
        </w:rPr>
      </w:pPr>
      <w:r>
        <w:rPr>
          <w:rFonts w:hint="eastAsia" w:ascii="仿宋_GB2312" w:eastAsia="仿宋_GB2312"/>
          <w:sz w:val="32"/>
          <w:szCs w:val="32"/>
        </w:rPr>
        <w:t>6.促进城乡区域协调发展。组织拟订区域协调发展战略、规划和重大政策，研究提出城镇发展战略和统筹城乡发展的重大政策，负责地区经济协作的统筹协调。</w:t>
      </w:r>
    </w:p>
    <w:p w14:paraId="63BB2FCE">
      <w:pPr>
        <w:spacing w:line="576" w:lineRule="exact"/>
        <w:ind w:firstLine="640" w:firstLineChars="200"/>
        <w:rPr>
          <w:rFonts w:hint="eastAsia" w:ascii="仿宋_GB2312" w:eastAsia="仿宋_GB2312"/>
          <w:sz w:val="32"/>
          <w:szCs w:val="32"/>
        </w:rPr>
      </w:pPr>
      <w:r>
        <w:rPr>
          <w:rFonts w:hint="eastAsia" w:ascii="仿宋_GB2312" w:eastAsia="仿宋_GB2312"/>
          <w:sz w:val="32"/>
          <w:szCs w:val="32"/>
        </w:rPr>
        <w:t>7.负责重要商品的总量平衡和宏观调控。研究分析市内外市场和对外贸易运行情况，编制重要农产品、工业品和原材料进出口总量计划并监督计划执行；会同有关部门管理粮食、棉花等重要物资和商品的市级储备工作，提出重要商品市场、生产要素市场的总体布局和发展规划。</w:t>
      </w:r>
    </w:p>
    <w:p w14:paraId="340B66D3">
      <w:pPr>
        <w:spacing w:line="576" w:lineRule="exact"/>
        <w:ind w:firstLine="640" w:firstLineChars="200"/>
        <w:rPr>
          <w:rFonts w:hint="eastAsia" w:ascii="仿宋_GB2312" w:eastAsia="仿宋_GB2312"/>
          <w:sz w:val="32"/>
          <w:szCs w:val="32"/>
        </w:rPr>
      </w:pPr>
      <w:r>
        <w:rPr>
          <w:rFonts w:hint="eastAsia" w:ascii="仿宋_GB2312" w:eastAsia="仿宋_GB2312"/>
          <w:sz w:val="32"/>
          <w:szCs w:val="32"/>
        </w:rPr>
        <w:t>8.负责汇总和分析全市财政、金融等方面的情况，参与制定财政、金融、土地政策，综合分析政策执行效果，负责全市全口径外债的总量控制、结构优化和监测工作，提出多渠道融资的政策建议，综合协调财政、金融、价格和产业政策等经济杠杆，保证全市国民经济和发展规划的实施。</w:t>
      </w:r>
    </w:p>
    <w:p w14:paraId="69115742">
      <w:pPr>
        <w:spacing w:line="576" w:lineRule="exact"/>
        <w:ind w:firstLine="640" w:firstLineChars="200"/>
        <w:rPr>
          <w:rFonts w:hint="eastAsia" w:ascii="仿宋_GB2312" w:eastAsia="仿宋_GB2312"/>
          <w:sz w:val="32"/>
          <w:szCs w:val="32"/>
        </w:rPr>
      </w:pPr>
      <w:r>
        <w:rPr>
          <w:rFonts w:hint="eastAsia" w:ascii="仿宋_GB2312" w:eastAsia="仿宋_GB2312"/>
          <w:sz w:val="32"/>
          <w:szCs w:val="32"/>
        </w:rPr>
        <w:t>9.负责全市社会发展与国民经济发展的政策衔接。组织拟订社会发展战略、总体规划和年度计划，承担研究拟订和组织实施全市人口发展战略规划、中长期规划、年度计划及人口政策，参与拟订科学技术、教育、文化、卫生、民政等发展政策，推进社会事业建设。研究提出促进就业、调整收入分配、完善社会保障与经济协调发展的政策建议，协调社会事业发展和政策中的重大问题及政策。</w:t>
      </w:r>
    </w:p>
    <w:p w14:paraId="624F9BCC">
      <w:pPr>
        <w:spacing w:line="576" w:lineRule="exact"/>
        <w:ind w:firstLine="640" w:firstLineChars="200"/>
        <w:rPr>
          <w:rFonts w:hint="eastAsia" w:ascii="仿宋_GB2312" w:eastAsia="仿宋_GB2312"/>
          <w:sz w:val="32"/>
          <w:szCs w:val="32"/>
        </w:rPr>
      </w:pPr>
      <w:r>
        <w:rPr>
          <w:rFonts w:hint="eastAsia" w:ascii="仿宋_GB2312" w:eastAsia="仿宋_GB2312"/>
          <w:sz w:val="32"/>
          <w:szCs w:val="32"/>
        </w:rPr>
        <w:t>10.拟订全市能源发展战略、总体规划、行业规划和产业政策并组织实施，研究提出促进能源发展、提高能源保障、优化能源结构、推进能源节约的措施方法，拟订全市能源相关体制改革的实施方案。负责全市能源行业管理，协调全市能源建设的重大问题，指导能源科技进步工作，推广应用新产品、新技术、新设备。负责电动汽车充电设施发展的相关工作，根据电动汽车的发展规划和产业政策，牵头拟订电动汽车充电设施的发展规划和扶持政策。</w:t>
      </w:r>
    </w:p>
    <w:p w14:paraId="559C10A0">
      <w:pPr>
        <w:spacing w:line="576" w:lineRule="exact"/>
        <w:ind w:firstLine="640" w:firstLineChars="200"/>
        <w:rPr>
          <w:rFonts w:hint="eastAsia" w:ascii="仿宋_GB2312" w:eastAsia="仿宋_GB2312"/>
          <w:sz w:val="32"/>
          <w:szCs w:val="32"/>
        </w:rPr>
      </w:pPr>
      <w:r>
        <w:rPr>
          <w:rFonts w:hint="eastAsia" w:ascii="仿宋_GB2312" w:eastAsia="仿宋_GB2312"/>
          <w:sz w:val="32"/>
          <w:szCs w:val="32"/>
        </w:rPr>
        <w:t>11.推进可持续发展，协调节能环保产业发展有关工作；组织拟订并协调实施全市发展循环经济、能源资源节约和综合利用规划及政策措施，参与编制生态环境建设，协调生态建设、能源资源节约和综合利用的重大问题，综合协调环保产业和清洁生产促进有关工作。贯彻执行国家和省有关低碳发展战略、方针和政策。</w:t>
      </w:r>
    </w:p>
    <w:p w14:paraId="3D58462B">
      <w:pPr>
        <w:spacing w:line="576" w:lineRule="exact"/>
        <w:ind w:firstLine="640" w:firstLineChars="200"/>
        <w:rPr>
          <w:rFonts w:hint="eastAsia" w:ascii="仿宋_GB2312" w:eastAsia="仿宋_GB2312"/>
          <w:sz w:val="32"/>
          <w:szCs w:val="32"/>
        </w:rPr>
      </w:pPr>
      <w:r>
        <w:rPr>
          <w:rFonts w:hint="eastAsia" w:ascii="仿宋_GB2312" w:eastAsia="仿宋_GB2312"/>
          <w:sz w:val="32"/>
          <w:szCs w:val="32"/>
        </w:rPr>
        <w:t>12.会同有关部门拟订革命老区、贫困地区经济发展规划，会同有关部门制定加快革命老区、贫困地区经济发展的重大政策，协调推进重大项目建设，促进经济社会持续、稳定、协调发展。</w:t>
      </w:r>
    </w:p>
    <w:p w14:paraId="0882859B">
      <w:pPr>
        <w:spacing w:line="576" w:lineRule="exact"/>
        <w:ind w:firstLine="640" w:firstLineChars="200"/>
        <w:rPr>
          <w:rFonts w:hint="eastAsia" w:ascii="仿宋_GB2312" w:eastAsia="仿宋_GB2312"/>
          <w:sz w:val="32"/>
          <w:szCs w:val="32"/>
        </w:rPr>
      </w:pPr>
      <w:r>
        <w:rPr>
          <w:rFonts w:hint="eastAsia" w:ascii="仿宋_GB2312" w:eastAsia="仿宋_GB2312"/>
          <w:sz w:val="32"/>
          <w:szCs w:val="32"/>
        </w:rPr>
        <w:t>13.承担指导推进和综合协调全市经济体制改革的任务，研究经济体制改革和对外开放的重大问题，组织拟订综合性经济体制改革方案，协调有关专项经济体制改革方案，会同有关部门搞好重要专项经济体制改革之间的衔接，指导经济体制改革试点和改革试验区工作。</w:t>
      </w:r>
    </w:p>
    <w:p w14:paraId="282C5D7B">
      <w:pPr>
        <w:spacing w:line="576" w:lineRule="exact"/>
        <w:ind w:firstLine="640" w:firstLineChars="200"/>
        <w:rPr>
          <w:rFonts w:hint="eastAsia" w:ascii="仿宋_GB2312" w:eastAsia="仿宋_GB2312"/>
          <w:sz w:val="32"/>
          <w:szCs w:val="32"/>
        </w:rPr>
      </w:pPr>
      <w:r>
        <w:rPr>
          <w:rFonts w:hint="eastAsia" w:ascii="仿宋_GB2312" w:eastAsia="仿宋_GB2312"/>
          <w:sz w:val="32"/>
          <w:szCs w:val="32"/>
        </w:rPr>
        <w:t>14.贯彻实施国家和省价格法律、法规和方针、政策，编制和执行价格调整改革规划，提出年度价格总水平调控目标及价格调控措施并组织实施，管理国家、省、市列名管理的商品和服务价格，承担行政事业性收费管理工作，负责全市价格成本调查监审、价格监测、价格认证等工作。</w:t>
      </w:r>
    </w:p>
    <w:p w14:paraId="65D8133F">
      <w:pPr>
        <w:spacing w:line="576" w:lineRule="exact"/>
        <w:ind w:firstLine="640" w:firstLineChars="200"/>
        <w:rPr>
          <w:rFonts w:hint="eastAsia" w:ascii="仿宋_GB2312" w:eastAsia="仿宋_GB2312"/>
          <w:sz w:val="32"/>
          <w:szCs w:val="32"/>
        </w:rPr>
      </w:pPr>
      <w:r>
        <w:rPr>
          <w:rFonts w:hint="eastAsia" w:ascii="仿宋_GB2312" w:eastAsia="仿宋_GB2312"/>
          <w:sz w:val="32"/>
          <w:szCs w:val="32"/>
        </w:rPr>
        <w:t>15.指导、协调并综合管理全市招标投标工作，按照职责权限对国家、省和市重大建设项目建设过程中的工程招标投标活动实施监督检查。</w:t>
      </w:r>
    </w:p>
    <w:p w14:paraId="672DE63A">
      <w:pPr>
        <w:spacing w:line="576" w:lineRule="exact"/>
        <w:ind w:firstLine="640" w:firstLineChars="200"/>
        <w:rPr>
          <w:rFonts w:hint="eastAsia" w:ascii="仿宋_GB2312" w:eastAsia="仿宋_GB2312"/>
          <w:sz w:val="32"/>
          <w:szCs w:val="32"/>
        </w:rPr>
      </w:pPr>
      <w:r>
        <w:rPr>
          <w:rFonts w:hint="eastAsia" w:ascii="仿宋_GB2312" w:eastAsia="仿宋_GB2312"/>
          <w:sz w:val="32"/>
          <w:szCs w:val="32"/>
        </w:rPr>
        <w:t>16.负责组织编制全市国民经济动员与装备动员规划、计划，研究国民经济动员与装备动员和国民经济、国防建设的关系，协调相关重大问题，组织实施国民经济动员与装备动员有关工作。</w:t>
      </w:r>
    </w:p>
    <w:p w14:paraId="3E83DA4F">
      <w:pPr>
        <w:spacing w:line="576" w:lineRule="exact"/>
        <w:ind w:firstLine="640" w:firstLineChars="200"/>
        <w:rPr>
          <w:rFonts w:hint="eastAsia" w:ascii="仿宋_GB2312" w:eastAsia="仿宋_GB2312"/>
          <w:sz w:val="32"/>
          <w:szCs w:val="32"/>
        </w:rPr>
      </w:pPr>
      <w:r>
        <w:rPr>
          <w:rFonts w:hint="eastAsia" w:ascii="仿宋_GB2312" w:eastAsia="仿宋_GB2312"/>
          <w:sz w:val="32"/>
          <w:szCs w:val="32"/>
        </w:rPr>
        <w:t>17.负责全市粮食宏观调控具体工作，承担粮食预警监测和应急责任；提出全市粮食宏观调控、总量平衡以及粮食流通规划的建议；监督执行粮食最低收购价政策及临时收储政策；负责全市粮食余缺调剂，指导市内粮食销售工作；保障军队等政策性粮食的供应，提高全市粮食供应保障能力；组织指导全市粮食系统统计工作。</w:t>
      </w:r>
    </w:p>
    <w:p w14:paraId="0DD25795">
      <w:pPr>
        <w:spacing w:line="576" w:lineRule="exact"/>
        <w:ind w:firstLine="640" w:firstLineChars="200"/>
        <w:rPr>
          <w:rFonts w:hint="eastAsia" w:ascii="仿宋_GB2312" w:eastAsia="仿宋_GB2312"/>
          <w:sz w:val="32"/>
          <w:szCs w:val="32"/>
        </w:rPr>
      </w:pPr>
      <w:r>
        <w:rPr>
          <w:rFonts w:hint="eastAsia" w:ascii="仿宋_GB2312" w:eastAsia="仿宋_GB2312"/>
          <w:sz w:val="32"/>
          <w:szCs w:val="32"/>
        </w:rPr>
        <w:t>18.承担市级储备粮行政管理责任，指导全市储备粮体系建设。提出地方储备粮总规模及市级储备粮的总体布局和收储、轮换、动用计划建议并组织实施；制定市级储备粮管理技术规范并监督执行，监督检查市级储备粮库存数量、质量和储存安全；协助在广中央储备粮、省级储备粮及国家其他政策性临时储存粮食的监督管理工作。</w:t>
      </w:r>
    </w:p>
    <w:p w14:paraId="0831163D">
      <w:pPr>
        <w:spacing w:line="576" w:lineRule="exact"/>
        <w:ind w:firstLine="640" w:firstLineChars="200"/>
        <w:rPr>
          <w:rFonts w:hint="eastAsia" w:ascii="仿宋_GB2312" w:eastAsia="仿宋_GB2312"/>
          <w:sz w:val="32"/>
          <w:szCs w:val="32"/>
        </w:rPr>
      </w:pPr>
      <w:r>
        <w:rPr>
          <w:rFonts w:hint="eastAsia" w:ascii="仿宋_GB2312" w:eastAsia="仿宋_GB2312"/>
          <w:sz w:val="32"/>
          <w:szCs w:val="32"/>
        </w:rPr>
        <w:t>19.贯彻实施国家粮食质量标准；制定全市粮食储存、运输技术规范并监督执行；负责全市粮食收购、储存环节和政策性用粮质量安全；负责库存原粮卫生监督管理；指导粮食行业安全生产和抢险救灾工作；指导全市农村科学储粮工作。</w:t>
      </w:r>
    </w:p>
    <w:p w14:paraId="4359F19A">
      <w:pPr>
        <w:spacing w:line="576" w:lineRule="exact"/>
        <w:ind w:firstLine="640" w:firstLineChars="200"/>
        <w:rPr>
          <w:rFonts w:hint="eastAsia" w:ascii="仿宋_GB2312" w:eastAsia="仿宋_GB2312"/>
          <w:sz w:val="32"/>
          <w:szCs w:val="32"/>
        </w:rPr>
      </w:pPr>
      <w:r>
        <w:rPr>
          <w:rFonts w:hint="eastAsia" w:ascii="仿宋_GB2312" w:eastAsia="仿宋_GB2312"/>
          <w:sz w:val="32"/>
          <w:szCs w:val="32"/>
        </w:rPr>
        <w:t>20.制订粮食流通产业发展规划，提出促进全市粮食流通产业发展的政策建议并督促落实；指导、协调全市粮食流通基础设施建设，管理市级财政投资粮食流通设施项目；制订全市粮食仓储、加工和物流体系建设规划并组织实施；拟订全市粮食市场体系发展规划，指导粮食批发市场和城乡粮食流通市场建设；开展粮食行业对外合作与交流，协助做好优质粮油的推广、开发工作；指导粮食企业科技进步、技术改造和新技术推广应用，指导粮油龙头企业开展惠农服务。</w:t>
      </w:r>
    </w:p>
    <w:p w14:paraId="55342755">
      <w:pPr>
        <w:spacing w:line="576" w:lineRule="exact"/>
        <w:ind w:firstLine="640" w:firstLineChars="200"/>
        <w:rPr>
          <w:rFonts w:hint="eastAsia" w:ascii="仿宋_GB2312" w:eastAsia="仿宋_GB2312"/>
          <w:sz w:val="32"/>
          <w:szCs w:val="32"/>
        </w:rPr>
      </w:pPr>
      <w:r>
        <w:rPr>
          <w:rFonts w:hint="eastAsia" w:ascii="仿宋_GB2312" w:eastAsia="仿宋_GB2312"/>
          <w:sz w:val="32"/>
          <w:szCs w:val="32"/>
        </w:rPr>
        <w:t>21.贯彻国家粮食流通财政财务政策和会计制度，组织编报全市国有粮食企业会计报表及会计决算；指导全市国有和国有控股粮食企业的财务管理和会计报告工作；负责国家、省、市预算拨付的粮食政策性补贴资金和专项资金的使用管理；会同相关部门管理粮食风险基金、政策性粮食财务挂帐，参与粮食收购资金贷款管理。</w:t>
      </w:r>
    </w:p>
    <w:p w14:paraId="56C2955C">
      <w:pPr>
        <w:spacing w:line="576" w:lineRule="exact"/>
        <w:ind w:firstLine="640" w:firstLineChars="200"/>
        <w:rPr>
          <w:rFonts w:hint="eastAsia" w:ascii="仿宋_GB2312" w:eastAsia="仿宋_GB2312"/>
          <w:sz w:val="32"/>
          <w:szCs w:val="32"/>
        </w:rPr>
      </w:pPr>
      <w:r>
        <w:rPr>
          <w:rFonts w:hint="eastAsia" w:ascii="仿宋_GB2312" w:eastAsia="仿宋_GB2312"/>
          <w:sz w:val="32"/>
          <w:szCs w:val="32"/>
        </w:rPr>
        <w:t>22.负责重要物资和应急物资收储、轮换和日常管理。</w:t>
      </w:r>
    </w:p>
    <w:p w14:paraId="27C053CD">
      <w:pPr>
        <w:spacing w:line="576" w:lineRule="exact"/>
        <w:ind w:firstLine="640" w:firstLineChars="200"/>
        <w:rPr>
          <w:rFonts w:hint="eastAsia" w:ascii="仿宋_GB2312" w:eastAsia="仿宋_GB2312"/>
          <w:sz w:val="32"/>
          <w:szCs w:val="32"/>
        </w:rPr>
      </w:pPr>
      <w:r>
        <w:rPr>
          <w:rFonts w:hint="eastAsia" w:ascii="仿宋_GB2312" w:eastAsia="仿宋_GB2312"/>
          <w:sz w:val="32"/>
          <w:szCs w:val="32"/>
        </w:rPr>
        <w:t>23.负责会同有关部门编制以工代赈规划，审核和转报以工代赈项目，下达以工代赈资金计划。</w:t>
      </w:r>
    </w:p>
    <w:p w14:paraId="234AEF03">
      <w:pPr>
        <w:spacing w:line="576" w:lineRule="exact"/>
        <w:ind w:firstLine="640" w:firstLineChars="200"/>
        <w:rPr>
          <w:rFonts w:hint="eastAsia" w:ascii="仿宋_GB2312" w:eastAsia="仿宋_GB2312"/>
          <w:sz w:val="32"/>
          <w:szCs w:val="32"/>
        </w:rPr>
      </w:pPr>
      <w:r>
        <w:rPr>
          <w:rFonts w:hint="eastAsia" w:ascii="仿宋_GB2312" w:eastAsia="仿宋_GB2312"/>
          <w:sz w:val="32"/>
          <w:szCs w:val="32"/>
        </w:rPr>
        <w:t>24.负责全市营商环境和社会信用体系建设。</w:t>
      </w:r>
    </w:p>
    <w:p w14:paraId="2AFEE2C4">
      <w:pPr>
        <w:spacing w:line="576" w:lineRule="exact"/>
        <w:ind w:firstLine="640" w:firstLineChars="200"/>
        <w:rPr>
          <w:rFonts w:hint="eastAsia" w:ascii="仿宋_GB2312" w:eastAsia="仿宋_GB2312"/>
          <w:sz w:val="32"/>
          <w:szCs w:val="32"/>
        </w:rPr>
      </w:pPr>
      <w:r>
        <w:rPr>
          <w:rFonts w:hint="eastAsia" w:ascii="仿宋_GB2312" w:eastAsia="仿宋_GB2312"/>
          <w:sz w:val="32"/>
          <w:szCs w:val="32"/>
        </w:rPr>
        <w:t>25.承担中共广元市委财经委员会办公室、广元市川陕革命老区振兴发展领导小组办公室、广元市川东北经济区对接协调小组办公室、广元市国防动员委员会经济动员办公室、广元市实施西部大开发领导小组、广元市低碳发展领导小组、广元市项目策划储备中心、广元市重大项目推进中心、广元市浙广扶贫协作领导小组办公室的具体工作。</w:t>
      </w:r>
    </w:p>
    <w:p w14:paraId="3E0AE870">
      <w:pPr>
        <w:spacing w:line="576" w:lineRule="exact"/>
        <w:ind w:firstLine="640" w:firstLineChars="200"/>
        <w:rPr>
          <w:rFonts w:hint="eastAsia" w:ascii="仿宋_GB2312" w:eastAsia="仿宋_GB2312"/>
          <w:sz w:val="32"/>
          <w:szCs w:val="32"/>
        </w:rPr>
      </w:pPr>
      <w:r>
        <w:rPr>
          <w:rFonts w:hint="eastAsia" w:ascii="仿宋_GB2312" w:eastAsia="仿宋_GB2312"/>
          <w:sz w:val="32"/>
          <w:szCs w:val="32"/>
        </w:rPr>
        <w:t>26.承担市政府公布的有关行政审批事项。</w:t>
      </w:r>
    </w:p>
    <w:p w14:paraId="7C3D5B72">
      <w:pPr>
        <w:spacing w:line="576" w:lineRule="exact"/>
        <w:ind w:firstLine="640" w:firstLineChars="200"/>
        <w:rPr>
          <w:rFonts w:hint="eastAsia" w:ascii="仿宋_GB2312" w:eastAsia="仿宋_GB2312"/>
          <w:sz w:val="32"/>
          <w:szCs w:val="32"/>
        </w:rPr>
      </w:pPr>
      <w:r>
        <w:rPr>
          <w:rFonts w:hint="eastAsia" w:ascii="仿宋_GB2312" w:eastAsia="仿宋_GB2312"/>
          <w:sz w:val="32"/>
          <w:szCs w:val="32"/>
        </w:rPr>
        <w:t>27.负责与省发展改革委、省粮食和物资储备局等省级部门的工作衔接。</w:t>
      </w:r>
    </w:p>
    <w:p w14:paraId="0929A90B">
      <w:pPr>
        <w:spacing w:line="576" w:lineRule="exact"/>
        <w:ind w:firstLine="640" w:firstLineChars="200"/>
        <w:rPr>
          <w:rFonts w:hint="eastAsia" w:ascii="仿宋_GB2312" w:eastAsia="仿宋_GB2312"/>
          <w:sz w:val="32"/>
          <w:szCs w:val="32"/>
        </w:rPr>
      </w:pPr>
      <w:r>
        <w:rPr>
          <w:rFonts w:hint="eastAsia" w:ascii="仿宋_GB2312" w:eastAsia="仿宋_GB2312"/>
          <w:sz w:val="32"/>
          <w:szCs w:val="32"/>
        </w:rPr>
        <w:t>28.依照法律法规和有关规定，对本行业领域的安全生产、环境保护工作实施监督管理，履行安全生产、环境保护行业监督管理职责和本单位安全生产、环境保护工作职责。</w:t>
      </w:r>
    </w:p>
    <w:p w14:paraId="54ED5A22">
      <w:pPr>
        <w:spacing w:line="576" w:lineRule="exact"/>
        <w:ind w:firstLine="640" w:firstLineChars="200"/>
        <w:rPr>
          <w:rFonts w:hint="eastAsia" w:ascii="仿宋_GB2312" w:eastAsia="仿宋_GB2312"/>
          <w:sz w:val="32"/>
          <w:szCs w:val="32"/>
        </w:rPr>
      </w:pPr>
      <w:r>
        <w:rPr>
          <w:rFonts w:hint="eastAsia" w:ascii="仿宋_GB2312" w:eastAsia="仿宋_GB2312"/>
          <w:sz w:val="32"/>
          <w:szCs w:val="32"/>
        </w:rPr>
        <w:t>29.承办市政府交办的其他事项。</w:t>
      </w:r>
    </w:p>
    <w:p w14:paraId="627120E7">
      <w:pPr>
        <w:spacing w:line="576" w:lineRule="exact"/>
        <w:ind w:firstLine="640" w:firstLineChars="200"/>
        <w:rPr>
          <w:rFonts w:hint="eastAsia"/>
        </w:rPr>
      </w:pPr>
      <w:r>
        <w:rPr>
          <w:rFonts w:hint="eastAsia" w:ascii="仿宋_GB2312" w:hAnsi="Times New Roman" w:eastAsia="仿宋_GB2312" w:cs="Times New Roman"/>
          <w:sz w:val="32"/>
          <w:szCs w:val="32"/>
          <w:lang w:val="zh-CN"/>
        </w:rPr>
        <w:t>30.市粮油质量监测站基本职能：承担全市收获环节的粮食质量安全调查和品质测报，收购入库环节、储存环节、出库环节的质量指标和安全指标的例行抽查检验，对“放心粮油”等抽查检验，对全链条的“中国好粮油”和其他流通渠道销售的成品粮油实行跟踪抽检或随机抽检，负责全市学校食堂、农贸市场和放心粮油店及超市粮油食品的风险监测等任务，维护我市粮食质量安全，并反馈粮食质量信息，为研究我市粮情、制定政策、指导工作提供有力参考。负责市级救灾物资管理和储备，协助开展社会救灾物资募集和捐赠接收工作。</w:t>
      </w:r>
    </w:p>
    <w:p w14:paraId="00E7F1FB">
      <w:pPr>
        <w:pStyle w:val="8"/>
        <w:adjustRightInd w:val="0"/>
        <w:snapToGrid w:val="0"/>
        <w:spacing w:before="93" w:line="600" w:lineRule="exact"/>
        <w:ind w:firstLine="672" w:firstLineChars="210"/>
        <w:outlineLvl w:val="2"/>
        <w:rPr>
          <w:rFonts w:hint="eastAsia" w:ascii="仿宋" w:hAnsi="仿宋" w:eastAsia="仿宋"/>
          <w:bCs/>
          <w:color w:val="auto"/>
          <w:sz w:val="32"/>
          <w:szCs w:val="32"/>
          <w:highlight w:val="none"/>
        </w:rPr>
      </w:pPr>
      <w:r>
        <w:rPr>
          <w:rFonts w:hint="eastAsia" w:ascii="仿宋" w:hAnsi="仿宋" w:eastAsia="仿宋"/>
          <w:bCs/>
          <w:color w:val="auto"/>
          <w:sz w:val="32"/>
          <w:szCs w:val="32"/>
          <w:highlight w:val="none"/>
        </w:rPr>
        <w:t>（二）</w:t>
      </w:r>
      <w:r>
        <w:rPr>
          <w:rFonts w:ascii="仿宋" w:hAnsi="仿宋" w:eastAsia="仿宋"/>
          <w:bCs/>
          <w:color w:val="auto"/>
          <w:sz w:val="32"/>
          <w:szCs w:val="32"/>
          <w:highlight w:val="none"/>
        </w:rPr>
        <w:t>20</w:t>
      </w:r>
      <w:r>
        <w:rPr>
          <w:rFonts w:hint="eastAsia" w:ascii="仿宋" w:hAnsi="仿宋" w:eastAsia="仿宋"/>
          <w:bCs/>
          <w:color w:val="auto"/>
          <w:sz w:val="32"/>
          <w:szCs w:val="32"/>
          <w:highlight w:val="none"/>
          <w:lang w:val="en-US" w:eastAsia="zh-CN"/>
        </w:rPr>
        <w:t>23</w:t>
      </w:r>
      <w:r>
        <w:rPr>
          <w:rFonts w:hint="eastAsia" w:ascii="仿宋" w:hAnsi="仿宋" w:eastAsia="仿宋"/>
          <w:bCs/>
          <w:color w:val="auto"/>
          <w:sz w:val="32"/>
          <w:szCs w:val="32"/>
          <w:highlight w:val="none"/>
        </w:rPr>
        <w:t>年重点工作完成情况。</w:t>
      </w:r>
      <w:bookmarkEnd w:id="31"/>
      <w:bookmarkEnd w:id="32"/>
    </w:p>
    <w:p w14:paraId="61ED4FB7">
      <w:pPr>
        <w:spacing w:beforeLines="0" w:afterLines="0" w:line="560" w:lineRule="exact"/>
        <w:ind w:firstLine="640" w:firstLineChars="200"/>
        <w:rPr>
          <w:rFonts w:hint="eastAsia" w:ascii="仿宋_GB2312" w:eastAsia="仿宋_GB2312" w:cs="方正仿宋简体"/>
          <w:color w:val="000000"/>
          <w:sz w:val="32"/>
          <w:szCs w:val="32"/>
        </w:rPr>
      </w:pPr>
      <w:bookmarkStart w:id="33" w:name="_Toc3464"/>
      <w:bookmarkStart w:id="34" w:name="_Toc12012"/>
      <w:bookmarkStart w:id="35" w:name="_Toc15396601"/>
      <w:bookmarkStart w:id="36" w:name="_Toc15377200"/>
      <w:r>
        <w:rPr>
          <w:rFonts w:hint="eastAsia" w:ascii="楷体_GB2312" w:eastAsia="楷体_GB2312"/>
          <w:color w:val="000000"/>
          <w:sz w:val="32"/>
          <w:szCs w:val="32"/>
        </w:rPr>
        <w:t>（一）全市经济运行平稳向好。</w:t>
      </w:r>
      <w:r>
        <w:rPr>
          <w:rFonts w:hint="eastAsia" w:ascii="仿宋_GB2312" w:eastAsia="仿宋_GB2312" w:cs="方正仿宋简体"/>
          <w:color w:val="000000"/>
          <w:sz w:val="32"/>
          <w:szCs w:val="32"/>
        </w:rPr>
        <w:t>科学</w:t>
      </w:r>
      <w:r>
        <w:rPr>
          <w:rFonts w:hint="eastAsia" w:ascii="仿宋_GB2312" w:eastAsia="仿宋_GB2312"/>
          <w:color w:val="000000"/>
          <w:sz w:val="32"/>
          <w:szCs w:val="32"/>
        </w:rPr>
        <w:t>制定年度</w:t>
      </w:r>
      <w:r>
        <w:rPr>
          <w:rFonts w:hint="eastAsia" w:ascii="仿宋_GB2312" w:eastAsia="仿宋_GB2312" w:cs="方正仿宋简体"/>
          <w:color w:val="000000"/>
          <w:sz w:val="32"/>
          <w:szCs w:val="32"/>
        </w:rPr>
        <w:t>、季度</w:t>
      </w:r>
      <w:r>
        <w:rPr>
          <w:rFonts w:hint="eastAsia" w:ascii="仿宋_GB2312" w:eastAsia="仿宋_GB2312"/>
          <w:color w:val="000000"/>
          <w:sz w:val="32"/>
          <w:szCs w:val="32"/>
        </w:rPr>
        <w:t>经济发展主要预期目标，出台推动经济运行整体好转的若干具体政策措施、“拼经济、比发展”运行调度奖惩十条措施等政策，加强年度计划执行情况评估，用好用活经济运行“周监测、月调度、季盘点”机制，召开经济运行分析会、调度会21次，开展综合督查3次，奋力推动经济运行从2022年历史低谷仅用3个季度到2023年9月就实现追平全省超过全国，全年地区生产总值增长6.2%，分别高于全国全省1.0和0.2个百分点</w:t>
      </w:r>
      <w:r>
        <w:rPr>
          <w:rFonts w:hint="eastAsia" w:ascii="仿宋_GB2312" w:eastAsia="仿宋_GB2312" w:cs="方正仿宋简体"/>
          <w:color w:val="000000"/>
          <w:sz w:val="32"/>
          <w:szCs w:val="32"/>
        </w:rPr>
        <w:t>。</w:t>
      </w:r>
    </w:p>
    <w:p w14:paraId="3645597C">
      <w:pPr>
        <w:spacing w:beforeLines="0" w:afterLines="0" w:line="560" w:lineRule="exact"/>
        <w:ind w:firstLine="640" w:firstLineChars="200"/>
        <w:rPr>
          <w:rFonts w:hint="eastAsia" w:ascii="楷体_GB2312" w:eastAsia="楷体_GB2312"/>
          <w:color w:val="000000"/>
          <w:sz w:val="32"/>
          <w:szCs w:val="32"/>
        </w:rPr>
      </w:pPr>
      <w:r>
        <w:rPr>
          <w:rFonts w:hint="eastAsia" w:ascii="楷体_GB2312" w:eastAsia="楷体_GB2312"/>
          <w:color w:val="000000"/>
          <w:sz w:val="32"/>
          <w:szCs w:val="32"/>
        </w:rPr>
        <w:t>（二）参谋助手作用有效发挥。</w:t>
      </w:r>
      <w:r>
        <w:rPr>
          <w:rFonts w:hint="eastAsia" w:ascii="仿宋_GB2312" w:eastAsia="仿宋_GB2312" w:cs="方正仿宋简体"/>
          <w:color w:val="000000"/>
          <w:sz w:val="32"/>
          <w:szCs w:val="32"/>
        </w:rPr>
        <w:t>全面开展“十四五”规划实施中期评估，编制形成“一报告两清单”，挖掘、谋划国家“十四五”规划重大事项广元机遇145个、重大项目860个。加强事关广元高质量发展的重大问题研究，完成推动资源优势向产业优势转变等41个课题研究，研究提出的“支持广元开展革命老区振兴发展试点”等建议被省上纳入加快推进“四类地区”振兴发展意见中，提出的创建国家物流枢纽承载城市等建议得到市委市政府充分肯定，代市政府草拟的建设成渝地区能源粮食安全保障基地的全国全省“两会”建议获得省委省政府领导认可并被省发展改革委纳入工作案例，</w:t>
      </w:r>
      <w:r>
        <w:rPr>
          <w:rFonts w:hint="eastAsia" w:ascii="仿宋_GB2312" w:eastAsia="仿宋_GB2312" w:cs="仿宋_GB2312"/>
          <w:color w:val="000000"/>
          <w:sz w:val="32"/>
          <w:szCs w:val="32"/>
        </w:rPr>
        <w:t>高水平、高标准承办2023中国（广元）物流产业发展大会，我市被授予“全国物流发展创新城市”。</w:t>
      </w:r>
    </w:p>
    <w:p w14:paraId="575963F3">
      <w:pPr>
        <w:spacing w:beforeLines="0" w:afterLines="0" w:line="560" w:lineRule="exact"/>
        <w:ind w:firstLine="640" w:firstLineChars="200"/>
        <w:rPr>
          <w:rFonts w:hint="eastAsia" w:ascii="仿宋_GB2312" w:eastAsia="仿宋_GB2312" w:cs="方正仿宋简体"/>
          <w:color w:val="000000"/>
          <w:sz w:val="32"/>
          <w:szCs w:val="32"/>
        </w:rPr>
      </w:pPr>
      <w:r>
        <w:rPr>
          <w:rFonts w:hint="eastAsia" w:ascii="楷体_GB2312" w:eastAsia="楷体_GB2312"/>
          <w:color w:val="000000"/>
          <w:sz w:val="32"/>
          <w:szCs w:val="32"/>
        </w:rPr>
        <w:t>（三）抓项目促投资稳中有进。</w:t>
      </w:r>
      <w:r>
        <w:rPr>
          <w:rFonts w:hint="eastAsia" w:ascii="仿宋_GB2312" w:eastAsia="仿宋_GB2312" w:cs="方正仿宋简体"/>
          <w:color w:val="000000"/>
          <w:sz w:val="32"/>
          <w:szCs w:val="32"/>
        </w:rPr>
        <w:t>深入实施项目攻坚三年行动，制定市重点项目清单、加快前期工作重点项目清单、“五个一批”项目清单等，常态化储备项目总投资保持在1.3万亿元以上，</w:t>
      </w:r>
      <w:r>
        <w:rPr>
          <w:rFonts w:hint="eastAsia" w:ascii="仿宋_GB2312" w:eastAsia="仿宋_GB2312"/>
          <w:color w:val="000000"/>
          <w:sz w:val="32"/>
          <w:szCs w:val="32"/>
        </w:rPr>
        <w:t>累计向上争取到位各类资金102.38亿元，开展项目投资“拉练评比”活动3次、重大项目现场推进活动4次、重大项目巡礼19期、印发通报19期，</w:t>
      </w:r>
      <w:r>
        <w:rPr>
          <w:rFonts w:hint="eastAsia" w:ascii="仿宋_GB2312" w:eastAsia="仿宋_GB2312" w:cs="方正仿宋简体"/>
          <w:color w:val="000000"/>
          <w:sz w:val="32"/>
          <w:szCs w:val="32"/>
        </w:rPr>
        <w:t>首次实现我市与全省重大项目现场推进活动视频连线，推动广元高铁快运物流基地（二期）等111个重点项目实现开工、中国西部（广元）绿色家居产业城等181个重点</w:t>
      </w:r>
      <w:r>
        <w:rPr>
          <w:rFonts w:hint="eastAsia" w:ascii="仿宋_GB2312" w:eastAsia="仿宋_GB2312" w:cs="方正仿宋简体"/>
          <w:color w:val="000000"/>
          <w:sz w:val="32"/>
          <w:szCs w:val="32"/>
          <w:lang w:eastAsia="zh-CN"/>
        </w:rPr>
        <w:t>项目</w:t>
      </w:r>
      <w:r>
        <w:rPr>
          <w:rFonts w:hint="eastAsia" w:ascii="仿宋_GB2312" w:eastAsia="仿宋_GB2312" w:cs="方正仿宋简体"/>
          <w:color w:val="000000"/>
          <w:sz w:val="32"/>
          <w:szCs w:val="32"/>
        </w:rPr>
        <w:t>加快建设、绵阳至苍溪高速公路等90个重点项目竣工投产，省市重点项目分别提前4个月、2个月完成年度目标任务，全年完成投资超目标任务33.2、19.8个百分点</w:t>
      </w:r>
      <w:r>
        <w:rPr>
          <w:rFonts w:hint="eastAsia" w:ascii="仿宋_GB2312" w:eastAsia="仿宋_GB2312"/>
          <w:color w:val="000000"/>
          <w:sz w:val="32"/>
          <w:szCs w:val="32"/>
        </w:rPr>
        <w:t>，省重点项目推进“红黑榜”前三季度均保持在全省前6位，2023年全市投资增长4.2%</w:t>
      </w:r>
      <w:r>
        <w:rPr>
          <w:rFonts w:hint="eastAsia" w:ascii="仿宋_GB2312" w:eastAsia="仿宋_GB2312"/>
          <w:color w:val="000000"/>
          <w:sz w:val="32"/>
          <w:szCs w:val="32"/>
          <w:lang w:eastAsia="zh-CN"/>
        </w:rPr>
        <w:t>，</w:t>
      </w:r>
      <w:r>
        <w:rPr>
          <w:rFonts w:hint="eastAsia" w:ascii="仿宋_GB2312" w:eastAsia="仿宋_GB2312" w:cs="方正仿宋简体"/>
          <w:color w:val="000000"/>
          <w:sz w:val="32"/>
          <w:szCs w:val="32"/>
        </w:rPr>
        <w:t>一季度项目工作获得省激励资金2800万元。</w:t>
      </w:r>
    </w:p>
    <w:p w14:paraId="1A65B6C8">
      <w:pPr>
        <w:spacing w:beforeLines="0" w:afterLines="0" w:line="560" w:lineRule="exact"/>
        <w:ind w:firstLine="640" w:firstLineChars="200"/>
        <w:rPr>
          <w:rFonts w:hint="eastAsia" w:ascii="仿宋_GB2312" w:eastAsia="仿宋_GB2312" w:cs="仿宋_GB2312"/>
          <w:color w:val="000000"/>
          <w:sz w:val="32"/>
          <w:szCs w:val="32"/>
        </w:rPr>
      </w:pPr>
      <w:r>
        <w:rPr>
          <w:rFonts w:hint="eastAsia" w:ascii="楷体_GB2312" w:eastAsia="楷体_GB2312" w:cs="方正仿宋简体"/>
          <w:color w:val="000000"/>
          <w:sz w:val="32"/>
          <w:szCs w:val="32"/>
        </w:rPr>
        <w:t>（四）重点产业发展持续发力。</w:t>
      </w:r>
      <w:r>
        <w:rPr>
          <w:rFonts w:hint="eastAsia" w:ascii="仿宋_GB2312" w:eastAsia="仿宋_GB2312" w:cs="方正仿宋简体"/>
          <w:color w:val="000000"/>
          <w:sz w:val="32"/>
          <w:szCs w:val="32"/>
        </w:rPr>
        <w:t>统筹协调推动17个重点产</w:t>
      </w:r>
      <w:r>
        <w:rPr>
          <w:rFonts w:hint="eastAsia" w:ascii="仿宋_GB2312" w:eastAsia="仿宋_GB2312" w:cs="仿宋_GB2312"/>
          <w:color w:val="000000"/>
          <w:sz w:val="32"/>
          <w:szCs w:val="32"/>
        </w:rPr>
        <w:t>业专班高效运转，创新开展重点产业“揭榜攻坚”行动，发布首批“揭榜攻坚”项目10个。扎实开展“四新一盘活”行动，严格落实“月度、年度流动红旗”考评激励机制，按期召开重点产业专班调度会，按月印发通报，统筹联动推进重点产业要素保障，全年累计新洽谈、新签约、新开工、新竣工项目619个、450个、828个、988个、盘活困难问题项目（企业）54个。推动开发区高质量发展，研究形成广元市开发区高质量发展课题报告并系统规划开发区重大项目，完成省级开发区突破红线违规开发问题整改90%以上，指导5个省级开发区编制完成发展规划，实现利州工业园区由广元经开区代管。</w:t>
      </w:r>
      <w:r>
        <w:rPr>
          <w:rFonts w:hint="eastAsia" w:ascii="仿宋_GB2312" w:eastAsia="仿宋_GB2312"/>
          <w:color w:val="000000"/>
          <w:sz w:val="32"/>
          <w:szCs w:val="32"/>
        </w:rPr>
        <w:t>扎实推动城市大脑建设。</w:t>
      </w:r>
    </w:p>
    <w:p w14:paraId="68E6E2BA">
      <w:pPr>
        <w:suppressAutoHyphens/>
        <w:spacing w:beforeLines="0" w:afterLines="0" w:line="560" w:lineRule="exact"/>
        <w:ind w:firstLine="640" w:firstLineChars="200"/>
        <w:rPr>
          <w:rFonts w:hint="eastAsia" w:ascii="仿宋_GB2312" w:eastAsia="仿宋_GB2312" w:cs="方正楷体简体"/>
          <w:snapToGrid w:val="0"/>
          <w:color w:val="000000"/>
          <w:sz w:val="32"/>
          <w:szCs w:val="32"/>
        </w:rPr>
      </w:pPr>
      <w:r>
        <w:rPr>
          <w:rFonts w:hint="eastAsia" w:ascii="楷体_GB2312" w:eastAsia="楷体_GB2312"/>
          <w:snapToGrid w:val="0"/>
          <w:color w:val="000000"/>
          <w:sz w:val="32"/>
          <w:szCs w:val="32"/>
        </w:rPr>
        <w:t>（五）</w:t>
      </w:r>
      <w:r>
        <w:rPr>
          <w:rFonts w:hint="eastAsia" w:ascii="楷体_GB2312" w:eastAsia="楷体_GB2312" w:cs="楷体_GB2312"/>
          <w:color w:val="000000"/>
          <w:sz w:val="32"/>
          <w:szCs w:val="32"/>
          <w:lang w:bidi="ar"/>
        </w:rPr>
        <w:t>区域协调发展</w:t>
      </w:r>
      <w:r>
        <w:rPr>
          <w:rFonts w:hint="eastAsia" w:ascii="楷体_GB2312" w:eastAsia="楷体_GB2312"/>
          <w:snapToGrid w:val="0"/>
          <w:color w:val="000000"/>
          <w:sz w:val="32"/>
          <w:szCs w:val="32"/>
        </w:rPr>
        <w:t>深入实施</w:t>
      </w:r>
      <w:r>
        <w:rPr>
          <w:rFonts w:hint="eastAsia" w:ascii="仿宋_GB2312" w:eastAsia="仿宋_GB2312"/>
          <w:snapToGrid w:val="0"/>
          <w:color w:val="000000"/>
          <w:sz w:val="32"/>
          <w:szCs w:val="32"/>
        </w:rPr>
        <w:t>。</w:t>
      </w:r>
      <w:r>
        <w:rPr>
          <w:rFonts w:hint="eastAsia" w:ascii="仿宋_GB2312" w:eastAsia="仿宋_GB2312" w:cs="仿宋_GB2312"/>
          <w:snapToGrid w:val="0"/>
          <w:color w:val="000000"/>
          <w:sz w:val="32"/>
          <w:szCs w:val="32"/>
        </w:rPr>
        <w:t>主动融入成渝地区双城经济圈建设，新签约成渝地区双城经济圈项目116个、总投资391.18亿元。协同推动川东北经济区振兴发展，加快阆苍南一体化协同发展。</w:t>
      </w:r>
      <w:r>
        <w:rPr>
          <w:rFonts w:hint="eastAsia" w:ascii="仿宋_GB2312" w:eastAsia="仿宋_GB2312" w:cs="方正楷体简体"/>
          <w:snapToGrid w:val="0"/>
          <w:color w:val="000000"/>
          <w:sz w:val="32"/>
          <w:szCs w:val="32"/>
        </w:rPr>
        <w:t>推动县域经济高质量发展，深入开展我市3个欠发达县托底性帮扶工作，制定2024年重点指导支持项目清单、产业清单、平台清单和2023—2027年经济社会发展预期目标，积极培育壮大县域经济。加快推进以县域为重要载体的新型城镇化建设，印发《广元市“十四五”新型城镇化实施方案》，争取青川县入选全省县城新型城镇化建设试点县，2023年常住人口城镇化率达49.57%，持续开展“特色小镇”规范纠偏。</w:t>
      </w:r>
    </w:p>
    <w:p w14:paraId="7EDD219C">
      <w:pPr>
        <w:spacing w:beforeLines="0" w:afterLines="0" w:line="560" w:lineRule="exact"/>
        <w:ind w:firstLine="640" w:firstLineChars="200"/>
        <w:rPr>
          <w:rFonts w:hint="eastAsia" w:ascii="仿宋_GB2312" w:eastAsia="仿宋_GB2312" w:cs="方正仿宋简体"/>
          <w:color w:val="000000"/>
          <w:sz w:val="32"/>
          <w:szCs w:val="32"/>
        </w:rPr>
      </w:pPr>
      <w:r>
        <w:rPr>
          <w:rFonts w:hint="eastAsia" w:ascii="楷体_GB2312" w:eastAsia="楷体_GB2312"/>
          <w:snapToGrid w:val="0"/>
          <w:color w:val="000000"/>
          <w:sz w:val="32"/>
          <w:szCs w:val="32"/>
        </w:rPr>
        <w:t>（六）绿色低碳发展稳妥有序。</w:t>
      </w:r>
      <w:r>
        <w:rPr>
          <w:rFonts w:hint="eastAsia" w:ascii="仿宋_GB2312" w:eastAsia="仿宋_GB2312" w:cs="方正楷体简体"/>
          <w:snapToGrid w:val="0"/>
          <w:color w:val="000000"/>
          <w:sz w:val="32"/>
          <w:szCs w:val="32"/>
        </w:rPr>
        <w:t>绿色低碳发展稳妥有序。碳达峰碳中和“1+N”政策体系加快完善，印发《广元市碳达峰实施方案》《加快建立健全绿色低碳循环发展经济体系工作方案》等系列文件。严格实施能源消费强度和总量“双控”制度，全市单位GDP能耗下降2.9%</w:t>
      </w:r>
      <w:r>
        <w:rPr>
          <w:rFonts w:hint="eastAsia" w:ascii="仿宋_GB2312" w:eastAsia="仿宋_GB2312" w:cs="方正楷体简体"/>
          <w:snapToGrid w:val="0"/>
          <w:color w:val="000000"/>
          <w:sz w:val="32"/>
          <w:szCs w:val="32"/>
          <w:lang w:eastAsia="zh-CN"/>
        </w:rPr>
        <w:t>（</w:t>
      </w:r>
      <w:r>
        <w:rPr>
          <w:rFonts w:hint="eastAsia" w:ascii="仿宋_GB2312" w:eastAsia="仿宋_GB2312" w:cs="方正楷体简体"/>
          <w:snapToGrid w:val="0"/>
          <w:color w:val="000000"/>
          <w:sz w:val="32"/>
          <w:szCs w:val="32"/>
        </w:rPr>
        <w:t>全口径）。大力开展生态产品价值实现机制试点，50个试点项目加快推进，推出15个试点示范单位，完成2022年广元市和四县三区生态产品总值（GEP）核算报告编制，成功举办全省首次生态产品价值实现机制试点经验交流现场会、全国节能宣传周、全国生态日广元主题活动，我市多元探索生态产品价值实现路径经验案例被国家推长办印发推介，经验做法多次被省发展改革委作为典型案例示范推广。持续抓好生态环境突出问题整改，6个国家移交问题已完成整改4个，21个省级移交问题已完成整改19个。</w:t>
      </w:r>
    </w:p>
    <w:p w14:paraId="28213409">
      <w:pPr>
        <w:spacing w:beforeLines="0" w:afterLines="0" w:line="560" w:lineRule="exact"/>
        <w:ind w:firstLine="640" w:firstLineChars="200"/>
        <w:rPr>
          <w:rFonts w:hint="eastAsia" w:ascii="楷体_GB2312" w:eastAsia="楷体_GB2312" w:cs="华文仿宋"/>
          <w:snapToGrid w:val="0"/>
          <w:color w:val="000000"/>
          <w:sz w:val="32"/>
          <w:szCs w:val="32"/>
        </w:rPr>
      </w:pPr>
      <w:r>
        <w:rPr>
          <w:rFonts w:hint="eastAsia" w:ascii="楷体_GB2312" w:eastAsia="楷体_GB2312" w:cs="华文仿宋"/>
          <w:snapToGrid w:val="0"/>
          <w:color w:val="000000"/>
          <w:sz w:val="32"/>
          <w:szCs w:val="32"/>
        </w:rPr>
        <w:t>（七）成渝地区能源粮食安全保障基地加快建设。</w:t>
      </w:r>
      <w:r>
        <w:rPr>
          <w:rFonts w:hint="eastAsia" w:ascii="仿宋_GB2312" w:eastAsia="仿宋_GB2312" w:cs="仿宋_GB2312"/>
          <w:color w:val="000000"/>
          <w:sz w:val="32"/>
          <w:szCs w:val="32"/>
          <w:lang w:bidi="ar"/>
        </w:rPr>
        <w:t>编制《广元市建设成渝双城圈能源安全战略基地实施方案》</w:t>
      </w:r>
      <w:r>
        <w:rPr>
          <w:rFonts w:hint="eastAsia" w:ascii="仿宋_GB2312" w:eastAsia="仿宋_GB2312" w:cs="方正楷体简体"/>
          <w:snapToGrid w:val="0"/>
          <w:color w:val="000000"/>
          <w:sz w:val="32"/>
          <w:szCs w:val="32"/>
        </w:rPr>
        <w:t>，引领千万千瓦级装机电源基地、百亿立方米级天然气产能基地、煤炭高效清洁利用示范基地、区域能源储备基地加快建设，</w:t>
      </w:r>
      <w:r>
        <w:rPr>
          <w:rFonts w:hint="eastAsia" w:ascii="仿宋_GB2312" w:eastAsia="仿宋_GB2312"/>
          <w:color w:val="000000"/>
          <w:sz w:val="32"/>
          <w:szCs w:val="32"/>
        </w:rPr>
        <w:t>昭化白果二期、剑阁天台山三期、嘉陵江八庙沟水电站等实现并网发电，总投资300亿元的中煤广元煤电一体化项目不到6个月实现成功签约，中煤广元燃煤发电项目实现年内签约、年内核准、年内完成投资决策，创造了中煤“广元速度”，</w:t>
      </w:r>
      <w:r>
        <w:rPr>
          <w:rStyle w:val="49"/>
          <w:rFonts w:hint="eastAsia" w:ascii="仿宋_GB2312" w:eastAsia="仿宋_GB2312" w:cs="方正仿宋简体"/>
          <w:snapToGrid w:val="0"/>
          <w:color w:val="000000"/>
          <w:sz w:val="32"/>
          <w:szCs w:val="32"/>
        </w:rPr>
        <w:t>四川能投广元燃机工程、</w:t>
      </w:r>
      <w:r>
        <w:rPr>
          <w:rFonts w:hint="eastAsia" w:ascii="仿宋_GB2312" w:eastAsia="仿宋_GB2312"/>
          <w:color w:val="000000"/>
          <w:sz w:val="32"/>
          <w:szCs w:val="32"/>
        </w:rPr>
        <w:t>广汇四川广元综合物流基地等项目加快建设。坚决扛牢粮食安全党政同责，编制</w:t>
      </w:r>
      <w:r>
        <w:rPr>
          <w:rFonts w:hint="eastAsia" w:ascii="仿宋_GB2312" w:eastAsia="仿宋_GB2312" w:cs="仿宋_GB2312"/>
          <w:color w:val="000000"/>
          <w:sz w:val="32"/>
          <w:szCs w:val="32"/>
          <w:lang w:bidi="ar"/>
        </w:rPr>
        <w:t>《成渝地区粮食安全保障基地（广元）实施方案》，持续推动</w:t>
      </w:r>
      <w:r>
        <w:rPr>
          <w:rFonts w:hint="eastAsia" w:ascii="仿宋_GB2312" w:eastAsia="仿宋_GB2312" w:cs="仿宋_GB2312"/>
          <w:color w:val="000000"/>
          <w:sz w:val="32"/>
          <w:szCs w:val="32"/>
        </w:rPr>
        <w:t>32万吨标准粮仓建设，地方</w:t>
      </w:r>
      <w:r>
        <w:rPr>
          <w:rFonts w:hint="eastAsia" w:ascii="仿宋_GB2312" w:eastAsia="仿宋_GB2312"/>
          <w:color w:val="000000"/>
          <w:sz w:val="32"/>
          <w:szCs w:val="32"/>
        </w:rPr>
        <w:t>政策性储备粮油规模达到17.68万吨，全</w:t>
      </w:r>
      <w:r>
        <w:rPr>
          <w:rFonts w:hint="eastAsia" w:ascii="仿宋_GB2312" w:eastAsia="仿宋_GB2312" w:cs="华文仿宋"/>
          <w:snapToGrid w:val="0"/>
          <w:color w:val="000000"/>
          <w:sz w:val="32"/>
          <w:szCs w:val="32"/>
        </w:rPr>
        <w:t>面完成22个政府储备粮库区粮食信息化监管平台提档升级，实现与</w:t>
      </w:r>
      <w:r>
        <w:rPr>
          <w:rFonts w:hint="eastAsia" w:ascii="仿宋_GB2312" w:eastAsia="仿宋_GB2312"/>
          <w:color w:val="000000"/>
          <w:sz w:val="32"/>
          <w:szCs w:val="32"/>
        </w:rPr>
        <w:t>国省粮油监管平台对接，</w:t>
      </w:r>
      <w:r>
        <w:rPr>
          <w:rFonts w:hint="eastAsia" w:ascii="仿宋_GB2312" w:eastAsia="仿宋_GB2312" w:cs="仿宋_GB2312"/>
          <w:color w:val="000000"/>
          <w:sz w:val="32"/>
          <w:szCs w:val="32"/>
          <w:lang w:bidi="ar"/>
        </w:rPr>
        <w:t>粮食安全党政同责考核获全省“优秀”等次。</w:t>
      </w:r>
    </w:p>
    <w:p w14:paraId="1BDAB570">
      <w:pPr>
        <w:spacing w:beforeLines="0" w:afterLines="0" w:line="560" w:lineRule="exact"/>
        <w:ind w:firstLine="640" w:firstLineChars="200"/>
        <w:rPr>
          <w:rFonts w:hint="eastAsia" w:ascii="仿宋_GB2312" w:eastAsia="仿宋_GB2312" w:cs="华文仿宋"/>
          <w:snapToGrid w:val="0"/>
          <w:color w:val="000000"/>
          <w:sz w:val="32"/>
          <w:szCs w:val="32"/>
        </w:rPr>
      </w:pPr>
      <w:r>
        <w:rPr>
          <w:rFonts w:hint="eastAsia" w:ascii="楷体_GB2312" w:eastAsia="楷体_GB2312" w:cs="华文仿宋"/>
          <w:snapToGrid w:val="0"/>
          <w:color w:val="000000"/>
          <w:sz w:val="32"/>
          <w:szCs w:val="32"/>
        </w:rPr>
        <w:t>（八）最优营商环境持续打造。</w:t>
      </w:r>
      <w:r>
        <w:rPr>
          <w:rFonts w:hint="eastAsia" w:ascii="仿宋_GB2312" w:eastAsia="仿宋_GB2312"/>
          <w:color w:val="000000"/>
          <w:sz w:val="32"/>
          <w:szCs w:val="32"/>
        </w:rPr>
        <w:t>扎实推进经济体制改革，稳妥推进我委牵头的30项经济体制改革任务，完成加强战略和应急物资储备安全管理等改革任务。</w:t>
      </w:r>
      <w:r>
        <w:rPr>
          <w:rFonts w:hint="eastAsia" w:ascii="仿宋_GB2312" w:eastAsia="仿宋_GB2312" w:cs="华文仿宋"/>
          <w:snapToGrid w:val="0"/>
          <w:color w:val="000000"/>
          <w:sz w:val="32"/>
          <w:szCs w:val="32"/>
        </w:rPr>
        <w:t>开展工程招投标领域突出问题系统治理五大行动，构建招投标领域“阳光招标+信用监管”机制，招标投标营商环境指标测评位列全省良好等次。拓展“刷脸办”“不动产转移登记+水电气”联动过户等便捷办电模式，各项办电指标达到全省最优水平，电力“精算师”服务等经验做法在全省推广，获得电力营商环境指标测评连续两年位列全省前三。深化信用体系建设，发布2022年度“信用广元”重点领域诚信红榜543例，综合信用指数连续14个月位列全省第一，成功创建第四批全国社会信用体系建设示范区。</w:t>
      </w:r>
    </w:p>
    <w:p w14:paraId="3FB6388E">
      <w:pPr>
        <w:spacing w:beforeLines="0" w:afterLines="0" w:line="560" w:lineRule="exact"/>
        <w:ind w:firstLine="640" w:firstLineChars="200"/>
        <w:rPr>
          <w:rFonts w:hint="eastAsia" w:ascii="仿宋_GB2312" w:eastAsia="仿宋_GB2312"/>
          <w:color w:val="000000"/>
          <w:sz w:val="32"/>
          <w:szCs w:val="32"/>
        </w:rPr>
      </w:pPr>
      <w:r>
        <w:rPr>
          <w:rFonts w:hint="eastAsia" w:ascii="楷体_GB2312" w:eastAsia="楷体_GB2312" w:cs="华文仿宋"/>
          <w:snapToGrid w:val="0"/>
          <w:color w:val="000000"/>
          <w:sz w:val="32"/>
          <w:szCs w:val="32"/>
        </w:rPr>
        <w:t>（九）民生福祉持续改善。</w:t>
      </w:r>
      <w:r>
        <w:rPr>
          <w:rFonts w:hint="eastAsia" w:ascii="仿宋_GB2312" w:eastAsia="仿宋_GB2312" w:cs="方正仿宋简体"/>
          <w:color w:val="000000"/>
          <w:sz w:val="32"/>
          <w:szCs w:val="32"/>
        </w:rPr>
        <w:t>统筹推动实施</w:t>
      </w:r>
      <w:r>
        <w:rPr>
          <w:rFonts w:hint="eastAsia" w:ascii="仿宋_GB2312" w:eastAsia="仿宋_GB2312"/>
          <w:color w:val="000000"/>
          <w:sz w:val="32"/>
          <w:szCs w:val="32"/>
        </w:rPr>
        <w:t>《广元市“一老一小”整体解决方案》《广元市基本公共服务标准（2022年版）》</w:t>
      </w:r>
      <w:r>
        <w:rPr>
          <w:rFonts w:hint="eastAsia" w:ascii="仿宋_GB2312" w:eastAsia="仿宋_GB2312" w:cs="方正仿宋简体"/>
          <w:color w:val="000000"/>
          <w:sz w:val="32"/>
          <w:szCs w:val="32"/>
        </w:rPr>
        <w:t>，公共服务设施不断改善，成功入选建设国家儿童友好城市名单。</w:t>
      </w:r>
      <w:r>
        <w:rPr>
          <w:rFonts w:hint="eastAsia" w:ascii="仿宋_GB2312" w:eastAsia="仿宋_GB2312"/>
          <w:color w:val="000000"/>
          <w:kern w:val="0"/>
          <w:sz w:val="32"/>
          <w:szCs w:val="32"/>
        </w:rPr>
        <w:t>建立重要民生商品价格调控工作市级协调机制，</w:t>
      </w:r>
      <w:r>
        <w:rPr>
          <w:rFonts w:hint="eastAsia" w:ascii="仿宋_GB2312" w:eastAsia="仿宋_GB2312"/>
          <w:color w:val="000000"/>
          <w:sz w:val="32"/>
          <w:szCs w:val="32"/>
        </w:rPr>
        <w:t>落实市级政府冻猪肉常规储备350吨</w:t>
      </w:r>
      <w:r>
        <w:rPr>
          <w:rFonts w:hint="eastAsia" w:ascii="仿宋_GB2312" w:eastAsia="仿宋_GB2312"/>
          <w:color w:val="000000"/>
          <w:kern w:val="0"/>
          <w:sz w:val="32"/>
          <w:szCs w:val="32"/>
        </w:rPr>
        <w:t>，</w:t>
      </w:r>
      <w:r>
        <w:rPr>
          <w:rFonts w:hint="eastAsia" w:ascii="仿宋_GB2312" w:eastAsia="仿宋_GB2312" w:cs="方正仿宋简体"/>
          <w:color w:val="000000"/>
          <w:sz w:val="32"/>
          <w:szCs w:val="32"/>
        </w:rPr>
        <w:t>继续落实小微企业和个体工商户供水供电供气“欠费不停供”优惠政策，</w:t>
      </w:r>
      <w:r>
        <w:rPr>
          <w:rFonts w:hint="eastAsia" w:ascii="仿宋_GB2312" w:eastAsia="仿宋_GB2312"/>
          <w:color w:val="000000"/>
          <w:kern w:val="0"/>
          <w:sz w:val="32"/>
          <w:szCs w:val="32"/>
        </w:rPr>
        <w:t>全市价格形势总体稳定，居民消费价格指数（CPI)同比下降0.1%，圆满完成全年3%左右的省下价格涨幅控制目标。修订公布行政事业性收费、涉企经营服务性、涉农收费项目和价格三张清单，</w:t>
      </w:r>
      <w:r>
        <w:rPr>
          <w:rFonts w:hint="eastAsia" w:ascii="仿宋_GB2312" w:eastAsia="仿宋_GB2312"/>
          <w:color w:val="000000"/>
          <w:sz w:val="32"/>
          <w:szCs w:val="32"/>
        </w:rPr>
        <w:t>开展水电气领域涉企违规收费、教育乱收费专项整治和行业协会商会乱收费治理“回头看”，持续增强</w:t>
      </w:r>
      <w:r>
        <w:rPr>
          <w:rFonts w:hint="eastAsia" w:ascii="仿宋_GB2312" w:eastAsia="仿宋_GB2312"/>
          <w:color w:val="000000"/>
          <w:kern w:val="0"/>
          <w:sz w:val="32"/>
          <w:szCs w:val="32"/>
        </w:rPr>
        <w:t>价格和收费政策透明度。</w:t>
      </w:r>
      <w:r>
        <w:rPr>
          <w:rFonts w:hint="eastAsia" w:ascii="仿宋_GB2312" w:eastAsia="仿宋_GB2312"/>
          <w:color w:val="000000"/>
          <w:sz w:val="32"/>
          <w:szCs w:val="32"/>
        </w:rPr>
        <w:t>强化价格监审和认定，核减不合理成本50516.59万元，核减率为40.35%，</w:t>
      </w:r>
      <w:r>
        <w:rPr>
          <w:rFonts w:hint="eastAsia" w:ascii="仿宋_GB2312" w:eastAsia="仿宋_GB2312" w:cs="仿宋"/>
          <w:color w:val="000000"/>
          <w:sz w:val="32"/>
          <w:szCs w:val="32"/>
        </w:rPr>
        <w:t>办理各类涉案财物价格认定405件、金额</w:t>
      </w:r>
      <w:r>
        <w:rPr>
          <w:rFonts w:hint="eastAsia" w:ascii="仿宋"/>
          <w:color w:val="000000"/>
          <w:sz w:val="32"/>
          <w:szCs w:val="32"/>
        </w:rPr>
        <w:t>3996.6万元</w:t>
      </w:r>
      <w:r>
        <w:rPr>
          <w:rFonts w:hint="eastAsia" w:ascii="仿宋_GB2312" w:eastAsia="仿宋_GB2312"/>
          <w:color w:val="000000"/>
          <w:sz w:val="32"/>
          <w:szCs w:val="32"/>
        </w:rPr>
        <w:t>。</w:t>
      </w:r>
    </w:p>
    <w:p w14:paraId="09BCEA18">
      <w:pPr>
        <w:spacing w:beforeLines="0" w:afterLines="0" w:line="560" w:lineRule="exact"/>
        <w:ind w:firstLine="640" w:firstLineChars="200"/>
        <w:rPr>
          <w:rFonts w:hint="eastAsia" w:ascii="仿宋_GB2312" w:eastAsia="仿宋_GB2312"/>
          <w:color w:val="000000"/>
          <w:kern w:val="0"/>
          <w:sz w:val="32"/>
          <w:szCs w:val="32"/>
        </w:rPr>
      </w:pPr>
      <w:r>
        <w:rPr>
          <w:rFonts w:hint="eastAsia" w:ascii="楷体_GB2312" w:eastAsia="楷体_GB2312"/>
          <w:color w:val="000000"/>
          <w:sz w:val="32"/>
          <w:szCs w:val="32"/>
        </w:rPr>
        <w:t>（十）</w:t>
      </w:r>
      <w:r>
        <w:rPr>
          <w:rFonts w:hint="eastAsia" w:ascii="楷体_GB2312" w:eastAsia="楷体_GB2312" w:cs="仿宋_GB2312"/>
          <w:color w:val="000000"/>
          <w:sz w:val="32"/>
          <w:szCs w:val="32"/>
        </w:rPr>
        <w:t>新型发改机关加快建设</w:t>
      </w:r>
      <w:r>
        <w:rPr>
          <w:rFonts w:hint="eastAsia" w:ascii="仿宋_GB2312" w:eastAsia="仿宋_GB2312" w:cs="仿宋_GB2312"/>
          <w:color w:val="000000"/>
          <w:sz w:val="32"/>
          <w:szCs w:val="32"/>
        </w:rPr>
        <w:t>。</w:t>
      </w:r>
      <w:r>
        <w:rPr>
          <w:rFonts w:hint="eastAsia" w:ascii="仿宋_GB2312" w:eastAsia="仿宋_GB2312"/>
          <w:color w:val="000000"/>
          <w:kern w:val="0"/>
          <w:sz w:val="32"/>
          <w:szCs w:val="32"/>
        </w:rPr>
        <w:t>鲜明政治机关第一属性，深入学习贯彻</w:t>
      </w:r>
      <w:r>
        <w:rPr>
          <w:rFonts w:hint="eastAsia" w:ascii="仿宋_GB2312" w:eastAsia="仿宋_GB2312"/>
          <w:color w:val="000000"/>
          <w:sz w:val="32"/>
          <w:szCs w:val="32"/>
        </w:rPr>
        <w:t>习近平总书记来川来广视察重要指示精神，深入苍溪县、重点项目一线等地开展宣讲，制定《深入学习贯彻习近平总书记来川来广视察重要指示精神推动全市经济运行整体好转的实施方案》，推进习近平</w:t>
      </w:r>
      <w:r>
        <w:rPr>
          <w:rFonts w:hint="eastAsia" w:ascii="仿宋_GB2312" w:eastAsia="仿宋_GB2312"/>
          <w:color w:val="000000"/>
          <w:kern w:val="0"/>
          <w:sz w:val="32"/>
          <w:szCs w:val="32"/>
        </w:rPr>
        <w:t>总书记重要指示精神在发展改革系统落地见效。扎实推进第二批主题教育，开展读书班集中学习7天，“牢记嘱托</w:t>
      </w:r>
      <w:r>
        <w:rPr>
          <w:rFonts w:hint="eastAsia" w:ascii="仿宋_GB2312" w:eastAsia="仿宋_GB2312" w:cs="仿宋_GB2312"/>
          <w:color w:val="000000"/>
          <w:kern w:val="0"/>
          <w:sz w:val="32"/>
          <w:szCs w:val="32"/>
        </w:rPr>
        <w:t>·</w:t>
      </w:r>
      <w:r>
        <w:rPr>
          <w:rFonts w:hint="eastAsia" w:ascii="仿宋_GB2312" w:eastAsia="仿宋_GB2312"/>
          <w:color w:val="000000"/>
          <w:kern w:val="0"/>
          <w:sz w:val="32"/>
          <w:szCs w:val="32"/>
        </w:rPr>
        <w:t>感恩奋进”“四下基层”等专题研讨5次，扎实开展委领导班子调研课题，重点解决4个制约开发区高质量发展的问题，形成正反面案例各1个，采取“清单制+责任制+销号制”确保委检视1个问题、省市联动问题1个全部整改到位。扎实做好驻村帮扶工作，助力巩固脱贫攻坚成果。乡村振兴帮扶有力有效，选派6名党员干部接力驻村帮扶，年内为帮扶村协调争取项目资金800余万元，开展“以购代扶”销售农户农特产品10万余元，带动两村250多户增收致富</w:t>
      </w:r>
      <w:r>
        <w:rPr>
          <w:rFonts w:hint="eastAsia" w:ascii="仿宋_GB2312" w:eastAsia="仿宋_GB2312" w:cs="仿宋_GB2312"/>
          <w:color w:val="000000"/>
          <w:sz w:val="32"/>
          <w:szCs w:val="32"/>
        </w:rPr>
        <w:t>。</w:t>
      </w:r>
      <w:r>
        <w:rPr>
          <w:rFonts w:hint="eastAsia" w:ascii="仿宋_GB2312" w:eastAsia="仿宋_GB2312"/>
          <w:color w:val="000000"/>
          <w:kern w:val="0"/>
          <w:sz w:val="32"/>
          <w:szCs w:val="32"/>
        </w:rPr>
        <w:t>加强队伍建设，举办“广元发改讲坛”35期，开展“学习标兵”“优秀授课人”评选，提拔使用年轻科级领导干部9人、晋升17人，轮换驻村帮扶干部6人，24人次被市级及以上单位通报表扬，1人被记一等功</w:t>
      </w:r>
      <w:r>
        <w:rPr>
          <w:rFonts w:hint="eastAsia" w:ascii="仿宋_GB2312" w:eastAsia="仿宋_GB2312" w:cs="黑体"/>
          <w:color w:val="000000"/>
          <w:sz w:val="32"/>
          <w:szCs w:val="32"/>
        </w:rPr>
        <w:t>。</w:t>
      </w:r>
      <w:r>
        <w:rPr>
          <w:rFonts w:hint="eastAsia" w:ascii="仿宋_GB2312" w:eastAsia="仿宋_GB2312" w:cs="仿宋_GB2312"/>
          <w:color w:val="000000"/>
          <w:sz w:val="32"/>
          <w:szCs w:val="32"/>
        </w:rPr>
        <w:t>加强党风廉政建设，常态化开展遵规守纪检查和警示教育活动，制定全面从严治党主体责任清单、重点权力运行风险联防联控清单，建立全面从严治党工作“三本台账”，配合完成八届市委第四轮巡</w:t>
      </w:r>
      <w:r>
        <w:rPr>
          <w:rFonts w:hint="eastAsia" w:ascii="仿宋_GB2312" w:eastAsia="仿宋_GB2312"/>
          <w:color w:val="000000"/>
          <w:kern w:val="0"/>
          <w:sz w:val="32"/>
          <w:szCs w:val="32"/>
        </w:rPr>
        <w:t>察，巡察反馈15个问题37个具体表现已完成整改问题34个，因客观原因不具备完成整改条件1个，长期坚持整改问题2个。</w:t>
      </w:r>
    </w:p>
    <w:p w14:paraId="2A9EAF84">
      <w:pPr>
        <w:spacing w:beforeLines="0" w:afterLines="0" w:line="560" w:lineRule="exact"/>
        <w:ind w:firstLine="640" w:firstLineChars="200"/>
        <w:rPr>
          <w:rFonts w:hint="eastAsia" w:ascii="黑体" w:eastAsia="黑体"/>
          <w:color w:val="000000"/>
          <w:sz w:val="32"/>
          <w:szCs w:val="32"/>
        </w:rPr>
      </w:pPr>
      <w:r>
        <w:rPr>
          <w:rFonts w:hint="eastAsia" w:ascii="仿宋_GB2312" w:eastAsia="仿宋_GB2312" w:cs="宋体"/>
          <w:color w:val="000000"/>
          <w:kern w:val="0"/>
          <w:sz w:val="32"/>
          <w:szCs w:val="32"/>
        </w:rPr>
        <w:t>此外，我们还在依法行政、应急物资储备、粮食质量安全检测监测、安全生产、综治维稳、禁毒工作、意识形态工作、河（湖）长制、林长制、田长制、乡村振兴、政务公开、保密、提案议案办理等方面也开展了大量富有成效的工作。</w:t>
      </w:r>
    </w:p>
    <w:p w14:paraId="24BBCE18">
      <w:pPr>
        <w:pStyle w:val="2"/>
        <w:rPr>
          <w:rFonts w:hint="eastAsia"/>
        </w:rPr>
      </w:pPr>
    </w:p>
    <w:p w14:paraId="6004610D">
      <w:pPr>
        <w:pStyle w:val="4"/>
        <w:rPr>
          <w:rStyle w:val="26"/>
          <w:b w:val="0"/>
          <w:bCs w:val="0"/>
          <w:color w:val="auto"/>
          <w:highlight w:val="none"/>
        </w:rPr>
      </w:pPr>
      <w:r>
        <w:rPr>
          <w:rFonts w:hint="eastAsia" w:ascii="黑体" w:eastAsia="黑体"/>
          <w:b w:val="0"/>
          <w:color w:val="auto"/>
          <w:highlight w:val="none"/>
        </w:rPr>
        <w:t>二、</w:t>
      </w:r>
      <w:r>
        <w:rPr>
          <w:rFonts w:hint="eastAsia" w:ascii="黑体" w:hAnsi="黑体" w:eastAsia="黑体"/>
          <w:b w:val="0"/>
          <w:color w:val="auto"/>
          <w:highlight w:val="none"/>
        </w:rPr>
        <w:t>机</w:t>
      </w:r>
      <w:r>
        <w:rPr>
          <w:rStyle w:val="26"/>
          <w:rFonts w:hint="eastAsia" w:ascii="黑体" w:hAnsi="黑体" w:eastAsia="黑体"/>
          <w:b w:val="0"/>
          <w:bCs w:val="0"/>
          <w:color w:val="auto"/>
          <w:highlight w:val="none"/>
        </w:rPr>
        <w:t>构设置</w:t>
      </w:r>
      <w:bookmarkEnd w:id="33"/>
      <w:bookmarkEnd w:id="34"/>
      <w:bookmarkEnd w:id="35"/>
      <w:bookmarkEnd w:id="36"/>
    </w:p>
    <w:p w14:paraId="10C2B09B">
      <w:pPr>
        <w:ind w:firstLine="800" w:firstLineChars="250"/>
        <w:rPr>
          <w:rFonts w:hint="eastAsia" w:ascii="仿宋" w:hAnsi="仿宋" w:eastAsia="仿宋"/>
          <w:color w:val="auto"/>
          <w:sz w:val="32"/>
          <w:szCs w:val="32"/>
          <w:highlight w:val="none"/>
          <w:lang w:val="en-US" w:eastAsia="zh-CN"/>
        </w:rPr>
      </w:pPr>
      <w:r>
        <w:rPr>
          <w:rFonts w:hint="eastAsia" w:ascii="仿宋" w:hAnsi="仿宋" w:eastAsia="仿宋"/>
          <w:color w:val="auto"/>
          <w:sz w:val="32"/>
          <w:szCs w:val="32"/>
          <w:highlight w:val="none"/>
          <w:lang w:eastAsia="zh-CN"/>
        </w:rPr>
        <w:t>广元市发展和改革委员会</w:t>
      </w:r>
      <w:r>
        <w:rPr>
          <w:rFonts w:hint="eastAsia" w:ascii="仿宋" w:hAnsi="仿宋" w:eastAsia="仿宋"/>
          <w:color w:val="auto"/>
          <w:sz w:val="32"/>
          <w:szCs w:val="32"/>
          <w:highlight w:val="none"/>
        </w:rPr>
        <w:t>下属二级单位</w:t>
      </w:r>
      <w:r>
        <w:rPr>
          <w:rFonts w:hint="eastAsia" w:ascii="仿宋" w:hAnsi="仿宋" w:eastAsia="仿宋"/>
          <w:color w:val="auto"/>
          <w:sz w:val="32"/>
          <w:szCs w:val="32"/>
          <w:highlight w:val="none"/>
          <w:lang w:val="en-US" w:eastAsia="zh-CN"/>
        </w:rPr>
        <w:t>5</w:t>
      </w:r>
      <w:r>
        <w:rPr>
          <w:rFonts w:hint="eastAsia" w:ascii="仿宋" w:hAnsi="仿宋" w:eastAsia="仿宋"/>
          <w:color w:val="auto"/>
          <w:sz w:val="32"/>
          <w:szCs w:val="32"/>
          <w:highlight w:val="none"/>
        </w:rPr>
        <w:t>个，其中行政单位</w:t>
      </w:r>
      <w:r>
        <w:rPr>
          <w:rFonts w:hint="eastAsia" w:ascii="仿宋" w:hAnsi="仿宋" w:eastAsia="仿宋"/>
          <w:color w:val="auto"/>
          <w:sz w:val="32"/>
          <w:szCs w:val="32"/>
          <w:highlight w:val="none"/>
          <w:lang w:val="en-US" w:eastAsia="zh-CN"/>
        </w:rPr>
        <w:t>1</w:t>
      </w:r>
      <w:r>
        <w:rPr>
          <w:rFonts w:hint="eastAsia" w:ascii="仿宋" w:hAnsi="仿宋" w:eastAsia="仿宋"/>
          <w:color w:val="auto"/>
          <w:sz w:val="32"/>
          <w:szCs w:val="32"/>
          <w:highlight w:val="none"/>
        </w:rPr>
        <w:t>个，其他事业单位</w:t>
      </w:r>
      <w:r>
        <w:rPr>
          <w:rFonts w:hint="eastAsia" w:ascii="仿宋" w:hAnsi="仿宋" w:eastAsia="仿宋"/>
          <w:color w:val="auto"/>
          <w:sz w:val="32"/>
          <w:szCs w:val="32"/>
          <w:highlight w:val="none"/>
          <w:lang w:val="en-US" w:eastAsia="zh-CN"/>
        </w:rPr>
        <w:t>4</w:t>
      </w:r>
      <w:r>
        <w:rPr>
          <w:rFonts w:hint="eastAsia" w:ascii="仿宋" w:hAnsi="仿宋" w:eastAsia="仿宋"/>
          <w:color w:val="auto"/>
          <w:sz w:val="32"/>
          <w:szCs w:val="32"/>
          <w:highlight w:val="none"/>
        </w:rPr>
        <w:t>个。其中广元市价格认证中心、广元市项目编研中心、广元市经济信息中心未独立</w:t>
      </w:r>
      <w:r>
        <w:rPr>
          <w:rFonts w:hint="eastAsia" w:ascii="仿宋" w:hAnsi="仿宋" w:eastAsia="仿宋"/>
          <w:color w:val="auto"/>
          <w:sz w:val="32"/>
          <w:szCs w:val="32"/>
          <w:highlight w:val="none"/>
          <w:lang w:eastAsia="zh-CN"/>
        </w:rPr>
        <w:t>核算，纳入广元市发展和改革委员会机关集中核算。</w:t>
      </w:r>
    </w:p>
    <w:p w14:paraId="08B721A1">
      <w:pPr>
        <w:pStyle w:val="8"/>
        <w:adjustRightInd w:val="0"/>
        <w:snapToGrid w:val="0"/>
        <w:spacing w:before="93" w:line="600" w:lineRule="exact"/>
        <w:ind w:firstLine="672" w:firstLineChars="210"/>
        <w:rPr>
          <w:rFonts w:hint="eastAsia" w:ascii="仿宋" w:hAnsi="仿宋" w:eastAsia="仿宋"/>
          <w:color w:val="auto"/>
          <w:sz w:val="32"/>
          <w:szCs w:val="32"/>
          <w:highlight w:val="none"/>
        </w:rPr>
      </w:pPr>
      <w:r>
        <w:rPr>
          <w:rFonts w:hint="eastAsia" w:ascii="仿宋" w:hAnsi="仿宋" w:eastAsia="仿宋"/>
          <w:color w:val="auto"/>
          <w:sz w:val="32"/>
          <w:szCs w:val="32"/>
          <w:highlight w:val="none"/>
        </w:rPr>
        <w:t>纳入</w:t>
      </w:r>
      <w:r>
        <w:rPr>
          <w:rFonts w:hint="eastAsia" w:ascii="仿宋" w:hAnsi="仿宋" w:eastAsia="仿宋"/>
          <w:color w:val="auto"/>
          <w:sz w:val="32"/>
          <w:szCs w:val="32"/>
          <w:highlight w:val="none"/>
          <w:lang w:eastAsia="zh-CN"/>
        </w:rPr>
        <w:t>广元市发展和改革委员会</w:t>
      </w:r>
      <w:r>
        <w:rPr>
          <w:rFonts w:hint="eastAsia" w:ascii="仿宋" w:hAnsi="仿宋" w:eastAsia="仿宋"/>
          <w:color w:val="auto"/>
          <w:sz w:val="32"/>
          <w:szCs w:val="32"/>
          <w:highlight w:val="none"/>
        </w:rPr>
        <w:t>20</w:t>
      </w:r>
      <w:r>
        <w:rPr>
          <w:rFonts w:hint="eastAsia" w:ascii="仿宋" w:hAnsi="仿宋" w:eastAsia="仿宋"/>
          <w:color w:val="auto"/>
          <w:sz w:val="32"/>
          <w:szCs w:val="32"/>
          <w:highlight w:val="none"/>
          <w:lang w:val="en-US" w:eastAsia="zh-CN"/>
        </w:rPr>
        <w:t>23</w:t>
      </w:r>
      <w:r>
        <w:rPr>
          <w:rFonts w:hint="eastAsia" w:ascii="仿宋" w:hAnsi="仿宋" w:eastAsia="仿宋"/>
          <w:color w:val="auto"/>
          <w:sz w:val="32"/>
          <w:szCs w:val="32"/>
          <w:highlight w:val="none"/>
        </w:rPr>
        <w:t>年度部门决算编制范围的二级预算单位包括：</w:t>
      </w:r>
    </w:p>
    <w:p w14:paraId="2EB2330D">
      <w:pPr>
        <w:pStyle w:val="6"/>
        <w:numPr>
          <w:ilvl w:val="0"/>
          <w:numId w:val="1"/>
        </w:numPr>
        <w:ind w:left="407" w:leftChars="0" w:firstLineChars="0"/>
        <w:rPr>
          <w:rFonts w:hint="eastAsia" w:ascii="仿宋_GB2312" w:eastAsia="仿宋_GB2312" w:cs="仿宋_GB2312"/>
          <w:sz w:val="32"/>
          <w:szCs w:val="32"/>
        </w:rPr>
      </w:pPr>
      <w:r>
        <w:rPr>
          <w:rFonts w:hint="eastAsia" w:ascii="仿宋" w:hAnsi="仿宋" w:eastAsia="仿宋"/>
          <w:color w:val="auto"/>
          <w:sz w:val="32"/>
          <w:szCs w:val="32"/>
          <w:highlight w:val="none"/>
          <w:lang w:val="en-US" w:eastAsia="zh-CN"/>
        </w:rPr>
        <w:t>广元市发展和改革委员会本级</w:t>
      </w:r>
      <w:bookmarkStart w:id="37" w:name="_Toc15377433"/>
      <w:bookmarkStart w:id="38" w:name="_Toc15377202"/>
      <w:bookmarkStart w:id="39" w:name="_Toc15378449"/>
      <w:bookmarkStart w:id="40" w:name="_Toc15306276"/>
    </w:p>
    <w:p w14:paraId="4C089D84">
      <w:pPr>
        <w:pStyle w:val="6"/>
        <w:numPr>
          <w:ilvl w:val="0"/>
          <w:numId w:val="1"/>
        </w:numPr>
        <w:ind w:left="407" w:leftChars="0" w:firstLineChars="0"/>
        <w:rPr>
          <w:rFonts w:hint="eastAsia" w:ascii="仿宋_GB2312" w:eastAsia="仿宋_GB2312" w:cs="仿宋_GB2312"/>
          <w:sz w:val="32"/>
          <w:szCs w:val="32"/>
        </w:rPr>
      </w:pPr>
      <w:r>
        <w:rPr>
          <w:rFonts w:hint="eastAsia" w:ascii="仿宋_GB2312" w:hAnsi="仿宋" w:eastAsia="仿宋_GB2312"/>
          <w:color w:val="000000"/>
          <w:sz w:val="32"/>
          <w:szCs w:val="32"/>
        </w:rPr>
        <w:t>广元市粮油质量监测站</w:t>
      </w:r>
      <w:bookmarkEnd w:id="37"/>
      <w:bookmarkEnd w:id="38"/>
      <w:bookmarkEnd w:id="39"/>
      <w:bookmarkEnd w:id="40"/>
    </w:p>
    <w:p w14:paraId="75D26984">
      <w:pPr>
        <w:pStyle w:val="6"/>
        <w:numPr>
          <w:ilvl w:val="0"/>
          <w:numId w:val="1"/>
        </w:numPr>
        <w:ind w:left="407" w:leftChars="0" w:firstLineChars="0"/>
        <w:rPr>
          <w:rFonts w:hint="eastAsia" w:ascii="仿宋_GB2312" w:eastAsia="仿宋_GB2312" w:cs="仿宋_GB2312"/>
          <w:sz w:val="32"/>
          <w:szCs w:val="32"/>
        </w:rPr>
      </w:pPr>
      <w:r>
        <w:rPr>
          <w:rFonts w:hint="eastAsia" w:cs="仿宋_GB2312"/>
          <w:sz w:val="32"/>
          <w:szCs w:val="32"/>
          <w:lang w:eastAsia="zh-CN"/>
        </w:rPr>
        <w:t>广元</w:t>
      </w:r>
      <w:r>
        <w:rPr>
          <w:rFonts w:hint="eastAsia" w:ascii="仿宋_GB2312" w:eastAsia="仿宋_GB2312" w:cs="仿宋_GB2312"/>
          <w:sz w:val="32"/>
          <w:szCs w:val="32"/>
        </w:rPr>
        <w:t>市价格认证中心</w:t>
      </w:r>
    </w:p>
    <w:p w14:paraId="447A19C8">
      <w:pPr>
        <w:pStyle w:val="6"/>
        <w:numPr>
          <w:ilvl w:val="0"/>
          <w:numId w:val="1"/>
        </w:numPr>
        <w:ind w:left="407" w:leftChars="0" w:firstLineChars="0"/>
        <w:rPr>
          <w:rFonts w:hint="eastAsia" w:ascii="仿宋_GB2312" w:eastAsia="仿宋_GB2312" w:cs="仿宋_GB2312"/>
          <w:sz w:val="32"/>
          <w:szCs w:val="32"/>
        </w:rPr>
      </w:pPr>
      <w:r>
        <w:rPr>
          <w:rFonts w:hint="eastAsia" w:cs="仿宋_GB2312"/>
          <w:sz w:val="32"/>
          <w:szCs w:val="32"/>
          <w:lang w:eastAsia="zh-CN"/>
        </w:rPr>
        <w:t>广元</w:t>
      </w:r>
      <w:r>
        <w:rPr>
          <w:rFonts w:hint="eastAsia" w:ascii="仿宋_GB2312" w:eastAsia="仿宋_GB2312" w:cs="仿宋_GB2312"/>
          <w:sz w:val="32"/>
          <w:szCs w:val="32"/>
        </w:rPr>
        <w:t>市项目编研中心</w:t>
      </w:r>
    </w:p>
    <w:p w14:paraId="70436C44">
      <w:pPr>
        <w:pStyle w:val="6"/>
        <w:numPr>
          <w:ilvl w:val="0"/>
          <w:numId w:val="1"/>
        </w:numPr>
        <w:ind w:left="407" w:leftChars="0" w:firstLineChars="0"/>
        <w:rPr>
          <w:rFonts w:hint="eastAsia" w:ascii="仿宋_GB2312" w:eastAsia="仿宋_GB2312" w:cs="仿宋_GB2312"/>
          <w:sz w:val="32"/>
          <w:szCs w:val="32"/>
        </w:rPr>
      </w:pPr>
      <w:r>
        <w:rPr>
          <w:rFonts w:hint="eastAsia" w:cs="仿宋_GB2312"/>
          <w:sz w:val="32"/>
          <w:szCs w:val="32"/>
          <w:lang w:eastAsia="zh-CN"/>
        </w:rPr>
        <w:t>广元</w:t>
      </w:r>
      <w:r>
        <w:rPr>
          <w:rFonts w:hint="eastAsia" w:ascii="仿宋_GB2312" w:eastAsia="仿宋_GB2312" w:cs="仿宋_GB2312"/>
          <w:sz w:val="32"/>
          <w:szCs w:val="32"/>
        </w:rPr>
        <w:t>市经济信息中心</w:t>
      </w:r>
    </w:p>
    <w:p w14:paraId="0C69DC66">
      <w:pPr>
        <w:pStyle w:val="8"/>
        <w:numPr>
          <w:ilvl w:val="0"/>
          <w:numId w:val="0"/>
        </w:numPr>
        <w:adjustRightInd w:val="0"/>
        <w:snapToGrid w:val="0"/>
        <w:spacing w:before="93" w:line="600" w:lineRule="exact"/>
        <w:ind w:left="672" w:leftChars="0"/>
        <w:rPr>
          <w:rFonts w:hint="eastAsia" w:ascii="仿宋_GB2312" w:eastAsia="仿宋_GB2312" w:cs="仿宋_GB2312"/>
          <w:sz w:val="32"/>
          <w:szCs w:val="32"/>
          <w:lang w:eastAsia="zh-CN"/>
        </w:rPr>
      </w:pPr>
    </w:p>
    <w:p w14:paraId="1BFF1595">
      <w:pPr>
        <w:widowControl/>
        <w:jc w:val="left"/>
        <w:rPr>
          <w:rFonts w:ascii="仿宋" w:hAnsi="仿宋" w:eastAsia="仿宋"/>
          <w:color w:val="auto"/>
          <w:kern w:val="0"/>
          <w:sz w:val="32"/>
          <w:szCs w:val="32"/>
          <w:highlight w:val="none"/>
        </w:rPr>
      </w:pPr>
    </w:p>
    <w:p w14:paraId="425337ED">
      <w:pPr>
        <w:pStyle w:val="3"/>
        <w:ind w:right="440"/>
        <w:jc w:val="center"/>
        <w:rPr>
          <w:rStyle w:val="25"/>
          <w:rFonts w:ascii="黑体" w:hAnsi="黑体" w:eastAsia="黑体"/>
          <w:b w:val="0"/>
          <w:bCs/>
          <w:color w:val="auto"/>
          <w:highlight w:val="none"/>
        </w:rPr>
      </w:pPr>
      <w:bookmarkStart w:id="41" w:name="_Toc10961"/>
      <w:bookmarkStart w:id="42" w:name="_Toc15396602"/>
      <w:bookmarkStart w:id="43" w:name="_Toc11749"/>
      <w:bookmarkStart w:id="44" w:name="_Toc15377204"/>
      <w:r>
        <w:rPr>
          <w:rFonts w:hint="eastAsia" w:ascii="黑体" w:hAnsi="黑体" w:eastAsia="黑体"/>
          <w:b w:val="0"/>
          <w:bCs/>
          <w:color w:val="auto"/>
          <w:highlight w:val="none"/>
        </w:rPr>
        <w:t>第二部分</w:t>
      </w:r>
      <w:r>
        <w:rPr>
          <w:rFonts w:hint="eastAsia" w:ascii="黑体" w:hAnsi="黑体" w:eastAsia="黑体"/>
          <w:b w:val="0"/>
          <w:bCs/>
          <w:color w:val="auto"/>
          <w:highlight w:val="none"/>
          <w:lang w:val="en-US" w:eastAsia="zh-CN"/>
        </w:rPr>
        <w:t>2023年度</w:t>
      </w:r>
      <w:r>
        <w:rPr>
          <w:rStyle w:val="25"/>
          <w:rFonts w:hint="eastAsia" w:ascii="黑体" w:hAnsi="黑体" w:eastAsia="黑体"/>
          <w:b w:val="0"/>
          <w:bCs/>
          <w:color w:val="auto"/>
          <w:highlight w:val="none"/>
        </w:rPr>
        <w:t>部门决算情况说明</w:t>
      </w:r>
      <w:bookmarkEnd w:id="41"/>
      <w:bookmarkEnd w:id="42"/>
      <w:bookmarkEnd w:id="43"/>
      <w:bookmarkEnd w:id="44"/>
    </w:p>
    <w:p w14:paraId="716E796C">
      <w:pPr>
        <w:rPr>
          <w:color w:val="auto"/>
          <w:highlight w:val="none"/>
        </w:rPr>
      </w:pPr>
    </w:p>
    <w:p w14:paraId="286EE86D">
      <w:pPr>
        <w:pStyle w:val="37"/>
        <w:numPr>
          <w:ilvl w:val="0"/>
          <w:numId w:val="2"/>
        </w:numPr>
        <w:spacing w:line="600" w:lineRule="exact"/>
        <w:ind w:firstLineChars="0"/>
        <w:outlineLvl w:val="1"/>
        <w:rPr>
          <w:rStyle w:val="26"/>
          <w:rFonts w:ascii="黑体" w:hAnsi="黑体" w:eastAsia="黑体"/>
          <w:b w:val="0"/>
          <w:color w:val="auto"/>
          <w:highlight w:val="none"/>
        </w:rPr>
      </w:pPr>
      <w:bookmarkStart w:id="45" w:name="_Toc15396603"/>
      <w:bookmarkStart w:id="46" w:name="_Toc15377205"/>
      <w:bookmarkStart w:id="47" w:name="_Toc9104"/>
      <w:bookmarkStart w:id="48" w:name="_Toc287"/>
      <w:r>
        <w:rPr>
          <w:rFonts w:hint="eastAsia" w:ascii="黑体" w:hAnsi="黑体" w:eastAsia="黑体"/>
          <w:color w:val="auto"/>
          <w:sz w:val="32"/>
          <w:szCs w:val="32"/>
          <w:highlight w:val="none"/>
        </w:rPr>
        <w:t>收</w:t>
      </w:r>
      <w:r>
        <w:rPr>
          <w:rStyle w:val="26"/>
          <w:rFonts w:hint="eastAsia" w:ascii="黑体" w:hAnsi="黑体" w:eastAsia="黑体"/>
          <w:b w:val="0"/>
          <w:color w:val="auto"/>
          <w:highlight w:val="none"/>
        </w:rPr>
        <w:t>入支出决算总体情况说明</w:t>
      </w:r>
      <w:bookmarkEnd w:id="45"/>
      <w:bookmarkEnd w:id="46"/>
      <w:bookmarkEnd w:id="47"/>
      <w:bookmarkEnd w:id="48"/>
    </w:p>
    <w:p w14:paraId="556B3420">
      <w:pPr>
        <w:spacing w:line="600" w:lineRule="exact"/>
        <w:ind w:firstLine="640" w:firstLineChars="200"/>
        <w:rPr>
          <w:rFonts w:hint="eastAsia" w:ascii="仿宋_GB2312" w:hAnsi="仿宋" w:eastAsia="仿宋_GB2312"/>
          <w:color w:val="000000"/>
          <w:sz w:val="32"/>
          <w:szCs w:val="32"/>
          <w:lang w:eastAsia="zh-CN"/>
        </w:rPr>
      </w:pPr>
      <w:r>
        <w:rPr>
          <w:rFonts w:hint="eastAsia" w:ascii="仿宋" w:hAnsi="仿宋" w:eastAsia="仿宋"/>
          <w:color w:val="auto"/>
          <w:sz w:val="32"/>
          <w:szCs w:val="32"/>
          <w:highlight w:val="none"/>
        </w:rPr>
        <w:t>20</w:t>
      </w:r>
      <w:r>
        <w:rPr>
          <w:rFonts w:hint="eastAsia" w:ascii="仿宋" w:hAnsi="仿宋" w:eastAsia="仿宋"/>
          <w:color w:val="auto"/>
          <w:sz w:val="32"/>
          <w:szCs w:val="32"/>
          <w:highlight w:val="none"/>
          <w:lang w:val="en-US" w:eastAsia="zh-CN"/>
        </w:rPr>
        <w:t>23</w:t>
      </w:r>
      <w:r>
        <w:rPr>
          <w:rFonts w:hint="eastAsia" w:ascii="仿宋" w:hAnsi="仿宋" w:eastAsia="仿宋"/>
          <w:color w:val="auto"/>
          <w:sz w:val="32"/>
          <w:szCs w:val="32"/>
          <w:highlight w:val="none"/>
        </w:rPr>
        <w:t>年度收、支总计</w:t>
      </w:r>
      <w:r>
        <w:rPr>
          <w:rFonts w:hint="eastAsia" w:ascii="仿宋" w:hAnsi="仿宋" w:eastAsia="仿宋"/>
          <w:color w:val="auto"/>
          <w:sz w:val="32"/>
          <w:szCs w:val="32"/>
          <w:highlight w:val="none"/>
          <w:lang w:val="en-US" w:eastAsia="zh-CN"/>
        </w:rPr>
        <w:t>4053.66</w:t>
      </w:r>
      <w:r>
        <w:rPr>
          <w:rFonts w:hint="eastAsia" w:ascii="仿宋" w:hAnsi="仿宋" w:eastAsia="仿宋"/>
          <w:color w:val="auto"/>
          <w:sz w:val="32"/>
          <w:szCs w:val="32"/>
          <w:highlight w:val="none"/>
        </w:rPr>
        <w:t>万元。与20</w:t>
      </w:r>
      <w:r>
        <w:rPr>
          <w:rFonts w:hint="eastAsia" w:ascii="仿宋" w:hAnsi="仿宋" w:eastAsia="仿宋"/>
          <w:color w:val="auto"/>
          <w:sz w:val="32"/>
          <w:szCs w:val="32"/>
          <w:highlight w:val="none"/>
          <w:lang w:val="en-US" w:eastAsia="zh-CN"/>
        </w:rPr>
        <w:t>22</w:t>
      </w:r>
      <w:r>
        <w:rPr>
          <w:rFonts w:hint="eastAsia" w:ascii="仿宋" w:hAnsi="仿宋" w:eastAsia="仿宋"/>
          <w:color w:val="auto"/>
          <w:sz w:val="32"/>
          <w:szCs w:val="32"/>
          <w:highlight w:val="none"/>
        </w:rPr>
        <w:t>年相比，收、支总计各</w:t>
      </w:r>
      <w:r>
        <w:rPr>
          <w:rFonts w:hint="eastAsia" w:ascii="仿宋" w:hAnsi="仿宋" w:eastAsia="仿宋"/>
          <w:color w:val="auto"/>
          <w:sz w:val="32"/>
          <w:szCs w:val="32"/>
          <w:highlight w:val="none"/>
          <w:lang w:eastAsia="zh-CN"/>
        </w:rPr>
        <w:t>减少</w:t>
      </w:r>
      <w:r>
        <w:rPr>
          <w:rFonts w:hint="eastAsia" w:ascii="仿宋" w:hAnsi="仿宋" w:eastAsia="仿宋"/>
          <w:color w:val="auto"/>
          <w:sz w:val="32"/>
          <w:szCs w:val="32"/>
          <w:highlight w:val="none"/>
          <w:lang w:val="en-US" w:eastAsia="zh-CN"/>
        </w:rPr>
        <w:t>426.51</w:t>
      </w:r>
      <w:r>
        <w:rPr>
          <w:rFonts w:hint="eastAsia" w:ascii="仿宋" w:hAnsi="仿宋" w:eastAsia="仿宋"/>
          <w:color w:val="auto"/>
          <w:sz w:val="32"/>
          <w:szCs w:val="32"/>
          <w:highlight w:val="none"/>
        </w:rPr>
        <w:t>万元，</w:t>
      </w:r>
      <w:r>
        <w:rPr>
          <w:rFonts w:hint="eastAsia" w:ascii="仿宋" w:hAnsi="仿宋" w:eastAsia="仿宋"/>
          <w:color w:val="auto"/>
          <w:sz w:val="32"/>
          <w:szCs w:val="32"/>
          <w:highlight w:val="none"/>
          <w:lang w:eastAsia="zh-CN"/>
        </w:rPr>
        <w:t>下降</w:t>
      </w:r>
      <w:r>
        <w:rPr>
          <w:rFonts w:hint="eastAsia" w:ascii="仿宋" w:hAnsi="仿宋" w:eastAsia="仿宋"/>
          <w:color w:val="auto"/>
          <w:sz w:val="32"/>
          <w:szCs w:val="32"/>
          <w:highlight w:val="none"/>
          <w:lang w:val="en-US" w:eastAsia="zh-CN"/>
        </w:rPr>
        <w:t>9.52</w:t>
      </w:r>
      <w:r>
        <w:rPr>
          <w:rFonts w:ascii="仿宋" w:hAnsi="仿宋" w:eastAsia="仿宋"/>
          <w:color w:val="auto"/>
          <w:sz w:val="32"/>
          <w:szCs w:val="32"/>
          <w:highlight w:val="none"/>
        </w:rPr>
        <w:t>%</w:t>
      </w:r>
      <w:r>
        <w:rPr>
          <w:rFonts w:hint="eastAsia" w:ascii="仿宋" w:hAnsi="仿宋" w:eastAsia="仿宋"/>
          <w:color w:val="auto"/>
          <w:sz w:val="32"/>
          <w:szCs w:val="32"/>
          <w:highlight w:val="none"/>
        </w:rPr>
        <w:t>。主要变动原因</w:t>
      </w:r>
      <w:r>
        <w:rPr>
          <w:rFonts w:hint="eastAsia" w:ascii="仿宋" w:hAnsi="仿宋" w:eastAsia="仿宋"/>
          <w:color w:val="auto"/>
          <w:sz w:val="32"/>
          <w:szCs w:val="32"/>
          <w:highlight w:val="none"/>
          <w:lang w:eastAsia="zh-CN"/>
        </w:rPr>
        <w:t>：</w:t>
      </w:r>
      <w:r>
        <w:rPr>
          <w:rFonts w:hint="eastAsia" w:ascii="仿宋_GB2312" w:hAnsi="仿宋" w:eastAsia="仿宋_GB2312"/>
          <w:b/>
          <w:color w:val="000000"/>
          <w:sz w:val="32"/>
          <w:szCs w:val="32"/>
        </w:rPr>
        <w:t>一是</w:t>
      </w:r>
      <w:r>
        <w:rPr>
          <w:rFonts w:hint="eastAsia" w:ascii="仿宋_GB2312" w:hAnsi="仿宋" w:eastAsia="仿宋_GB2312"/>
          <w:b w:val="0"/>
          <w:bCs/>
          <w:color w:val="000000"/>
          <w:sz w:val="32"/>
          <w:szCs w:val="32"/>
          <w:lang w:eastAsia="zh-CN"/>
        </w:rPr>
        <w:t>当年人员经费减少；</w:t>
      </w:r>
      <w:r>
        <w:rPr>
          <w:rFonts w:hint="eastAsia" w:ascii="仿宋_GB2312" w:hAnsi="仿宋" w:eastAsia="仿宋_GB2312"/>
          <w:b/>
          <w:bCs w:val="0"/>
          <w:color w:val="000000"/>
          <w:sz w:val="32"/>
          <w:szCs w:val="32"/>
          <w:lang w:eastAsia="zh-CN"/>
        </w:rPr>
        <w:t>二</w:t>
      </w:r>
      <w:r>
        <w:rPr>
          <w:rFonts w:hint="eastAsia" w:ascii="仿宋" w:hAnsi="仿宋" w:eastAsia="仿宋"/>
          <w:b/>
          <w:bCs w:val="0"/>
          <w:color w:val="auto"/>
          <w:sz w:val="32"/>
          <w:szCs w:val="32"/>
          <w:highlight w:val="none"/>
        </w:rPr>
        <w:t>是</w:t>
      </w:r>
      <w:r>
        <w:rPr>
          <w:rFonts w:hint="eastAsia" w:ascii="仿宋_GB2312" w:hAnsi="仿宋" w:eastAsia="仿宋_GB2312"/>
          <w:color w:val="000000"/>
          <w:sz w:val="32"/>
          <w:szCs w:val="32"/>
        </w:rPr>
        <w:t>项目工作经费</w:t>
      </w:r>
      <w:r>
        <w:rPr>
          <w:rFonts w:hint="eastAsia" w:ascii="仿宋_GB2312" w:hAnsi="仿宋" w:eastAsia="仿宋_GB2312"/>
          <w:color w:val="000000"/>
          <w:sz w:val="32"/>
          <w:szCs w:val="32"/>
          <w:lang w:eastAsia="zh-CN"/>
        </w:rPr>
        <w:t>减少。</w:t>
      </w:r>
    </w:p>
    <w:p w14:paraId="77EF767C">
      <w:pPr>
        <w:pStyle w:val="8"/>
        <w:rPr>
          <w:rFonts w:hint="eastAsia"/>
          <w:lang w:eastAsia="zh-CN"/>
        </w:rPr>
      </w:pPr>
      <w:r>
        <w:rPr>
          <w:rFonts w:hint="eastAsia" w:ascii="仿宋_GB2312" w:eastAsia="仿宋_GB2312"/>
          <w:color w:val="000000"/>
          <w:sz w:val="32"/>
          <w:szCs w:val="32"/>
        </w:rPr>
        <w:pict>
          <v:shape id="Object 2" o:spid="_x0000_s2050" o:spt="75" type="#_x0000_t75" style="position:absolute;left:0pt;margin-left:23.25pt;margin-top:9.05pt;height:163.75pt;width:337.8pt;z-index:251660288;mso-width-relative:page;mso-height-relative:page;" o:ole="t" fillcolor="#FFFFFF" filled="t" o:preferrelative="t" stroked="f" coordsize="21600,21600">
            <v:path/>
            <v:fill on="t" color2="#FFFFFF" focussize="0,0"/>
            <v:stroke on="f"/>
            <v:imagedata r:id="rId17" o:title=""/>
            <o:lock v:ext="edit" aspectratio="f"/>
          </v:shape>
          <o:OLEObject Type="Embed" ProgID="Excel.Chart.8" ShapeID="Object 2" DrawAspect="Content" ObjectID="_1468075725" r:id="rId16">
            <o:LockedField>false</o:LockedField>
          </o:OLEObject>
        </w:pict>
      </w:r>
    </w:p>
    <w:p w14:paraId="1500C297">
      <w:pPr>
        <w:pStyle w:val="8"/>
        <w:rPr>
          <w:rFonts w:hint="eastAsia"/>
          <w:lang w:eastAsia="zh-CN"/>
        </w:rPr>
      </w:pPr>
    </w:p>
    <w:p w14:paraId="7A343560">
      <w:pPr>
        <w:pStyle w:val="8"/>
        <w:rPr>
          <w:rFonts w:hint="eastAsia"/>
          <w:lang w:eastAsia="zh-CN"/>
        </w:rPr>
      </w:pPr>
    </w:p>
    <w:p w14:paraId="6105E2A5">
      <w:pPr>
        <w:pStyle w:val="8"/>
        <w:rPr>
          <w:rFonts w:hint="eastAsia"/>
          <w:lang w:eastAsia="zh-CN"/>
        </w:rPr>
      </w:pPr>
    </w:p>
    <w:p w14:paraId="31FD5864">
      <w:pPr>
        <w:spacing w:line="600" w:lineRule="exact"/>
        <w:rPr>
          <w:rFonts w:hint="eastAsia" w:ascii="仿宋" w:hAnsi="仿宋" w:eastAsia="仿宋"/>
          <w:color w:val="auto"/>
          <w:sz w:val="32"/>
          <w:szCs w:val="32"/>
          <w:highlight w:val="none"/>
        </w:rPr>
      </w:pPr>
    </w:p>
    <w:p w14:paraId="75FAEE2A">
      <w:pPr>
        <w:spacing w:line="600" w:lineRule="exact"/>
        <w:ind w:firstLine="960" w:firstLineChars="300"/>
        <w:rPr>
          <w:rFonts w:ascii="仿宋_GB2312" w:eastAsia="仿宋_GB2312"/>
          <w:color w:val="auto"/>
          <w:sz w:val="32"/>
          <w:szCs w:val="32"/>
          <w:highlight w:val="none"/>
        </w:rPr>
      </w:pPr>
      <w:r>
        <w:rPr>
          <w:rFonts w:hint="eastAsia" w:ascii="仿宋" w:hAnsi="仿宋" w:eastAsia="仿宋"/>
          <w:color w:val="auto"/>
          <w:sz w:val="32"/>
          <w:szCs w:val="32"/>
          <w:highlight w:val="none"/>
        </w:rPr>
        <w:t>（图</w:t>
      </w:r>
      <w:r>
        <w:rPr>
          <w:rFonts w:ascii="仿宋" w:hAnsi="仿宋" w:eastAsia="仿宋"/>
          <w:color w:val="auto"/>
          <w:sz w:val="32"/>
          <w:szCs w:val="32"/>
          <w:highlight w:val="none"/>
        </w:rPr>
        <w:t>1</w:t>
      </w:r>
      <w:r>
        <w:rPr>
          <w:rFonts w:hint="eastAsia" w:ascii="仿宋" w:hAnsi="仿宋" w:eastAsia="仿宋"/>
          <w:color w:val="auto"/>
          <w:sz w:val="32"/>
          <w:szCs w:val="32"/>
          <w:highlight w:val="none"/>
        </w:rPr>
        <w:t>：收、支决算总计变动情况图）</w:t>
      </w:r>
    </w:p>
    <w:p w14:paraId="1894540F">
      <w:pPr>
        <w:pStyle w:val="37"/>
        <w:numPr>
          <w:ilvl w:val="0"/>
          <w:numId w:val="2"/>
        </w:numPr>
        <w:spacing w:line="600" w:lineRule="exact"/>
        <w:ind w:firstLineChars="0"/>
        <w:outlineLvl w:val="1"/>
        <w:rPr>
          <w:rStyle w:val="26"/>
          <w:rFonts w:ascii="黑体" w:hAnsi="黑体" w:eastAsia="黑体"/>
          <w:b w:val="0"/>
          <w:color w:val="auto"/>
          <w:highlight w:val="none"/>
        </w:rPr>
      </w:pPr>
      <w:bookmarkStart w:id="49" w:name="_Toc15396604"/>
      <w:bookmarkStart w:id="50" w:name="_Toc9521"/>
      <w:bookmarkStart w:id="51" w:name="_Toc8634"/>
      <w:bookmarkStart w:id="52" w:name="_Toc15377206"/>
      <w:r>
        <w:rPr>
          <w:rFonts w:hint="eastAsia" w:ascii="黑体" w:hAnsi="黑体" w:eastAsia="黑体"/>
          <w:color w:val="auto"/>
          <w:sz w:val="32"/>
          <w:szCs w:val="32"/>
          <w:highlight w:val="none"/>
        </w:rPr>
        <w:t>收</w:t>
      </w:r>
      <w:r>
        <w:rPr>
          <w:rStyle w:val="26"/>
          <w:rFonts w:hint="eastAsia" w:ascii="黑体" w:hAnsi="黑体" w:eastAsia="黑体"/>
          <w:b w:val="0"/>
          <w:color w:val="auto"/>
          <w:highlight w:val="none"/>
        </w:rPr>
        <w:t>入决算情况说明</w:t>
      </w:r>
      <w:bookmarkEnd w:id="49"/>
      <w:bookmarkEnd w:id="50"/>
      <w:bookmarkEnd w:id="51"/>
      <w:bookmarkEnd w:id="52"/>
    </w:p>
    <w:p w14:paraId="0E2A945F">
      <w:pPr>
        <w:spacing w:line="600" w:lineRule="exact"/>
        <w:ind w:firstLine="640" w:firstLineChars="200"/>
        <w:outlineLvl w:val="1"/>
        <w:rPr>
          <w:rFonts w:ascii="仿宋" w:hAnsi="仿宋" w:eastAsia="仿宋"/>
          <w:color w:val="auto"/>
          <w:sz w:val="32"/>
          <w:szCs w:val="32"/>
          <w:highlight w:val="none"/>
        </w:rPr>
      </w:pPr>
      <w:bookmarkStart w:id="53" w:name="_Toc8047"/>
      <w:bookmarkStart w:id="54" w:name="_Toc30011"/>
      <w:bookmarkStart w:id="55" w:name="_Toc3790"/>
      <w:r>
        <w:rPr>
          <w:rFonts w:ascii="仿宋" w:hAnsi="仿宋" w:eastAsia="仿宋"/>
          <w:color w:val="auto"/>
          <w:sz w:val="32"/>
          <w:szCs w:val="32"/>
          <w:highlight w:val="none"/>
        </w:rPr>
        <w:t>20</w:t>
      </w:r>
      <w:r>
        <w:rPr>
          <w:rFonts w:hint="eastAsia" w:ascii="仿宋" w:hAnsi="仿宋" w:eastAsia="仿宋"/>
          <w:color w:val="auto"/>
          <w:sz w:val="32"/>
          <w:szCs w:val="32"/>
          <w:highlight w:val="none"/>
          <w:lang w:val="en-US" w:eastAsia="zh-CN"/>
        </w:rPr>
        <w:t>23</w:t>
      </w:r>
      <w:r>
        <w:rPr>
          <w:rFonts w:hint="eastAsia" w:ascii="仿宋" w:hAnsi="仿宋" w:eastAsia="仿宋"/>
          <w:color w:val="auto"/>
          <w:sz w:val="32"/>
          <w:szCs w:val="32"/>
          <w:highlight w:val="none"/>
        </w:rPr>
        <w:t>年本年收入合计</w:t>
      </w:r>
      <w:r>
        <w:rPr>
          <w:rFonts w:hint="eastAsia" w:ascii="仿宋" w:hAnsi="仿宋" w:eastAsia="仿宋"/>
          <w:color w:val="auto"/>
          <w:sz w:val="32"/>
          <w:szCs w:val="32"/>
          <w:highlight w:val="none"/>
          <w:lang w:val="en-US" w:eastAsia="zh-CN"/>
        </w:rPr>
        <w:t>3993.69</w:t>
      </w:r>
      <w:r>
        <w:rPr>
          <w:rFonts w:hint="eastAsia" w:ascii="仿宋" w:hAnsi="仿宋" w:eastAsia="仿宋"/>
          <w:color w:val="auto"/>
          <w:sz w:val="32"/>
          <w:szCs w:val="32"/>
          <w:highlight w:val="none"/>
        </w:rPr>
        <w:t>万元，其中：一般公共预算财政拨款收入</w:t>
      </w:r>
      <w:r>
        <w:rPr>
          <w:rFonts w:hint="eastAsia" w:ascii="仿宋" w:hAnsi="仿宋" w:eastAsia="仿宋"/>
          <w:color w:val="auto"/>
          <w:sz w:val="32"/>
          <w:szCs w:val="32"/>
          <w:highlight w:val="none"/>
          <w:lang w:val="en-US" w:eastAsia="zh-CN"/>
        </w:rPr>
        <w:t>3987.99</w:t>
      </w:r>
      <w:r>
        <w:rPr>
          <w:rFonts w:hint="eastAsia" w:ascii="仿宋" w:hAnsi="仿宋" w:eastAsia="仿宋"/>
          <w:color w:val="auto"/>
          <w:sz w:val="32"/>
          <w:szCs w:val="32"/>
          <w:highlight w:val="none"/>
        </w:rPr>
        <w:t>万元，占</w:t>
      </w:r>
      <w:r>
        <w:rPr>
          <w:rFonts w:hint="eastAsia" w:ascii="仿宋" w:hAnsi="仿宋" w:eastAsia="仿宋"/>
          <w:color w:val="auto"/>
          <w:sz w:val="32"/>
          <w:szCs w:val="32"/>
          <w:highlight w:val="none"/>
          <w:lang w:val="en-US" w:eastAsia="zh-CN"/>
        </w:rPr>
        <w:t>99.86</w:t>
      </w:r>
      <w:r>
        <w:rPr>
          <w:rFonts w:ascii="仿宋" w:hAnsi="仿宋" w:eastAsia="仿宋"/>
          <w:color w:val="auto"/>
          <w:sz w:val="32"/>
          <w:szCs w:val="32"/>
          <w:highlight w:val="none"/>
        </w:rPr>
        <w:t>%</w:t>
      </w:r>
      <w:r>
        <w:rPr>
          <w:rFonts w:hint="eastAsia" w:ascii="仿宋" w:hAnsi="仿宋" w:eastAsia="仿宋"/>
          <w:color w:val="auto"/>
          <w:sz w:val="32"/>
          <w:szCs w:val="32"/>
          <w:highlight w:val="none"/>
        </w:rPr>
        <w:t>；其他收入</w:t>
      </w:r>
      <w:r>
        <w:rPr>
          <w:rFonts w:hint="eastAsia" w:ascii="仿宋" w:hAnsi="仿宋" w:eastAsia="仿宋"/>
          <w:color w:val="auto"/>
          <w:sz w:val="32"/>
          <w:szCs w:val="32"/>
          <w:highlight w:val="none"/>
          <w:lang w:val="en-US" w:eastAsia="zh-CN"/>
        </w:rPr>
        <w:t>5.7</w:t>
      </w:r>
      <w:r>
        <w:rPr>
          <w:rFonts w:hint="eastAsia" w:ascii="仿宋" w:hAnsi="仿宋" w:eastAsia="仿宋"/>
          <w:color w:val="auto"/>
          <w:sz w:val="32"/>
          <w:szCs w:val="32"/>
          <w:highlight w:val="none"/>
        </w:rPr>
        <w:t>万元，占</w:t>
      </w:r>
      <w:r>
        <w:rPr>
          <w:rFonts w:hint="eastAsia" w:ascii="仿宋" w:hAnsi="仿宋" w:eastAsia="仿宋"/>
          <w:color w:val="auto"/>
          <w:sz w:val="32"/>
          <w:szCs w:val="32"/>
          <w:highlight w:val="none"/>
          <w:lang w:val="en-US" w:eastAsia="zh-CN"/>
        </w:rPr>
        <w:t>0.14</w:t>
      </w:r>
      <w:r>
        <w:rPr>
          <w:rFonts w:ascii="仿宋" w:hAnsi="仿宋" w:eastAsia="仿宋"/>
          <w:color w:val="auto"/>
          <w:sz w:val="32"/>
          <w:szCs w:val="32"/>
          <w:highlight w:val="none"/>
        </w:rPr>
        <w:t>%</w:t>
      </w:r>
      <w:r>
        <w:rPr>
          <w:rFonts w:hint="eastAsia" w:ascii="仿宋" w:hAnsi="仿宋" w:eastAsia="仿宋"/>
          <w:color w:val="auto"/>
          <w:sz w:val="32"/>
          <w:szCs w:val="32"/>
          <w:highlight w:val="none"/>
        </w:rPr>
        <w:t>。</w:t>
      </w:r>
      <w:bookmarkEnd w:id="53"/>
      <w:bookmarkEnd w:id="54"/>
      <w:bookmarkEnd w:id="55"/>
    </w:p>
    <w:p w14:paraId="018313BD">
      <w:pPr>
        <w:spacing w:line="600" w:lineRule="exact"/>
        <w:rPr>
          <w:rFonts w:hint="eastAsia" w:ascii="仿宋" w:hAnsi="仿宋" w:eastAsia="仿宋"/>
          <w:color w:val="auto"/>
          <w:sz w:val="32"/>
          <w:szCs w:val="32"/>
          <w:highlight w:val="none"/>
        </w:rPr>
      </w:pPr>
    </w:p>
    <w:p w14:paraId="38819C87">
      <w:pPr>
        <w:spacing w:line="600" w:lineRule="exact"/>
        <w:ind w:firstLine="1920" w:firstLineChars="600"/>
        <w:rPr>
          <w:rFonts w:hint="eastAsia" w:ascii="仿宋" w:hAnsi="仿宋" w:eastAsia="仿宋"/>
          <w:color w:val="auto"/>
          <w:sz w:val="32"/>
          <w:szCs w:val="32"/>
          <w:highlight w:val="none"/>
        </w:rPr>
      </w:pPr>
      <w:r>
        <w:rPr>
          <w:rFonts w:hint="eastAsia" w:ascii="仿宋" w:hAnsi="仿宋" w:eastAsia="仿宋"/>
          <w:color w:val="000000"/>
          <w:sz w:val="32"/>
          <w:szCs w:val="32"/>
        </w:rPr>
        <w:pict>
          <v:shape id="Object 6" o:spid="_x0000_s2051" o:spt="75" type="#_x0000_t75" style="position:absolute;left:0pt;margin-left:49.15pt;margin-top:-10.05pt;height:184.8pt;width:299.95pt;z-index:251661312;mso-width-relative:page;mso-height-relative:page;" o:ole="t" filled="f" o:preferrelative="t" stroked="f" coordsize="21600,21600">
            <v:path/>
            <v:fill on="f" focussize="0,0"/>
            <v:stroke on="f"/>
            <v:imagedata r:id="rId19" o:title=""/>
            <o:lock v:ext="edit" aspectratio="t"/>
          </v:shape>
          <o:OLEObject Type="Embed" ProgID="Excel.Chart.8" ShapeID="Object 6" DrawAspect="Content" ObjectID="_1468075726" r:id="rId18">
            <o:LockedField>false</o:LockedField>
          </o:OLEObject>
        </w:pict>
      </w:r>
    </w:p>
    <w:p w14:paraId="443C0D66">
      <w:pPr>
        <w:spacing w:line="600" w:lineRule="exact"/>
        <w:ind w:firstLine="1920" w:firstLineChars="600"/>
        <w:rPr>
          <w:rFonts w:hint="eastAsia" w:ascii="仿宋" w:hAnsi="仿宋" w:eastAsia="仿宋"/>
          <w:color w:val="auto"/>
          <w:sz w:val="32"/>
          <w:szCs w:val="32"/>
          <w:highlight w:val="none"/>
        </w:rPr>
      </w:pPr>
    </w:p>
    <w:p w14:paraId="60269C07">
      <w:pPr>
        <w:spacing w:line="600" w:lineRule="exact"/>
        <w:rPr>
          <w:rFonts w:hint="eastAsia" w:ascii="仿宋" w:hAnsi="仿宋" w:eastAsia="仿宋"/>
          <w:color w:val="auto"/>
          <w:sz w:val="32"/>
          <w:szCs w:val="32"/>
          <w:highlight w:val="none"/>
        </w:rPr>
      </w:pPr>
    </w:p>
    <w:p w14:paraId="71DA2B32">
      <w:pPr>
        <w:spacing w:line="600" w:lineRule="exact"/>
        <w:rPr>
          <w:rFonts w:hint="eastAsia" w:ascii="仿宋" w:hAnsi="仿宋" w:eastAsia="仿宋"/>
          <w:color w:val="auto"/>
          <w:sz w:val="32"/>
          <w:szCs w:val="32"/>
          <w:highlight w:val="none"/>
        </w:rPr>
      </w:pPr>
    </w:p>
    <w:p w14:paraId="623650DA">
      <w:pPr>
        <w:spacing w:line="600" w:lineRule="exact"/>
        <w:ind w:firstLine="1920" w:firstLineChars="600"/>
        <w:rPr>
          <w:rFonts w:ascii="仿宋_GB2312" w:eastAsia="仿宋_GB2312"/>
          <w:color w:val="auto"/>
          <w:sz w:val="32"/>
          <w:szCs w:val="32"/>
          <w:highlight w:val="none"/>
        </w:rPr>
      </w:pPr>
      <w:r>
        <w:rPr>
          <w:rFonts w:hint="eastAsia" w:ascii="仿宋" w:hAnsi="仿宋" w:eastAsia="仿宋"/>
          <w:color w:val="auto"/>
          <w:sz w:val="32"/>
          <w:szCs w:val="32"/>
          <w:highlight w:val="none"/>
        </w:rPr>
        <w:t>（图2：收入决算结构图）</w:t>
      </w:r>
    </w:p>
    <w:p w14:paraId="4354C4B7">
      <w:pPr>
        <w:pStyle w:val="37"/>
        <w:numPr>
          <w:ilvl w:val="0"/>
          <w:numId w:val="2"/>
        </w:numPr>
        <w:spacing w:line="600" w:lineRule="exact"/>
        <w:ind w:firstLineChars="0"/>
        <w:outlineLvl w:val="1"/>
        <w:rPr>
          <w:rStyle w:val="26"/>
          <w:rFonts w:ascii="黑体" w:hAnsi="黑体" w:eastAsia="黑体"/>
          <w:b w:val="0"/>
          <w:color w:val="auto"/>
          <w:highlight w:val="none"/>
        </w:rPr>
      </w:pPr>
      <w:bookmarkStart w:id="56" w:name="_Toc15527"/>
      <w:bookmarkStart w:id="57" w:name="_Toc15377207"/>
      <w:bookmarkStart w:id="58" w:name="_Toc31947"/>
      <w:bookmarkStart w:id="59" w:name="_Toc15396605"/>
      <w:r>
        <w:rPr>
          <w:rFonts w:hint="eastAsia" w:ascii="黑体" w:hAnsi="黑体" w:eastAsia="黑体"/>
          <w:color w:val="auto"/>
          <w:sz w:val="32"/>
          <w:szCs w:val="32"/>
          <w:highlight w:val="none"/>
        </w:rPr>
        <w:t>支</w:t>
      </w:r>
      <w:r>
        <w:rPr>
          <w:rStyle w:val="26"/>
          <w:rFonts w:hint="eastAsia" w:ascii="黑体" w:hAnsi="黑体" w:eastAsia="黑体"/>
          <w:b w:val="0"/>
          <w:color w:val="auto"/>
          <w:highlight w:val="none"/>
        </w:rPr>
        <w:t>出决算情况说明</w:t>
      </w:r>
      <w:bookmarkEnd w:id="56"/>
      <w:bookmarkEnd w:id="57"/>
      <w:bookmarkEnd w:id="58"/>
      <w:bookmarkEnd w:id="59"/>
    </w:p>
    <w:p w14:paraId="694AE971">
      <w:pPr>
        <w:spacing w:line="600" w:lineRule="exact"/>
        <w:ind w:firstLine="640" w:firstLineChars="200"/>
        <w:outlineLvl w:val="1"/>
        <w:rPr>
          <w:rFonts w:hint="eastAsia" w:ascii="仿宋" w:hAnsi="仿宋" w:eastAsia="仿宋"/>
          <w:b/>
          <w:color w:val="auto"/>
          <w:sz w:val="32"/>
          <w:szCs w:val="32"/>
          <w:highlight w:val="none"/>
          <w:lang w:eastAsia="zh-CN"/>
        </w:rPr>
      </w:pPr>
      <w:bookmarkStart w:id="60" w:name="_Toc25895"/>
      <w:bookmarkStart w:id="61" w:name="_Toc14783"/>
      <w:bookmarkStart w:id="62" w:name="_Toc2198"/>
      <w:r>
        <w:rPr>
          <w:rFonts w:ascii="仿宋" w:hAnsi="仿宋" w:eastAsia="仿宋"/>
          <w:color w:val="auto"/>
          <w:sz w:val="32"/>
          <w:szCs w:val="32"/>
          <w:highlight w:val="none"/>
        </w:rPr>
        <w:t>20</w:t>
      </w:r>
      <w:r>
        <w:rPr>
          <w:rFonts w:hint="eastAsia" w:ascii="仿宋" w:hAnsi="仿宋" w:eastAsia="仿宋"/>
          <w:color w:val="auto"/>
          <w:sz w:val="32"/>
          <w:szCs w:val="32"/>
          <w:highlight w:val="none"/>
          <w:lang w:val="en-US" w:eastAsia="zh-CN"/>
        </w:rPr>
        <w:t>23</w:t>
      </w:r>
      <w:r>
        <w:rPr>
          <w:rFonts w:hint="eastAsia" w:ascii="仿宋" w:hAnsi="仿宋" w:eastAsia="仿宋"/>
          <w:color w:val="auto"/>
          <w:sz w:val="32"/>
          <w:szCs w:val="32"/>
          <w:highlight w:val="none"/>
        </w:rPr>
        <w:t>年本年支出合计</w:t>
      </w:r>
      <w:r>
        <w:rPr>
          <w:rFonts w:hint="eastAsia" w:ascii="仿宋" w:hAnsi="仿宋" w:eastAsia="仿宋"/>
          <w:color w:val="auto"/>
          <w:sz w:val="32"/>
          <w:szCs w:val="32"/>
          <w:highlight w:val="none"/>
          <w:lang w:val="en-US" w:eastAsia="zh-CN"/>
        </w:rPr>
        <w:t>4036.43</w:t>
      </w:r>
      <w:r>
        <w:rPr>
          <w:rFonts w:hint="eastAsia" w:ascii="仿宋" w:hAnsi="仿宋" w:eastAsia="仿宋"/>
          <w:color w:val="auto"/>
          <w:sz w:val="32"/>
          <w:szCs w:val="32"/>
          <w:highlight w:val="none"/>
        </w:rPr>
        <w:t>万元，其中：基本支出</w:t>
      </w:r>
      <w:r>
        <w:rPr>
          <w:rFonts w:hint="eastAsia" w:ascii="仿宋" w:hAnsi="仿宋" w:eastAsia="仿宋"/>
          <w:color w:val="auto"/>
          <w:sz w:val="32"/>
          <w:szCs w:val="32"/>
          <w:highlight w:val="none"/>
          <w:lang w:val="en-US" w:eastAsia="zh-CN"/>
        </w:rPr>
        <w:t>3183</w:t>
      </w:r>
      <w:r>
        <w:rPr>
          <w:rFonts w:hint="eastAsia" w:ascii="仿宋" w:hAnsi="仿宋" w:eastAsia="仿宋"/>
          <w:color w:val="auto"/>
          <w:sz w:val="32"/>
          <w:szCs w:val="32"/>
          <w:highlight w:val="none"/>
        </w:rPr>
        <w:t>万元，占</w:t>
      </w:r>
      <w:r>
        <w:rPr>
          <w:rFonts w:hint="eastAsia" w:ascii="仿宋" w:hAnsi="仿宋" w:eastAsia="仿宋"/>
          <w:color w:val="auto"/>
          <w:sz w:val="32"/>
          <w:szCs w:val="32"/>
          <w:highlight w:val="none"/>
          <w:lang w:val="en-US" w:eastAsia="zh-CN"/>
        </w:rPr>
        <w:t>79</w:t>
      </w:r>
      <w:r>
        <w:rPr>
          <w:rFonts w:ascii="仿宋" w:hAnsi="仿宋" w:eastAsia="仿宋"/>
          <w:color w:val="auto"/>
          <w:sz w:val="32"/>
          <w:szCs w:val="32"/>
          <w:highlight w:val="none"/>
        </w:rPr>
        <w:t>%</w:t>
      </w:r>
      <w:r>
        <w:rPr>
          <w:rFonts w:hint="eastAsia" w:ascii="仿宋" w:hAnsi="仿宋" w:eastAsia="仿宋"/>
          <w:color w:val="auto"/>
          <w:sz w:val="32"/>
          <w:szCs w:val="32"/>
          <w:highlight w:val="none"/>
        </w:rPr>
        <w:t>；项目支出</w:t>
      </w:r>
      <w:r>
        <w:rPr>
          <w:rFonts w:hint="eastAsia" w:ascii="仿宋" w:hAnsi="仿宋" w:eastAsia="仿宋"/>
          <w:color w:val="auto"/>
          <w:sz w:val="32"/>
          <w:szCs w:val="32"/>
          <w:highlight w:val="none"/>
          <w:lang w:val="en-US" w:eastAsia="zh-CN"/>
        </w:rPr>
        <w:t>853.43</w:t>
      </w:r>
      <w:r>
        <w:rPr>
          <w:rFonts w:hint="eastAsia" w:ascii="仿宋" w:hAnsi="仿宋" w:eastAsia="仿宋"/>
          <w:color w:val="auto"/>
          <w:sz w:val="32"/>
          <w:szCs w:val="32"/>
          <w:highlight w:val="none"/>
        </w:rPr>
        <w:t>万元，占</w:t>
      </w:r>
      <w:r>
        <w:rPr>
          <w:rFonts w:hint="eastAsia" w:ascii="仿宋" w:hAnsi="仿宋" w:eastAsia="仿宋"/>
          <w:color w:val="auto"/>
          <w:sz w:val="32"/>
          <w:szCs w:val="32"/>
          <w:highlight w:val="none"/>
          <w:lang w:val="en-US" w:eastAsia="zh-CN"/>
        </w:rPr>
        <w:t>21</w:t>
      </w:r>
      <w:r>
        <w:rPr>
          <w:rFonts w:ascii="仿宋" w:hAnsi="仿宋" w:eastAsia="仿宋"/>
          <w:color w:val="auto"/>
          <w:sz w:val="32"/>
          <w:szCs w:val="32"/>
          <w:highlight w:val="none"/>
        </w:rPr>
        <w:t>%</w:t>
      </w:r>
      <w:r>
        <w:rPr>
          <w:rFonts w:hint="eastAsia" w:ascii="仿宋" w:hAnsi="仿宋" w:eastAsia="仿宋"/>
          <w:color w:val="auto"/>
          <w:sz w:val="32"/>
          <w:szCs w:val="32"/>
          <w:highlight w:val="none"/>
          <w:lang w:eastAsia="zh-CN"/>
        </w:rPr>
        <w:t>。</w:t>
      </w:r>
      <w:bookmarkEnd w:id="60"/>
      <w:bookmarkEnd w:id="61"/>
      <w:bookmarkEnd w:id="62"/>
    </w:p>
    <w:p w14:paraId="76B86808">
      <w:pPr>
        <w:spacing w:line="600" w:lineRule="exact"/>
        <w:ind w:firstLine="640"/>
        <w:rPr>
          <w:rFonts w:ascii="仿宋" w:hAnsi="仿宋" w:eastAsia="仿宋"/>
          <w:color w:val="auto"/>
          <w:sz w:val="32"/>
          <w:szCs w:val="32"/>
          <w:highlight w:val="none"/>
          <w:shd w:val="pct10" w:color="auto" w:fill="FFFFFF"/>
        </w:rPr>
      </w:pPr>
      <w:r>
        <w:rPr>
          <w:rFonts w:hint="eastAsia" w:ascii="仿宋_GB2312" w:hAnsi="仿宋" w:eastAsia="仿宋_GB2312"/>
          <w:color w:val="000000"/>
          <w:sz w:val="32"/>
          <w:szCs w:val="32"/>
        </w:rPr>
        <w:pict>
          <v:shape id="Object 8" o:spid="_x0000_s2052" o:spt="75" type="#_x0000_t75" style="position:absolute;left:0pt;margin-left:31.6pt;margin-top:3.45pt;height:201.4pt;width:331.55pt;z-index:251662336;mso-width-relative:page;mso-height-relative:page;" o:ole="t" filled="f" o:preferrelative="t" stroked="f" coordsize="21600,21600">
            <v:path/>
            <v:fill on="f" focussize="0,0"/>
            <v:stroke on="f"/>
            <v:imagedata r:id="rId21" o:title=""/>
            <o:lock v:ext="edit" aspectratio="t"/>
          </v:shape>
          <o:OLEObject Type="Embed" ProgID="Excel.Chart.8" ShapeID="Object 8" DrawAspect="Content" ObjectID="_1468075727" r:id="rId20">
            <o:LockedField>false</o:LockedField>
          </o:OLEObject>
        </w:pict>
      </w:r>
    </w:p>
    <w:p w14:paraId="1A9658A8">
      <w:pPr>
        <w:pStyle w:val="8"/>
        <w:rPr>
          <w:rFonts w:ascii="仿宋" w:hAnsi="仿宋" w:eastAsia="仿宋"/>
          <w:color w:val="auto"/>
          <w:sz w:val="32"/>
          <w:szCs w:val="32"/>
          <w:highlight w:val="none"/>
          <w:shd w:val="pct10" w:color="auto" w:fill="FFFFFF"/>
        </w:rPr>
      </w:pPr>
    </w:p>
    <w:p w14:paraId="2CCB3627">
      <w:pPr>
        <w:pStyle w:val="8"/>
        <w:rPr>
          <w:rFonts w:ascii="仿宋" w:hAnsi="仿宋" w:eastAsia="仿宋"/>
          <w:color w:val="auto"/>
          <w:sz w:val="32"/>
          <w:szCs w:val="32"/>
          <w:highlight w:val="none"/>
          <w:shd w:val="pct10" w:color="auto" w:fill="FFFFFF"/>
        </w:rPr>
      </w:pPr>
    </w:p>
    <w:p w14:paraId="50170713">
      <w:pPr>
        <w:pStyle w:val="8"/>
        <w:rPr>
          <w:rFonts w:ascii="仿宋" w:hAnsi="仿宋" w:eastAsia="仿宋"/>
          <w:color w:val="auto"/>
          <w:sz w:val="32"/>
          <w:szCs w:val="32"/>
          <w:highlight w:val="none"/>
          <w:shd w:val="pct10" w:color="auto" w:fill="FFFFFF"/>
        </w:rPr>
      </w:pPr>
    </w:p>
    <w:p w14:paraId="65143E20">
      <w:pPr>
        <w:pStyle w:val="8"/>
        <w:rPr>
          <w:rFonts w:ascii="仿宋" w:hAnsi="仿宋" w:eastAsia="仿宋"/>
          <w:color w:val="auto"/>
          <w:sz w:val="32"/>
          <w:szCs w:val="32"/>
          <w:highlight w:val="none"/>
          <w:shd w:val="pct10" w:color="auto" w:fill="FFFFFF"/>
        </w:rPr>
      </w:pPr>
    </w:p>
    <w:p w14:paraId="1EDB9535">
      <w:pPr>
        <w:spacing w:line="600" w:lineRule="exact"/>
        <w:rPr>
          <w:rFonts w:hint="eastAsia" w:ascii="仿宋" w:hAnsi="仿宋" w:eastAsia="仿宋"/>
          <w:color w:val="auto"/>
          <w:sz w:val="32"/>
          <w:szCs w:val="32"/>
          <w:highlight w:val="none"/>
        </w:rPr>
      </w:pPr>
    </w:p>
    <w:p w14:paraId="1DF588B9">
      <w:pPr>
        <w:spacing w:line="600" w:lineRule="exact"/>
        <w:ind w:firstLine="1920" w:firstLineChars="600"/>
        <w:rPr>
          <w:rFonts w:ascii="仿宋_GB2312" w:eastAsia="仿宋_GB2312"/>
          <w:color w:val="auto"/>
          <w:sz w:val="32"/>
          <w:szCs w:val="32"/>
          <w:highlight w:val="none"/>
        </w:rPr>
      </w:pPr>
      <w:r>
        <w:rPr>
          <w:rFonts w:hint="eastAsia" w:ascii="仿宋" w:hAnsi="仿宋" w:eastAsia="仿宋"/>
          <w:color w:val="auto"/>
          <w:sz w:val="32"/>
          <w:szCs w:val="32"/>
          <w:highlight w:val="none"/>
        </w:rPr>
        <w:t>（图3：支出决算结构图）</w:t>
      </w:r>
    </w:p>
    <w:p w14:paraId="4096FF45">
      <w:pPr>
        <w:spacing w:line="600" w:lineRule="exact"/>
        <w:ind w:firstLine="640" w:firstLineChars="200"/>
        <w:outlineLvl w:val="1"/>
        <w:rPr>
          <w:rStyle w:val="26"/>
          <w:rFonts w:ascii="黑体" w:hAnsi="黑体" w:eastAsia="黑体"/>
          <w:b w:val="0"/>
          <w:color w:val="auto"/>
          <w:highlight w:val="none"/>
        </w:rPr>
      </w:pPr>
      <w:bookmarkStart w:id="63" w:name="_Toc15396606"/>
      <w:bookmarkStart w:id="64" w:name="_Toc6121"/>
      <w:bookmarkStart w:id="65" w:name="_Toc15377208"/>
      <w:bookmarkStart w:id="66" w:name="_Toc24983"/>
      <w:r>
        <w:rPr>
          <w:rFonts w:hint="eastAsia" w:ascii="黑体" w:hAnsi="黑体" w:eastAsia="黑体"/>
          <w:color w:val="auto"/>
          <w:sz w:val="32"/>
          <w:szCs w:val="32"/>
          <w:highlight w:val="none"/>
        </w:rPr>
        <w:t>四、财</w:t>
      </w:r>
      <w:r>
        <w:rPr>
          <w:rStyle w:val="26"/>
          <w:rFonts w:hint="eastAsia" w:ascii="黑体" w:hAnsi="黑体" w:eastAsia="黑体"/>
          <w:b w:val="0"/>
          <w:color w:val="auto"/>
          <w:highlight w:val="none"/>
        </w:rPr>
        <w:t>政拨款收入支出决算总体情况说明</w:t>
      </w:r>
      <w:bookmarkEnd w:id="63"/>
      <w:bookmarkEnd w:id="64"/>
      <w:bookmarkEnd w:id="65"/>
      <w:bookmarkEnd w:id="66"/>
    </w:p>
    <w:p w14:paraId="14D1DFCA">
      <w:pPr>
        <w:spacing w:line="600" w:lineRule="exact"/>
        <w:ind w:firstLine="640"/>
        <w:rPr>
          <w:rFonts w:ascii="仿宋" w:hAnsi="仿宋" w:eastAsia="仿宋"/>
          <w:b/>
          <w:color w:val="auto"/>
          <w:sz w:val="32"/>
          <w:szCs w:val="32"/>
          <w:highlight w:val="none"/>
        </w:rPr>
      </w:pPr>
      <w:r>
        <w:rPr>
          <w:rFonts w:ascii="仿宋" w:hAnsi="仿宋" w:eastAsia="仿宋"/>
          <w:color w:val="auto"/>
          <w:sz w:val="32"/>
          <w:szCs w:val="32"/>
          <w:highlight w:val="none"/>
        </w:rPr>
        <w:t>20</w:t>
      </w:r>
      <w:r>
        <w:rPr>
          <w:rFonts w:hint="eastAsia" w:ascii="仿宋" w:hAnsi="仿宋" w:eastAsia="仿宋"/>
          <w:color w:val="auto"/>
          <w:sz w:val="32"/>
          <w:szCs w:val="32"/>
          <w:highlight w:val="none"/>
          <w:lang w:val="en-US" w:eastAsia="zh-CN"/>
        </w:rPr>
        <w:t>23</w:t>
      </w:r>
      <w:r>
        <w:rPr>
          <w:rFonts w:hint="eastAsia" w:ascii="仿宋" w:hAnsi="仿宋" w:eastAsia="仿宋"/>
          <w:color w:val="auto"/>
          <w:sz w:val="32"/>
          <w:szCs w:val="32"/>
          <w:highlight w:val="none"/>
        </w:rPr>
        <w:t>年财政拨款收、支总计</w:t>
      </w:r>
      <w:r>
        <w:rPr>
          <w:rFonts w:hint="eastAsia" w:ascii="仿宋" w:hAnsi="仿宋" w:eastAsia="仿宋"/>
          <w:color w:val="auto"/>
          <w:sz w:val="32"/>
          <w:szCs w:val="32"/>
          <w:highlight w:val="none"/>
          <w:lang w:val="en-US" w:eastAsia="zh-CN"/>
        </w:rPr>
        <w:t>4019.31</w:t>
      </w:r>
      <w:r>
        <w:rPr>
          <w:rFonts w:hint="eastAsia" w:ascii="仿宋" w:hAnsi="仿宋" w:eastAsia="仿宋"/>
          <w:color w:val="auto"/>
          <w:sz w:val="32"/>
          <w:szCs w:val="32"/>
          <w:highlight w:val="none"/>
        </w:rPr>
        <w:t>万元。与</w:t>
      </w:r>
      <w:r>
        <w:rPr>
          <w:rFonts w:ascii="仿宋" w:hAnsi="仿宋" w:eastAsia="仿宋"/>
          <w:color w:val="auto"/>
          <w:sz w:val="32"/>
          <w:szCs w:val="32"/>
          <w:highlight w:val="none"/>
        </w:rPr>
        <w:t>20</w:t>
      </w:r>
      <w:r>
        <w:rPr>
          <w:rFonts w:hint="eastAsia" w:ascii="仿宋" w:hAnsi="仿宋" w:eastAsia="仿宋"/>
          <w:color w:val="auto"/>
          <w:sz w:val="32"/>
          <w:szCs w:val="32"/>
          <w:highlight w:val="none"/>
          <w:lang w:val="en-US" w:eastAsia="zh-CN"/>
        </w:rPr>
        <w:t>22</w:t>
      </w:r>
      <w:r>
        <w:rPr>
          <w:rFonts w:hint="eastAsia" w:ascii="仿宋" w:hAnsi="仿宋" w:eastAsia="仿宋"/>
          <w:color w:val="auto"/>
          <w:sz w:val="32"/>
          <w:szCs w:val="32"/>
          <w:highlight w:val="none"/>
        </w:rPr>
        <w:t>年相比，财政拨款收、支总计各</w:t>
      </w:r>
      <w:r>
        <w:rPr>
          <w:rFonts w:hint="eastAsia" w:ascii="仿宋" w:hAnsi="仿宋" w:eastAsia="仿宋"/>
          <w:color w:val="auto"/>
          <w:sz w:val="32"/>
          <w:szCs w:val="32"/>
          <w:highlight w:val="none"/>
          <w:lang w:eastAsia="zh-CN"/>
        </w:rPr>
        <w:t>减少</w:t>
      </w:r>
      <w:r>
        <w:rPr>
          <w:rFonts w:hint="eastAsia" w:ascii="仿宋" w:hAnsi="仿宋" w:eastAsia="仿宋"/>
          <w:color w:val="auto"/>
          <w:sz w:val="32"/>
          <w:szCs w:val="32"/>
          <w:highlight w:val="none"/>
          <w:lang w:val="en-US" w:eastAsia="zh-CN"/>
        </w:rPr>
        <w:t>379.13</w:t>
      </w:r>
      <w:r>
        <w:rPr>
          <w:rFonts w:hint="eastAsia" w:ascii="仿宋" w:hAnsi="仿宋" w:eastAsia="仿宋"/>
          <w:color w:val="auto"/>
          <w:sz w:val="32"/>
          <w:szCs w:val="32"/>
          <w:highlight w:val="none"/>
        </w:rPr>
        <w:t>万元，</w:t>
      </w:r>
      <w:r>
        <w:rPr>
          <w:rFonts w:hint="eastAsia" w:ascii="仿宋" w:hAnsi="仿宋" w:eastAsia="仿宋"/>
          <w:color w:val="auto"/>
          <w:sz w:val="32"/>
          <w:szCs w:val="32"/>
          <w:highlight w:val="none"/>
          <w:lang w:eastAsia="zh-CN"/>
        </w:rPr>
        <w:t>下降</w:t>
      </w:r>
      <w:r>
        <w:rPr>
          <w:rFonts w:hint="eastAsia" w:ascii="仿宋" w:hAnsi="仿宋" w:eastAsia="仿宋"/>
          <w:color w:val="auto"/>
          <w:sz w:val="32"/>
          <w:szCs w:val="32"/>
          <w:highlight w:val="none"/>
          <w:lang w:val="en-US" w:eastAsia="zh-CN"/>
        </w:rPr>
        <w:t>8.62</w:t>
      </w:r>
      <w:r>
        <w:rPr>
          <w:rFonts w:ascii="仿宋" w:hAnsi="仿宋" w:eastAsia="仿宋"/>
          <w:color w:val="auto"/>
          <w:sz w:val="32"/>
          <w:szCs w:val="32"/>
          <w:highlight w:val="none"/>
        </w:rPr>
        <w:t>%</w:t>
      </w:r>
      <w:r>
        <w:rPr>
          <w:rFonts w:hint="eastAsia" w:ascii="仿宋" w:hAnsi="仿宋" w:eastAsia="仿宋"/>
          <w:color w:val="auto"/>
          <w:sz w:val="32"/>
          <w:szCs w:val="32"/>
          <w:highlight w:val="none"/>
        </w:rPr>
        <w:t>。主要变动原因是</w:t>
      </w:r>
      <w:r>
        <w:rPr>
          <w:rFonts w:hint="eastAsia" w:ascii="仿宋" w:hAnsi="仿宋" w:eastAsia="仿宋"/>
          <w:color w:val="auto"/>
          <w:sz w:val="32"/>
          <w:szCs w:val="32"/>
          <w:highlight w:val="none"/>
          <w:lang w:eastAsia="zh-CN"/>
        </w:rPr>
        <w:t>当年人员经费及</w:t>
      </w:r>
      <w:r>
        <w:rPr>
          <w:rFonts w:hint="eastAsia" w:ascii="仿宋_GB2312" w:hAnsi="仿宋" w:eastAsia="仿宋_GB2312"/>
          <w:color w:val="000000"/>
          <w:sz w:val="32"/>
          <w:szCs w:val="32"/>
        </w:rPr>
        <w:t>项目工作经费</w:t>
      </w:r>
      <w:r>
        <w:rPr>
          <w:rFonts w:hint="eastAsia" w:ascii="仿宋_GB2312" w:hAnsi="仿宋" w:eastAsia="仿宋_GB2312"/>
          <w:color w:val="000000"/>
          <w:sz w:val="32"/>
          <w:szCs w:val="32"/>
          <w:lang w:eastAsia="zh-CN"/>
        </w:rPr>
        <w:t>减少。</w:t>
      </w:r>
    </w:p>
    <w:p w14:paraId="5761E868">
      <w:pPr>
        <w:spacing w:line="600" w:lineRule="exact"/>
        <w:rPr>
          <w:rFonts w:ascii="仿宋" w:hAnsi="仿宋" w:eastAsia="仿宋"/>
          <w:color w:val="auto"/>
          <w:sz w:val="32"/>
          <w:szCs w:val="32"/>
          <w:highlight w:val="none"/>
        </w:rPr>
      </w:pPr>
      <w:r>
        <w:rPr>
          <w:rFonts w:hint="eastAsia" w:ascii="仿宋" w:hAnsi="仿宋" w:eastAsia="仿宋"/>
          <w:color w:val="000000"/>
          <w:sz w:val="32"/>
          <w:szCs w:val="32"/>
        </w:rPr>
        <w:pict>
          <v:shape id="Object 9" o:spid="_x0000_s2053" o:spt="75" type="#_x0000_t75" style="position:absolute;left:0pt;margin-left:45.9pt;margin-top:7.3pt;height:192.85pt;width:317.35pt;z-index:251663360;mso-width-relative:page;mso-height-relative:page;" o:ole="t" filled="f" o:preferrelative="t" stroked="f" coordsize="21600,21600">
            <v:path/>
            <v:fill on="f" focussize="0,0"/>
            <v:stroke on="f"/>
            <v:imagedata r:id="rId23" o:title=""/>
            <o:lock v:ext="edit" aspectratio="t"/>
          </v:shape>
          <o:OLEObject Type="Embed" ProgID="Excel.Chart.8" ShapeID="Object 9" DrawAspect="Content" ObjectID="_1468075728" r:id="rId22">
            <o:LockedField>false</o:LockedField>
          </o:OLEObject>
        </w:pict>
      </w:r>
    </w:p>
    <w:p w14:paraId="4E21BD30">
      <w:pPr>
        <w:pStyle w:val="8"/>
        <w:rPr>
          <w:rFonts w:ascii="仿宋" w:hAnsi="仿宋" w:eastAsia="仿宋"/>
          <w:color w:val="auto"/>
          <w:sz w:val="32"/>
          <w:szCs w:val="32"/>
          <w:highlight w:val="none"/>
        </w:rPr>
      </w:pPr>
    </w:p>
    <w:p w14:paraId="2148C882">
      <w:pPr>
        <w:pStyle w:val="8"/>
        <w:rPr>
          <w:rFonts w:ascii="仿宋" w:hAnsi="仿宋" w:eastAsia="仿宋"/>
          <w:color w:val="auto"/>
          <w:sz w:val="32"/>
          <w:szCs w:val="32"/>
          <w:highlight w:val="none"/>
        </w:rPr>
      </w:pPr>
    </w:p>
    <w:p w14:paraId="3E7BB9F6">
      <w:pPr>
        <w:pStyle w:val="8"/>
        <w:rPr>
          <w:rFonts w:ascii="仿宋" w:hAnsi="仿宋" w:eastAsia="仿宋"/>
          <w:color w:val="auto"/>
          <w:sz w:val="32"/>
          <w:szCs w:val="32"/>
          <w:highlight w:val="none"/>
        </w:rPr>
      </w:pPr>
    </w:p>
    <w:p w14:paraId="01311C6A">
      <w:pPr>
        <w:spacing w:line="600" w:lineRule="exact"/>
        <w:ind w:firstLine="640" w:firstLineChars="200"/>
        <w:rPr>
          <w:rFonts w:hint="eastAsia" w:ascii="仿宋" w:hAnsi="仿宋" w:eastAsia="仿宋"/>
          <w:color w:val="auto"/>
          <w:sz w:val="32"/>
          <w:szCs w:val="32"/>
          <w:highlight w:val="none"/>
        </w:rPr>
      </w:pPr>
    </w:p>
    <w:p w14:paraId="70C5672B">
      <w:pPr>
        <w:spacing w:line="600" w:lineRule="exact"/>
        <w:ind w:firstLine="640" w:firstLineChars="200"/>
        <w:rPr>
          <w:rFonts w:hint="eastAsia" w:ascii="仿宋" w:hAnsi="仿宋" w:eastAsia="仿宋"/>
          <w:color w:val="auto"/>
          <w:sz w:val="32"/>
          <w:szCs w:val="32"/>
          <w:highlight w:val="none"/>
        </w:rPr>
      </w:pPr>
    </w:p>
    <w:p w14:paraId="53AA1F2C">
      <w:pPr>
        <w:spacing w:line="600" w:lineRule="exact"/>
        <w:ind w:firstLine="640" w:firstLineChars="200"/>
        <w:rPr>
          <w:rFonts w:hint="eastAsia" w:ascii="仿宋" w:hAnsi="仿宋" w:eastAsia="仿宋"/>
          <w:color w:val="auto"/>
          <w:sz w:val="32"/>
          <w:szCs w:val="32"/>
          <w:highlight w:val="none"/>
        </w:rPr>
      </w:pPr>
    </w:p>
    <w:p w14:paraId="5FAD4A61">
      <w:pPr>
        <w:spacing w:line="600" w:lineRule="exact"/>
        <w:ind w:firstLine="640" w:firstLineChars="200"/>
        <w:rPr>
          <w:rFonts w:ascii="仿宋" w:hAnsi="仿宋" w:eastAsia="仿宋"/>
          <w:b/>
          <w:color w:val="auto"/>
          <w:sz w:val="32"/>
          <w:szCs w:val="32"/>
          <w:highlight w:val="none"/>
        </w:rPr>
      </w:pPr>
      <w:r>
        <w:rPr>
          <w:rFonts w:hint="eastAsia" w:ascii="仿宋" w:hAnsi="仿宋" w:eastAsia="仿宋"/>
          <w:color w:val="auto"/>
          <w:sz w:val="32"/>
          <w:szCs w:val="32"/>
          <w:highlight w:val="none"/>
        </w:rPr>
        <w:t>（图4：财政拨款收、支决算总计变动情况）</w:t>
      </w:r>
    </w:p>
    <w:p w14:paraId="3643BCFF">
      <w:pPr>
        <w:spacing w:line="600" w:lineRule="exact"/>
        <w:ind w:firstLine="640" w:firstLineChars="200"/>
        <w:outlineLvl w:val="1"/>
        <w:rPr>
          <w:rStyle w:val="26"/>
          <w:rFonts w:ascii="黑体" w:hAnsi="黑体" w:eastAsia="黑体"/>
          <w:b w:val="0"/>
          <w:color w:val="auto"/>
          <w:highlight w:val="none"/>
        </w:rPr>
      </w:pPr>
      <w:bookmarkStart w:id="67" w:name="_Toc15396607"/>
      <w:bookmarkStart w:id="68" w:name="_Toc20104"/>
      <w:bookmarkStart w:id="69" w:name="_Toc15377209"/>
      <w:bookmarkStart w:id="70" w:name="_Toc26410"/>
      <w:r>
        <w:rPr>
          <w:rFonts w:hint="eastAsia" w:ascii="黑体" w:hAnsi="黑体" w:eastAsia="黑体"/>
          <w:color w:val="auto"/>
          <w:sz w:val="32"/>
          <w:szCs w:val="32"/>
          <w:highlight w:val="none"/>
        </w:rPr>
        <w:t>五、</w:t>
      </w:r>
      <w:r>
        <w:rPr>
          <w:rFonts w:hint="eastAsia" w:ascii="黑体" w:hAnsi="黑体" w:eastAsia="黑体"/>
          <w:b/>
          <w:color w:val="auto"/>
          <w:sz w:val="32"/>
          <w:szCs w:val="32"/>
          <w:highlight w:val="none"/>
        </w:rPr>
        <w:t>一</w:t>
      </w:r>
      <w:r>
        <w:rPr>
          <w:rStyle w:val="26"/>
          <w:rFonts w:hint="eastAsia" w:ascii="黑体" w:hAnsi="黑体" w:eastAsia="黑体"/>
          <w:b w:val="0"/>
          <w:color w:val="auto"/>
          <w:highlight w:val="none"/>
        </w:rPr>
        <w:t>般公共预算财政拨款支出决算情况说明</w:t>
      </w:r>
      <w:bookmarkEnd w:id="67"/>
      <w:bookmarkEnd w:id="68"/>
      <w:bookmarkEnd w:id="69"/>
      <w:bookmarkEnd w:id="70"/>
    </w:p>
    <w:p w14:paraId="337E477D">
      <w:pPr>
        <w:spacing w:line="600" w:lineRule="exact"/>
        <w:ind w:firstLine="643" w:firstLineChars="200"/>
        <w:outlineLvl w:val="2"/>
        <w:rPr>
          <w:rFonts w:ascii="仿宋" w:hAnsi="仿宋" w:eastAsia="仿宋"/>
          <w:b/>
          <w:color w:val="auto"/>
          <w:sz w:val="32"/>
          <w:szCs w:val="32"/>
          <w:highlight w:val="none"/>
        </w:rPr>
      </w:pPr>
      <w:bookmarkStart w:id="71" w:name="_Toc15377210"/>
      <w:r>
        <w:rPr>
          <w:rFonts w:hint="eastAsia" w:ascii="仿宋" w:hAnsi="仿宋" w:eastAsia="仿宋"/>
          <w:b/>
          <w:color w:val="auto"/>
          <w:sz w:val="32"/>
          <w:szCs w:val="32"/>
          <w:highlight w:val="none"/>
        </w:rPr>
        <w:t>（一）一般公共预算财政拨款支出决算总体情况</w:t>
      </w:r>
      <w:bookmarkEnd w:id="71"/>
    </w:p>
    <w:p w14:paraId="3AABFEA9">
      <w:pPr>
        <w:spacing w:line="600" w:lineRule="exact"/>
        <w:ind w:firstLine="640" w:firstLineChars="200"/>
        <w:rPr>
          <w:rFonts w:ascii="仿宋" w:hAnsi="仿宋" w:eastAsia="仿宋"/>
          <w:color w:val="auto"/>
          <w:sz w:val="32"/>
          <w:szCs w:val="32"/>
          <w:highlight w:val="none"/>
        </w:rPr>
      </w:pPr>
      <w:r>
        <w:rPr>
          <w:rFonts w:ascii="仿宋" w:hAnsi="仿宋" w:eastAsia="仿宋"/>
          <w:color w:val="auto"/>
          <w:sz w:val="32"/>
          <w:szCs w:val="32"/>
          <w:highlight w:val="none"/>
        </w:rPr>
        <w:t>20</w:t>
      </w:r>
      <w:r>
        <w:rPr>
          <w:rFonts w:hint="eastAsia" w:ascii="仿宋" w:hAnsi="仿宋" w:eastAsia="仿宋"/>
          <w:color w:val="auto"/>
          <w:sz w:val="32"/>
          <w:szCs w:val="32"/>
          <w:highlight w:val="none"/>
          <w:lang w:val="en-US" w:eastAsia="zh-CN"/>
        </w:rPr>
        <w:t>23</w:t>
      </w:r>
      <w:r>
        <w:rPr>
          <w:rFonts w:hint="eastAsia" w:ascii="仿宋" w:hAnsi="仿宋" w:eastAsia="仿宋"/>
          <w:color w:val="auto"/>
          <w:sz w:val="32"/>
          <w:szCs w:val="32"/>
          <w:highlight w:val="none"/>
        </w:rPr>
        <w:t>年一般公共预算财政拨款支出</w:t>
      </w:r>
      <w:r>
        <w:rPr>
          <w:rFonts w:hint="eastAsia" w:ascii="仿宋" w:hAnsi="仿宋" w:eastAsia="仿宋"/>
          <w:color w:val="auto"/>
          <w:sz w:val="32"/>
          <w:szCs w:val="32"/>
          <w:highlight w:val="none"/>
          <w:lang w:val="en-US" w:eastAsia="zh-CN"/>
        </w:rPr>
        <w:t>4019.31</w:t>
      </w:r>
      <w:r>
        <w:rPr>
          <w:rFonts w:hint="eastAsia" w:ascii="仿宋" w:hAnsi="仿宋" w:eastAsia="仿宋"/>
          <w:color w:val="auto"/>
          <w:sz w:val="32"/>
          <w:szCs w:val="32"/>
          <w:highlight w:val="none"/>
        </w:rPr>
        <w:t>万元，占本年支出合计的</w:t>
      </w:r>
      <w:r>
        <w:rPr>
          <w:rFonts w:hint="eastAsia" w:ascii="仿宋" w:hAnsi="仿宋" w:eastAsia="仿宋"/>
          <w:color w:val="auto"/>
          <w:sz w:val="32"/>
          <w:szCs w:val="32"/>
          <w:highlight w:val="none"/>
          <w:lang w:val="en-US" w:eastAsia="zh-CN"/>
        </w:rPr>
        <w:t>99.57</w:t>
      </w:r>
      <w:r>
        <w:rPr>
          <w:rFonts w:ascii="仿宋" w:hAnsi="仿宋" w:eastAsia="仿宋"/>
          <w:color w:val="auto"/>
          <w:sz w:val="32"/>
          <w:szCs w:val="32"/>
          <w:highlight w:val="none"/>
        </w:rPr>
        <w:t>%</w:t>
      </w:r>
      <w:r>
        <w:rPr>
          <w:rFonts w:hint="eastAsia" w:ascii="仿宋" w:hAnsi="仿宋" w:eastAsia="仿宋"/>
          <w:color w:val="auto"/>
          <w:sz w:val="32"/>
          <w:szCs w:val="32"/>
          <w:highlight w:val="none"/>
        </w:rPr>
        <w:t>。与</w:t>
      </w:r>
      <w:r>
        <w:rPr>
          <w:rFonts w:ascii="仿宋" w:hAnsi="仿宋" w:eastAsia="仿宋"/>
          <w:color w:val="auto"/>
          <w:sz w:val="32"/>
          <w:szCs w:val="32"/>
          <w:highlight w:val="none"/>
        </w:rPr>
        <w:t>20</w:t>
      </w:r>
      <w:r>
        <w:rPr>
          <w:rFonts w:hint="eastAsia" w:ascii="仿宋" w:hAnsi="仿宋" w:eastAsia="仿宋"/>
          <w:color w:val="auto"/>
          <w:sz w:val="32"/>
          <w:szCs w:val="32"/>
          <w:highlight w:val="none"/>
          <w:lang w:val="en-US" w:eastAsia="zh-CN"/>
        </w:rPr>
        <w:t>23</w:t>
      </w:r>
      <w:r>
        <w:rPr>
          <w:rFonts w:hint="eastAsia" w:ascii="仿宋" w:hAnsi="仿宋" w:eastAsia="仿宋"/>
          <w:color w:val="auto"/>
          <w:sz w:val="32"/>
          <w:szCs w:val="32"/>
          <w:highlight w:val="none"/>
        </w:rPr>
        <w:t>年相比，一般公共预算财政拨款</w:t>
      </w:r>
      <w:r>
        <w:rPr>
          <w:rFonts w:hint="eastAsia" w:ascii="仿宋" w:hAnsi="仿宋" w:eastAsia="仿宋"/>
          <w:color w:val="auto"/>
          <w:sz w:val="32"/>
          <w:szCs w:val="32"/>
          <w:highlight w:val="none"/>
          <w:lang w:eastAsia="zh-CN"/>
        </w:rPr>
        <w:t>支出</w:t>
      </w:r>
      <w:r>
        <w:rPr>
          <w:rFonts w:hint="eastAsia" w:ascii="仿宋" w:hAnsi="仿宋" w:eastAsia="仿宋"/>
          <w:color w:val="auto"/>
          <w:sz w:val="32"/>
          <w:szCs w:val="32"/>
          <w:highlight w:val="none"/>
          <w:lang w:val="en-US" w:eastAsia="zh-CN"/>
        </w:rPr>
        <w:t>379.13</w:t>
      </w:r>
      <w:r>
        <w:rPr>
          <w:rFonts w:hint="eastAsia" w:ascii="仿宋" w:hAnsi="仿宋" w:eastAsia="仿宋"/>
          <w:color w:val="auto"/>
          <w:sz w:val="32"/>
          <w:szCs w:val="32"/>
          <w:highlight w:val="none"/>
        </w:rPr>
        <w:t>万元，</w:t>
      </w:r>
      <w:r>
        <w:rPr>
          <w:rFonts w:hint="eastAsia" w:ascii="仿宋" w:hAnsi="仿宋" w:eastAsia="仿宋"/>
          <w:color w:val="auto"/>
          <w:sz w:val="32"/>
          <w:szCs w:val="32"/>
          <w:highlight w:val="none"/>
          <w:lang w:eastAsia="zh-CN"/>
        </w:rPr>
        <w:t>下降</w:t>
      </w:r>
      <w:r>
        <w:rPr>
          <w:rFonts w:hint="eastAsia" w:ascii="仿宋" w:hAnsi="仿宋" w:eastAsia="仿宋"/>
          <w:color w:val="auto"/>
          <w:sz w:val="32"/>
          <w:szCs w:val="32"/>
          <w:highlight w:val="none"/>
          <w:lang w:val="en-US" w:eastAsia="zh-CN"/>
        </w:rPr>
        <w:t>8.62</w:t>
      </w:r>
      <w:r>
        <w:rPr>
          <w:rFonts w:ascii="仿宋" w:hAnsi="仿宋" w:eastAsia="仿宋"/>
          <w:color w:val="auto"/>
          <w:sz w:val="32"/>
          <w:szCs w:val="32"/>
          <w:highlight w:val="none"/>
        </w:rPr>
        <w:t>%</w:t>
      </w:r>
      <w:r>
        <w:rPr>
          <w:rFonts w:hint="eastAsia" w:ascii="仿宋" w:hAnsi="仿宋" w:eastAsia="仿宋"/>
          <w:color w:val="auto"/>
          <w:sz w:val="32"/>
          <w:szCs w:val="32"/>
          <w:highlight w:val="none"/>
        </w:rPr>
        <w:t>。主要变动原因是</w:t>
      </w:r>
      <w:r>
        <w:rPr>
          <w:rFonts w:hint="eastAsia" w:ascii="仿宋" w:hAnsi="仿宋" w:eastAsia="仿宋"/>
          <w:color w:val="auto"/>
          <w:sz w:val="32"/>
          <w:szCs w:val="32"/>
          <w:highlight w:val="none"/>
          <w:lang w:eastAsia="zh-CN"/>
        </w:rPr>
        <w:t>当年人员经费及</w:t>
      </w:r>
      <w:r>
        <w:rPr>
          <w:rFonts w:hint="eastAsia" w:ascii="仿宋_GB2312" w:hAnsi="仿宋" w:eastAsia="仿宋_GB2312"/>
          <w:color w:val="auto"/>
          <w:sz w:val="32"/>
          <w:szCs w:val="32"/>
        </w:rPr>
        <w:t>项目工作经费</w:t>
      </w:r>
      <w:r>
        <w:rPr>
          <w:rFonts w:hint="eastAsia" w:ascii="仿宋_GB2312" w:hAnsi="仿宋" w:eastAsia="仿宋_GB2312"/>
          <w:color w:val="auto"/>
          <w:sz w:val="32"/>
          <w:szCs w:val="32"/>
          <w:lang w:eastAsia="zh-CN"/>
        </w:rPr>
        <w:t>减少。</w:t>
      </w:r>
    </w:p>
    <w:p w14:paraId="34815DC9">
      <w:pPr>
        <w:spacing w:line="600" w:lineRule="exact"/>
        <w:ind w:firstLine="640" w:firstLineChars="200"/>
        <w:rPr>
          <w:rFonts w:ascii="仿宋" w:hAnsi="仿宋" w:eastAsia="仿宋"/>
          <w:color w:val="auto"/>
          <w:sz w:val="32"/>
          <w:szCs w:val="32"/>
          <w:highlight w:val="none"/>
        </w:rPr>
      </w:pPr>
      <w:r>
        <w:rPr>
          <w:rFonts w:hint="eastAsia" w:ascii="仿宋" w:hAnsi="仿宋" w:eastAsia="仿宋"/>
          <w:color w:val="000000"/>
          <w:sz w:val="32"/>
          <w:szCs w:val="32"/>
        </w:rPr>
        <w:pict>
          <v:shape id="Object 12" o:spid="_x0000_s2054" o:spt="75" type="#_x0000_t75" style="position:absolute;left:0pt;margin-left:46.95pt;margin-top:11.25pt;height:200.1pt;width:329.05pt;z-index:251664384;mso-width-relative:page;mso-height-relative:page;" o:ole="t" filled="f" o:preferrelative="t" stroked="f" coordsize="21600,21600">
            <v:path/>
            <v:fill on="f" focussize="0,0"/>
            <v:stroke on="f"/>
            <v:imagedata r:id="rId25" o:title=""/>
            <o:lock v:ext="edit" aspectratio="t"/>
          </v:shape>
          <o:OLEObject Type="Embed" ProgID="Excel.Chart.8" ShapeID="Object 12" DrawAspect="Content" ObjectID="_1468075729" r:id="rId24">
            <o:LockedField>false</o:LockedField>
          </o:OLEObject>
        </w:pict>
      </w:r>
    </w:p>
    <w:p w14:paraId="02AC6989">
      <w:pPr>
        <w:pStyle w:val="8"/>
        <w:rPr>
          <w:rFonts w:ascii="仿宋" w:hAnsi="仿宋" w:eastAsia="仿宋"/>
          <w:color w:val="auto"/>
          <w:sz w:val="32"/>
          <w:szCs w:val="32"/>
          <w:highlight w:val="none"/>
        </w:rPr>
      </w:pPr>
    </w:p>
    <w:p w14:paraId="43DE3B01">
      <w:pPr>
        <w:pStyle w:val="8"/>
        <w:rPr>
          <w:rFonts w:ascii="仿宋" w:hAnsi="仿宋" w:eastAsia="仿宋"/>
          <w:color w:val="auto"/>
          <w:sz w:val="32"/>
          <w:szCs w:val="32"/>
          <w:highlight w:val="none"/>
        </w:rPr>
      </w:pPr>
    </w:p>
    <w:p w14:paraId="340203C0">
      <w:pPr>
        <w:pStyle w:val="8"/>
        <w:rPr>
          <w:rFonts w:ascii="仿宋" w:hAnsi="仿宋" w:eastAsia="仿宋"/>
          <w:color w:val="auto"/>
          <w:sz w:val="32"/>
          <w:szCs w:val="32"/>
          <w:highlight w:val="none"/>
        </w:rPr>
      </w:pPr>
    </w:p>
    <w:p w14:paraId="1CF00A68">
      <w:pPr>
        <w:pStyle w:val="8"/>
        <w:rPr>
          <w:rFonts w:ascii="仿宋" w:hAnsi="仿宋" w:eastAsia="仿宋"/>
          <w:color w:val="auto"/>
          <w:sz w:val="32"/>
          <w:szCs w:val="32"/>
          <w:highlight w:val="none"/>
        </w:rPr>
      </w:pPr>
    </w:p>
    <w:p w14:paraId="0979D124">
      <w:pPr>
        <w:spacing w:line="600" w:lineRule="exact"/>
        <w:rPr>
          <w:rFonts w:hint="eastAsia" w:ascii="仿宋" w:hAnsi="仿宋" w:eastAsia="仿宋"/>
          <w:color w:val="auto"/>
          <w:sz w:val="32"/>
          <w:szCs w:val="32"/>
          <w:highlight w:val="none"/>
        </w:rPr>
      </w:pPr>
    </w:p>
    <w:p w14:paraId="3F81C8CB">
      <w:pPr>
        <w:spacing w:line="600" w:lineRule="exact"/>
        <w:ind w:firstLine="640" w:firstLineChars="200"/>
        <w:rPr>
          <w:rFonts w:hint="eastAsia" w:ascii="仿宋" w:hAnsi="仿宋" w:eastAsia="仿宋"/>
          <w:color w:val="auto"/>
          <w:sz w:val="32"/>
          <w:szCs w:val="32"/>
          <w:highlight w:val="none"/>
        </w:rPr>
      </w:pPr>
    </w:p>
    <w:p w14:paraId="313BA252">
      <w:pPr>
        <w:spacing w:line="600" w:lineRule="exact"/>
        <w:ind w:firstLine="640" w:firstLineChars="200"/>
        <w:rPr>
          <w:rFonts w:ascii="仿宋" w:hAnsi="仿宋" w:eastAsia="仿宋"/>
          <w:color w:val="auto"/>
          <w:sz w:val="32"/>
          <w:szCs w:val="32"/>
          <w:highlight w:val="none"/>
        </w:rPr>
      </w:pPr>
      <w:r>
        <w:rPr>
          <w:rFonts w:hint="eastAsia" w:ascii="仿宋" w:hAnsi="仿宋" w:eastAsia="仿宋"/>
          <w:color w:val="auto"/>
          <w:sz w:val="32"/>
          <w:szCs w:val="32"/>
          <w:highlight w:val="none"/>
        </w:rPr>
        <w:t>（图5：一般公共预算财政拨款支出决算变动情况）</w:t>
      </w:r>
    </w:p>
    <w:p w14:paraId="472E7BCE">
      <w:pPr>
        <w:spacing w:line="600" w:lineRule="exact"/>
        <w:ind w:firstLine="643" w:firstLineChars="200"/>
        <w:outlineLvl w:val="2"/>
        <w:rPr>
          <w:rFonts w:ascii="仿宋" w:hAnsi="仿宋" w:eastAsia="仿宋"/>
          <w:b/>
          <w:color w:val="auto"/>
          <w:sz w:val="32"/>
          <w:szCs w:val="32"/>
          <w:highlight w:val="none"/>
        </w:rPr>
      </w:pPr>
      <w:bookmarkStart w:id="72" w:name="_Toc15377211"/>
      <w:r>
        <w:rPr>
          <w:rFonts w:hint="eastAsia" w:ascii="仿宋" w:hAnsi="仿宋" w:eastAsia="仿宋"/>
          <w:b/>
          <w:color w:val="auto"/>
          <w:sz w:val="32"/>
          <w:szCs w:val="32"/>
          <w:highlight w:val="none"/>
        </w:rPr>
        <w:t>（二）一般公共预算财政拨款支出决算结构情况</w:t>
      </w:r>
      <w:bookmarkEnd w:id="72"/>
    </w:p>
    <w:p w14:paraId="2E2FF900">
      <w:pPr>
        <w:spacing w:line="600" w:lineRule="exact"/>
        <w:ind w:firstLine="640"/>
        <w:rPr>
          <w:rFonts w:hint="eastAsia" w:ascii="仿宋" w:hAnsi="仿宋" w:eastAsia="仿宋"/>
          <w:strike/>
          <w:dstrike w:val="0"/>
          <w:color w:val="auto"/>
          <w:sz w:val="32"/>
          <w:szCs w:val="32"/>
          <w:highlight w:val="none"/>
        </w:rPr>
      </w:pPr>
      <w:r>
        <w:rPr>
          <w:rFonts w:ascii="仿宋" w:hAnsi="仿宋" w:eastAsia="仿宋"/>
          <w:color w:val="auto"/>
          <w:sz w:val="32"/>
          <w:szCs w:val="32"/>
          <w:highlight w:val="none"/>
        </w:rPr>
        <w:t>20</w:t>
      </w:r>
      <w:r>
        <w:rPr>
          <w:rFonts w:hint="eastAsia" w:ascii="仿宋" w:hAnsi="仿宋" w:eastAsia="仿宋"/>
          <w:color w:val="auto"/>
          <w:sz w:val="32"/>
          <w:szCs w:val="32"/>
          <w:highlight w:val="none"/>
          <w:lang w:val="en-US" w:eastAsia="zh-CN"/>
        </w:rPr>
        <w:t>23</w:t>
      </w:r>
      <w:r>
        <w:rPr>
          <w:rFonts w:hint="eastAsia" w:ascii="仿宋" w:hAnsi="仿宋" w:eastAsia="仿宋"/>
          <w:color w:val="auto"/>
          <w:sz w:val="32"/>
          <w:szCs w:val="32"/>
          <w:highlight w:val="none"/>
        </w:rPr>
        <w:t>年一般公共预算财政拨款支出</w:t>
      </w:r>
      <w:r>
        <w:rPr>
          <w:rFonts w:hint="eastAsia" w:ascii="仿宋" w:hAnsi="仿宋" w:eastAsia="仿宋"/>
          <w:color w:val="auto"/>
          <w:sz w:val="32"/>
          <w:szCs w:val="32"/>
          <w:highlight w:val="none"/>
          <w:lang w:val="en-US" w:eastAsia="zh-CN"/>
        </w:rPr>
        <w:t>4019.31</w:t>
      </w:r>
      <w:r>
        <w:rPr>
          <w:rFonts w:hint="eastAsia" w:ascii="仿宋" w:hAnsi="仿宋" w:eastAsia="仿宋"/>
          <w:color w:val="auto"/>
          <w:sz w:val="32"/>
          <w:szCs w:val="32"/>
          <w:highlight w:val="none"/>
        </w:rPr>
        <w:t>万元，主要用于以下方面</w:t>
      </w:r>
      <w:r>
        <w:rPr>
          <w:rFonts w:hint="eastAsia" w:ascii="仿宋" w:hAnsi="仿宋" w:eastAsia="仿宋"/>
          <w:color w:val="auto"/>
          <w:sz w:val="32"/>
          <w:szCs w:val="32"/>
          <w:highlight w:val="none"/>
          <w:lang w:eastAsia="zh-CN"/>
        </w:rPr>
        <w:t>：</w:t>
      </w:r>
      <w:r>
        <w:rPr>
          <w:rFonts w:hint="eastAsia" w:ascii="仿宋" w:hAnsi="仿宋" w:eastAsia="仿宋"/>
          <w:b/>
          <w:color w:val="auto"/>
          <w:sz w:val="32"/>
          <w:szCs w:val="32"/>
          <w:highlight w:val="none"/>
        </w:rPr>
        <w:t>一般公共服务（类）</w:t>
      </w:r>
      <w:r>
        <w:rPr>
          <w:rFonts w:hint="eastAsia" w:ascii="仿宋" w:hAnsi="仿宋" w:eastAsia="仿宋"/>
          <w:color w:val="auto"/>
          <w:sz w:val="32"/>
          <w:szCs w:val="32"/>
          <w:highlight w:val="none"/>
        </w:rPr>
        <w:t>支出</w:t>
      </w:r>
      <w:r>
        <w:rPr>
          <w:rFonts w:hint="eastAsia" w:ascii="仿宋" w:hAnsi="仿宋" w:eastAsia="仿宋"/>
          <w:color w:val="auto"/>
          <w:sz w:val="32"/>
          <w:szCs w:val="32"/>
          <w:highlight w:val="none"/>
          <w:lang w:val="en-US" w:eastAsia="zh-CN"/>
        </w:rPr>
        <w:t>2282.62</w:t>
      </w:r>
      <w:r>
        <w:rPr>
          <w:rFonts w:hint="eastAsia" w:ascii="仿宋" w:hAnsi="仿宋" w:eastAsia="仿宋"/>
          <w:color w:val="auto"/>
          <w:sz w:val="32"/>
          <w:szCs w:val="32"/>
          <w:highlight w:val="none"/>
        </w:rPr>
        <w:t>万元，占</w:t>
      </w:r>
      <w:r>
        <w:rPr>
          <w:rFonts w:hint="eastAsia" w:ascii="仿宋" w:hAnsi="仿宋" w:eastAsia="仿宋"/>
          <w:color w:val="auto"/>
          <w:sz w:val="32"/>
          <w:szCs w:val="32"/>
          <w:highlight w:val="none"/>
          <w:lang w:val="en-US" w:eastAsia="zh-CN"/>
        </w:rPr>
        <w:t>56.79</w:t>
      </w:r>
      <w:r>
        <w:rPr>
          <w:rFonts w:ascii="仿宋" w:hAnsi="仿宋" w:eastAsia="仿宋"/>
          <w:color w:val="auto"/>
          <w:sz w:val="32"/>
          <w:szCs w:val="32"/>
          <w:highlight w:val="none"/>
        </w:rPr>
        <w:t>%</w:t>
      </w:r>
      <w:r>
        <w:rPr>
          <w:rFonts w:hint="eastAsia" w:ascii="仿宋" w:hAnsi="仿宋" w:eastAsia="仿宋"/>
          <w:color w:val="auto"/>
          <w:sz w:val="32"/>
          <w:szCs w:val="32"/>
          <w:highlight w:val="none"/>
        </w:rPr>
        <w:t>；</w:t>
      </w:r>
      <w:r>
        <w:rPr>
          <w:rFonts w:hint="eastAsia" w:ascii="仿宋" w:hAnsi="仿宋" w:eastAsia="仿宋"/>
          <w:b/>
          <w:color w:val="auto"/>
          <w:sz w:val="32"/>
          <w:szCs w:val="32"/>
          <w:highlight w:val="none"/>
        </w:rPr>
        <w:t>社会保障和就业（类）</w:t>
      </w:r>
      <w:r>
        <w:rPr>
          <w:rFonts w:hint="eastAsia" w:ascii="仿宋" w:hAnsi="仿宋" w:eastAsia="仿宋"/>
          <w:color w:val="auto"/>
          <w:sz w:val="32"/>
          <w:szCs w:val="32"/>
          <w:highlight w:val="none"/>
        </w:rPr>
        <w:t>支出</w:t>
      </w:r>
      <w:r>
        <w:rPr>
          <w:rFonts w:hint="eastAsia" w:ascii="仿宋" w:hAnsi="仿宋" w:eastAsia="仿宋"/>
          <w:color w:val="auto"/>
          <w:sz w:val="32"/>
          <w:szCs w:val="32"/>
          <w:highlight w:val="none"/>
          <w:lang w:val="en-US" w:eastAsia="zh-CN"/>
        </w:rPr>
        <w:t>772.36</w:t>
      </w:r>
      <w:r>
        <w:rPr>
          <w:rFonts w:hint="eastAsia" w:ascii="仿宋" w:hAnsi="仿宋" w:eastAsia="仿宋"/>
          <w:color w:val="auto"/>
          <w:sz w:val="32"/>
          <w:szCs w:val="32"/>
          <w:highlight w:val="none"/>
        </w:rPr>
        <w:t>万元，占</w:t>
      </w:r>
      <w:r>
        <w:rPr>
          <w:rFonts w:hint="eastAsia" w:ascii="仿宋" w:hAnsi="仿宋" w:eastAsia="仿宋"/>
          <w:color w:val="auto"/>
          <w:sz w:val="32"/>
          <w:szCs w:val="32"/>
          <w:highlight w:val="none"/>
          <w:lang w:val="en-US" w:eastAsia="zh-CN"/>
        </w:rPr>
        <w:t>19.22</w:t>
      </w:r>
      <w:r>
        <w:rPr>
          <w:rFonts w:ascii="仿宋" w:hAnsi="仿宋" w:eastAsia="仿宋"/>
          <w:color w:val="auto"/>
          <w:sz w:val="32"/>
          <w:szCs w:val="32"/>
          <w:highlight w:val="none"/>
        </w:rPr>
        <w:t>%</w:t>
      </w:r>
      <w:r>
        <w:rPr>
          <w:rFonts w:hint="eastAsia" w:ascii="仿宋" w:hAnsi="仿宋" w:eastAsia="仿宋"/>
          <w:color w:val="auto"/>
          <w:sz w:val="32"/>
          <w:szCs w:val="32"/>
          <w:highlight w:val="none"/>
        </w:rPr>
        <w:t>；</w:t>
      </w:r>
      <w:r>
        <w:rPr>
          <w:rFonts w:hint="eastAsia" w:ascii="仿宋" w:hAnsi="仿宋" w:eastAsia="仿宋"/>
          <w:b/>
          <w:bCs/>
          <w:color w:val="auto"/>
          <w:sz w:val="32"/>
          <w:szCs w:val="32"/>
          <w:highlight w:val="none"/>
        </w:rPr>
        <w:t>卫生健康</w:t>
      </w:r>
      <w:r>
        <w:rPr>
          <w:rFonts w:hint="eastAsia" w:ascii="仿宋" w:hAnsi="仿宋" w:eastAsia="仿宋"/>
          <w:b/>
          <w:bCs/>
          <w:color w:val="auto"/>
          <w:sz w:val="32"/>
          <w:szCs w:val="32"/>
          <w:highlight w:val="none"/>
          <w:lang w:eastAsia="zh-CN"/>
        </w:rPr>
        <w:t>（</w:t>
      </w:r>
      <w:r>
        <w:rPr>
          <w:rFonts w:hint="eastAsia" w:ascii="仿宋" w:hAnsi="仿宋" w:eastAsia="仿宋"/>
          <w:b/>
          <w:bCs/>
          <w:color w:val="auto"/>
          <w:sz w:val="32"/>
          <w:szCs w:val="32"/>
          <w:highlight w:val="none"/>
          <w:lang w:val="en-US" w:eastAsia="zh-CN"/>
        </w:rPr>
        <w:t>类</w:t>
      </w:r>
      <w:r>
        <w:rPr>
          <w:rFonts w:hint="eastAsia" w:ascii="仿宋" w:hAnsi="仿宋" w:eastAsia="仿宋"/>
          <w:b/>
          <w:bCs/>
          <w:color w:val="auto"/>
          <w:sz w:val="32"/>
          <w:szCs w:val="32"/>
          <w:highlight w:val="none"/>
          <w:lang w:eastAsia="zh-CN"/>
        </w:rPr>
        <w:t>）</w:t>
      </w:r>
      <w:r>
        <w:rPr>
          <w:rFonts w:hint="eastAsia" w:ascii="仿宋" w:hAnsi="仿宋" w:eastAsia="仿宋"/>
          <w:b/>
          <w:bCs/>
          <w:color w:val="auto"/>
          <w:sz w:val="32"/>
          <w:szCs w:val="32"/>
          <w:highlight w:val="none"/>
          <w:lang w:val="en-US" w:eastAsia="zh-CN"/>
        </w:rPr>
        <w:t>91.85</w:t>
      </w:r>
      <w:r>
        <w:rPr>
          <w:rFonts w:hint="eastAsia" w:ascii="仿宋" w:hAnsi="仿宋" w:eastAsia="仿宋"/>
          <w:color w:val="auto"/>
          <w:sz w:val="32"/>
          <w:szCs w:val="32"/>
          <w:highlight w:val="none"/>
        </w:rPr>
        <w:t>万元，占</w:t>
      </w:r>
      <w:r>
        <w:rPr>
          <w:rFonts w:hint="eastAsia" w:ascii="仿宋" w:hAnsi="仿宋" w:eastAsia="仿宋"/>
          <w:color w:val="auto"/>
          <w:sz w:val="32"/>
          <w:szCs w:val="32"/>
          <w:highlight w:val="none"/>
          <w:lang w:val="en-US" w:eastAsia="zh-CN"/>
        </w:rPr>
        <w:t>2.29</w:t>
      </w:r>
      <w:r>
        <w:rPr>
          <w:rFonts w:ascii="仿宋" w:hAnsi="仿宋" w:eastAsia="仿宋"/>
          <w:color w:val="auto"/>
          <w:sz w:val="32"/>
          <w:szCs w:val="32"/>
          <w:highlight w:val="none"/>
        </w:rPr>
        <w:t>%</w:t>
      </w:r>
      <w:r>
        <w:rPr>
          <w:rFonts w:hint="eastAsia" w:ascii="仿宋" w:hAnsi="仿宋" w:eastAsia="仿宋"/>
          <w:color w:val="auto"/>
          <w:sz w:val="32"/>
          <w:szCs w:val="32"/>
          <w:highlight w:val="none"/>
        </w:rPr>
        <w:t>；</w:t>
      </w:r>
      <w:r>
        <w:rPr>
          <w:rFonts w:hint="eastAsia" w:ascii="仿宋" w:hAnsi="仿宋" w:eastAsia="仿宋"/>
          <w:b/>
          <w:bCs/>
          <w:color w:val="auto"/>
          <w:sz w:val="32"/>
          <w:szCs w:val="32"/>
          <w:highlight w:val="none"/>
        </w:rPr>
        <w:t>住房保障</w:t>
      </w:r>
      <w:r>
        <w:rPr>
          <w:rFonts w:hint="eastAsia" w:ascii="仿宋" w:hAnsi="仿宋" w:eastAsia="仿宋"/>
          <w:b/>
          <w:bCs/>
          <w:color w:val="auto"/>
          <w:sz w:val="32"/>
          <w:szCs w:val="32"/>
          <w:highlight w:val="none"/>
          <w:lang w:eastAsia="zh-CN"/>
        </w:rPr>
        <w:t>（</w:t>
      </w:r>
      <w:r>
        <w:rPr>
          <w:rFonts w:hint="eastAsia" w:ascii="仿宋" w:hAnsi="仿宋" w:eastAsia="仿宋"/>
          <w:b/>
          <w:bCs/>
          <w:color w:val="auto"/>
          <w:sz w:val="32"/>
          <w:szCs w:val="32"/>
          <w:highlight w:val="none"/>
          <w:lang w:val="en-US" w:eastAsia="zh-CN"/>
        </w:rPr>
        <w:t>类</w:t>
      </w:r>
      <w:r>
        <w:rPr>
          <w:rFonts w:hint="eastAsia" w:ascii="仿宋" w:hAnsi="仿宋" w:eastAsia="仿宋"/>
          <w:b/>
          <w:bCs/>
          <w:color w:val="auto"/>
          <w:sz w:val="32"/>
          <w:szCs w:val="32"/>
          <w:highlight w:val="none"/>
          <w:lang w:eastAsia="zh-CN"/>
        </w:rPr>
        <w:t>）</w:t>
      </w:r>
      <w:r>
        <w:rPr>
          <w:rFonts w:hint="eastAsia" w:ascii="仿宋" w:hAnsi="仿宋" w:eastAsia="仿宋"/>
          <w:color w:val="auto"/>
          <w:sz w:val="32"/>
          <w:szCs w:val="32"/>
          <w:highlight w:val="none"/>
          <w:lang w:val="en-US" w:eastAsia="zh-CN"/>
        </w:rPr>
        <w:t>219.58</w:t>
      </w:r>
      <w:r>
        <w:rPr>
          <w:rFonts w:hint="eastAsia" w:ascii="仿宋" w:hAnsi="仿宋" w:eastAsia="仿宋"/>
          <w:color w:val="auto"/>
          <w:sz w:val="32"/>
          <w:szCs w:val="32"/>
          <w:highlight w:val="none"/>
        </w:rPr>
        <w:t>万元，占</w:t>
      </w:r>
      <w:r>
        <w:rPr>
          <w:rFonts w:hint="eastAsia" w:ascii="仿宋" w:hAnsi="仿宋" w:eastAsia="仿宋"/>
          <w:color w:val="auto"/>
          <w:sz w:val="32"/>
          <w:szCs w:val="32"/>
          <w:highlight w:val="none"/>
          <w:lang w:val="en-US" w:eastAsia="zh-CN"/>
        </w:rPr>
        <w:t>5.46</w:t>
      </w:r>
      <w:r>
        <w:rPr>
          <w:rFonts w:ascii="仿宋" w:hAnsi="仿宋" w:eastAsia="仿宋"/>
          <w:color w:val="auto"/>
          <w:sz w:val="32"/>
          <w:szCs w:val="32"/>
          <w:highlight w:val="none"/>
        </w:rPr>
        <w:t>%</w:t>
      </w:r>
      <w:r>
        <w:rPr>
          <w:rFonts w:hint="eastAsia" w:ascii="仿宋" w:hAnsi="仿宋" w:eastAsia="仿宋"/>
          <w:color w:val="auto"/>
          <w:sz w:val="32"/>
          <w:szCs w:val="32"/>
          <w:highlight w:val="none"/>
          <w:lang w:eastAsia="zh-CN"/>
        </w:rPr>
        <w:t>；</w:t>
      </w:r>
      <w:r>
        <w:rPr>
          <w:rFonts w:hint="eastAsia" w:ascii="仿宋_GB2312" w:hAnsi="仿宋" w:eastAsia="仿宋_GB2312"/>
          <w:b/>
          <w:bCs/>
          <w:color w:val="000000"/>
          <w:sz w:val="32"/>
          <w:szCs w:val="32"/>
        </w:rPr>
        <w:t>粮油物资储备</w:t>
      </w:r>
      <w:r>
        <w:rPr>
          <w:rFonts w:hint="eastAsia" w:ascii="仿宋_GB2312" w:hAnsi="仿宋" w:eastAsia="仿宋_GB2312"/>
          <w:color w:val="000000"/>
          <w:sz w:val="32"/>
          <w:szCs w:val="32"/>
          <w:lang w:eastAsia="zh-CN"/>
        </w:rPr>
        <w:t>（</w:t>
      </w:r>
      <w:r>
        <w:rPr>
          <w:rFonts w:hint="eastAsia" w:ascii="仿宋_GB2312" w:hAnsi="仿宋" w:eastAsia="仿宋_GB2312"/>
          <w:color w:val="000000"/>
          <w:sz w:val="32"/>
          <w:szCs w:val="32"/>
          <w:lang w:val="en-US" w:eastAsia="zh-CN"/>
        </w:rPr>
        <w:t>类</w:t>
      </w:r>
      <w:r>
        <w:rPr>
          <w:rFonts w:hint="eastAsia" w:ascii="仿宋_GB2312" w:hAnsi="仿宋" w:eastAsia="仿宋_GB2312"/>
          <w:color w:val="000000"/>
          <w:sz w:val="32"/>
          <w:szCs w:val="32"/>
          <w:lang w:eastAsia="zh-CN"/>
        </w:rPr>
        <w:t>）</w:t>
      </w:r>
      <w:r>
        <w:rPr>
          <w:rFonts w:hint="eastAsia" w:ascii="仿宋_GB2312" w:hAnsi="仿宋" w:eastAsia="仿宋_GB2312"/>
          <w:color w:val="000000"/>
          <w:sz w:val="32"/>
          <w:szCs w:val="32"/>
          <w:lang w:val="en-US" w:eastAsia="zh-CN"/>
        </w:rPr>
        <w:t>512.57万元，</w:t>
      </w:r>
      <w:r>
        <w:rPr>
          <w:rFonts w:hint="eastAsia" w:ascii="仿宋" w:hAnsi="仿宋" w:eastAsia="仿宋"/>
          <w:color w:val="auto"/>
          <w:sz w:val="32"/>
          <w:szCs w:val="32"/>
          <w:highlight w:val="none"/>
        </w:rPr>
        <w:t>占</w:t>
      </w:r>
      <w:r>
        <w:rPr>
          <w:rFonts w:hint="eastAsia" w:ascii="仿宋" w:hAnsi="仿宋" w:eastAsia="仿宋"/>
          <w:color w:val="auto"/>
          <w:sz w:val="32"/>
          <w:szCs w:val="32"/>
          <w:highlight w:val="none"/>
          <w:lang w:val="en-US" w:eastAsia="zh-CN"/>
        </w:rPr>
        <w:t>12.75</w:t>
      </w:r>
      <w:r>
        <w:rPr>
          <w:rFonts w:ascii="仿宋" w:hAnsi="仿宋" w:eastAsia="仿宋"/>
          <w:color w:val="auto"/>
          <w:sz w:val="32"/>
          <w:szCs w:val="32"/>
          <w:highlight w:val="none"/>
        </w:rPr>
        <w:t>%</w:t>
      </w:r>
      <w:r>
        <w:rPr>
          <w:rFonts w:hint="eastAsia" w:ascii="仿宋" w:hAnsi="仿宋" w:eastAsia="仿宋"/>
          <w:color w:val="auto"/>
          <w:sz w:val="32"/>
          <w:szCs w:val="32"/>
          <w:highlight w:val="none"/>
          <w:lang w:eastAsia="zh-CN"/>
        </w:rPr>
        <w:t>，</w:t>
      </w:r>
      <w:r>
        <w:rPr>
          <w:rFonts w:hint="eastAsia" w:ascii="仿宋" w:hAnsi="仿宋" w:eastAsia="仿宋"/>
          <w:b/>
          <w:bCs/>
          <w:color w:val="auto"/>
          <w:sz w:val="32"/>
          <w:szCs w:val="32"/>
          <w:highlight w:val="none"/>
          <w:lang w:eastAsia="zh-CN"/>
        </w:rPr>
        <w:t>其他支出</w:t>
      </w:r>
      <w:r>
        <w:rPr>
          <w:rFonts w:hint="eastAsia" w:ascii="仿宋" w:hAnsi="仿宋" w:eastAsia="仿宋"/>
          <w:color w:val="auto"/>
          <w:sz w:val="32"/>
          <w:szCs w:val="32"/>
          <w:highlight w:val="none"/>
          <w:lang w:val="en-US" w:eastAsia="zh-CN"/>
        </w:rPr>
        <w:t>140.33万元，占3.49%</w:t>
      </w:r>
      <w:r>
        <w:rPr>
          <w:rFonts w:hint="eastAsia" w:ascii="仿宋" w:hAnsi="仿宋" w:eastAsia="仿宋"/>
          <w:color w:val="auto"/>
          <w:sz w:val="32"/>
          <w:szCs w:val="32"/>
          <w:highlight w:val="none"/>
        </w:rPr>
        <w:t>。</w:t>
      </w:r>
    </w:p>
    <w:p w14:paraId="114C3737">
      <w:pPr>
        <w:spacing w:line="600" w:lineRule="exact"/>
        <w:ind w:firstLine="640"/>
        <w:rPr>
          <w:rFonts w:ascii="仿宋" w:hAnsi="仿宋" w:eastAsia="仿宋"/>
          <w:color w:val="auto"/>
          <w:sz w:val="32"/>
          <w:szCs w:val="32"/>
          <w:highlight w:val="none"/>
        </w:rPr>
      </w:pPr>
    </w:p>
    <w:p w14:paraId="11DB4A9B">
      <w:pPr>
        <w:spacing w:line="600" w:lineRule="exact"/>
        <w:ind w:firstLine="640" w:firstLineChars="200"/>
        <w:rPr>
          <w:rFonts w:hint="eastAsia" w:ascii="仿宋" w:hAnsi="仿宋" w:eastAsia="仿宋"/>
          <w:color w:val="auto"/>
          <w:sz w:val="32"/>
          <w:szCs w:val="32"/>
          <w:highlight w:val="none"/>
        </w:rPr>
      </w:pPr>
      <w:r>
        <w:rPr>
          <w:rFonts w:hint="eastAsia" w:ascii="仿宋" w:hAnsi="仿宋" w:eastAsia="仿宋"/>
          <w:color w:val="000000"/>
          <w:sz w:val="32"/>
          <w:szCs w:val="32"/>
        </w:rPr>
        <w:pict>
          <v:shape id="Object 11" o:spid="_x0000_s2055" o:spt="75" type="#_x0000_t75" style="position:absolute;left:0pt;margin-left:47.5pt;margin-top:14.45pt;height:218.5pt;width:352.05pt;z-index:251665408;mso-width-relative:page;mso-height-relative:page;" o:ole="t" filled="f" o:preferrelative="t" stroked="f" coordsize="21600,21600">
            <v:path/>
            <v:fill on="f" focussize="0,0"/>
            <v:stroke on="f"/>
            <v:imagedata r:id="rId27" o:title=""/>
            <o:lock v:ext="edit" aspectratio="t"/>
          </v:shape>
          <o:OLEObject Type="Embed" ProgID="Excel.Chart.8" ShapeID="Object 11" DrawAspect="Content" ObjectID="_1468075730" r:id="rId26">
            <o:LockedField>false</o:LockedField>
          </o:OLEObject>
        </w:pict>
      </w:r>
    </w:p>
    <w:p w14:paraId="43FA4952">
      <w:pPr>
        <w:spacing w:line="600" w:lineRule="exact"/>
        <w:ind w:firstLine="640" w:firstLineChars="200"/>
        <w:rPr>
          <w:rFonts w:hint="eastAsia" w:ascii="仿宋" w:hAnsi="仿宋" w:eastAsia="仿宋"/>
          <w:color w:val="auto"/>
          <w:sz w:val="32"/>
          <w:szCs w:val="32"/>
          <w:highlight w:val="none"/>
        </w:rPr>
      </w:pPr>
    </w:p>
    <w:p w14:paraId="75DA1E2B">
      <w:pPr>
        <w:spacing w:line="600" w:lineRule="exact"/>
        <w:ind w:firstLine="640" w:firstLineChars="200"/>
        <w:rPr>
          <w:rFonts w:hint="eastAsia" w:ascii="仿宋" w:hAnsi="仿宋" w:eastAsia="仿宋"/>
          <w:color w:val="auto"/>
          <w:sz w:val="32"/>
          <w:szCs w:val="32"/>
          <w:highlight w:val="none"/>
        </w:rPr>
      </w:pPr>
    </w:p>
    <w:p w14:paraId="321345DD">
      <w:pPr>
        <w:spacing w:line="600" w:lineRule="exact"/>
        <w:ind w:firstLine="640" w:firstLineChars="200"/>
        <w:rPr>
          <w:rFonts w:hint="eastAsia" w:ascii="仿宋" w:hAnsi="仿宋" w:eastAsia="仿宋"/>
          <w:color w:val="auto"/>
          <w:sz w:val="32"/>
          <w:szCs w:val="32"/>
          <w:highlight w:val="none"/>
        </w:rPr>
      </w:pPr>
    </w:p>
    <w:p w14:paraId="2DFC5A0F">
      <w:pPr>
        <w:spacing w:line="600" w:lineRule="exact"/>
        <w:ind w:firstLine="640" w:firstLineChars="200"/>
        <w:rPr>
          <w:rFonts w:hint="eastAsia" w:ascii="仿宋" w:hAnsi="仿宋" w:eastAsia="仿宋"/>
          <w:color w:val="auto"/>
          <w:sz w:val="32"/>
          <w:szCs w:val="32"/>
          <w:highlight w:val="none"/>
        </w:rPr>
      </w:pPr>
    </w:p>
    <w:p w14:paraId="7B66218E">
      <w:pPr>
        <w:spacing w:line="600" w:lineRule="exact"/>
        <w:ind w:firstLine="640" w:firstLineChars="200"/>
        <w:rPr>
          <w:rFonts w:hint="eastAsia" w:ascii="仿宋" w:hAnsi="仿宋" w:eastAsia="仿宋"/>
          <w:color w:val="auto"/>
          <w:sz w:val="32"/>
          <w:szCs w:val="32"/>
          <w:highlight w:val="none"/>
        </w:rPr>
      </w:pPr>
    </w:p>
    <w:p w14:paraId="4C63F492">
      <w:pPr>
        <w:spacing w:line="600" w:lineRule="exact"/>
        <w:ind w:firstLine="640" w:firstLineChars="200"/>
        <w:rPr>
          <w:rFonts w:hint="eastAsia" w:ascii="仿宋" w:hAnsi="仿宋" w:eastAsia="仿宋"/>
          <w:color w:val="auto"/>
          <w:sz w:val="32"/>
          <w:szCs w:val="32"/>
          <w:highlight w:val="none"/>
        </w:rPr>
      </w:pPr>
    </w:p>
    <w:p w14:paraId="276CDBF4">
      <w:pPr>
        <w:spacing w:line="600" w:lineRule="exact"/>
        <w:ind w:firstLine="640" w:firstLineChars="200"/>
        <w:rPr>
          <w:rFonts w:hint="eastAsia" w:ascii="仿宋" w:hAnsi="仿宋" w:eastAsia="仿宋"/>
          <w:color w:val="auto"/>
          <w:sz w:val="32"/>
          <w:szCs w:val="32"/>
          <w:highlight w:val="none"/>
        </w:rPr>
      </w:pPr>
    </w:p>
    <w:p w14:paraId="2C2F3BAC">
      <w:pPr>
        <w:spacing w:line="600" w:lineRule="exact"/>
        <w:ind w:firstLine="640" w:firstLineChars="200"/>
        <w:rPr>
          <w:rFonts w:ascii="仿宋" w:hAnsi="仿宋" w:eastAsia="仿宋"/>
          <w:color w:val="auto"/>
          <w:sz w:val="32"/>
          <w:szCs w:val="32"/>
          <w:highlight w:val="none"/>
        </w:rPr>
      </w:pPr>
      <w:r>
        <w:rPr>
          <w:rFonts w:hint="eastAsia" w:ascii="仿宋" w:hAnsi="仿宋" w:eastAsia="仿宋"/>
          <w:color w:val="auto"/>
          <w:sz w:val="32"/>
          <w:szCs w:val="32"/>
          <w:highlight w:val="none"/>
        </w:rPr>
        <w:t>（图6：一般公共预算财政拨款支出决算结构）</w:t>
      </w:r>
    </w:p>
    <w:p w14:paraId="1A45DC64">
      <w:pPr>
        <w:spacing w:line="600" w:lineRule="exact"/>
        <w:ind w:firstLine="643" w:firstLineChars="200"/>
        <w:outlineLvl w:val="2"/>
        <w:rPr>
          <w:rFonts w:ascii="仿宋" w:hAnsi="仿宋" w:eastAsia="仿宋"/>
          <w:b/>
          <w:color w:val="auto"/>
          <w:sz w:val="32"/>
          <w:szCs w:val="32"/>
          <w:highlight w:val="none"/>
        </w:rPr>
      </w:pPr>
      <w:bookmarkStart w:id="73" w:name="_Toc15377212"/>
      <w:r>
        <w:rPr>
          <w:rFonts w:hint="eastAsia" w:ascii="仿宋" w:hAnsi="仿宋" w:eastAsia="仿宋"/>
          <w:b/>
          <w:color w:val="auto"/>
          <w:sz w:val="32"/>
          <w:szCs w:val="32"/>
          <w:highlight w:val="none"/>
        </w:rPr>
        <w:t>（三）一般公共预算财政拨款支出决算具体情况</w:t>
      </w:r>
      <w:bookmarkEnd w:id="73"/>
    </w:p>
    <w:p w14:paraId="75405133">
      <w:pPr>
        <w:spacing w:line="576" w:lineRule="exact"/>
        <w:ind w:firstLine="643" w:firstLineChars="200"/>
        <w:outlineLvl w:val="2"/>
        <w:rPr>
          <w:rFonts w:hint="eastAsia" w:ascii="仿宋_GB2312" w:hAnsi="仿宋" w:eastAsia="仿宋_GB2312"/>
          <w:color w:val="FF0000"/>
          <w:sz w:val="32"/>
          <w:szCs w:val="32"/>
        </w:rPr>
      </w:pPr>
      <w:bookmarkStart w:id="74" w:name="_Toc15377213"/>
      <w:bookmarkStart w:id="75" w:name="_Toc15377444"/>
      <w:bookmarkStart w:id="76" w:name="_Toc15378460"/>
      <w:r>
        <w:rPr>
          <w:rFonts w:hint="eastAsia" w:ascii="仿宋" w:hAnsi="仿宋" w:eastAsia="仿宋"/>
          <w:b/>
          <w:color w:val="auto"/>
          <w:sz w:val="32"/>
          <w:szCs w:val="32"/>
          <w:highlight w:val="none"/>
        </w:rPr>
        <w:t>20</w:t>
      </w:r>
      <w:r>
        <w:rPr>
          <w:rFonts w:hint="eastAsia" w:ascii="仿宋" w:hAnsi="仿宋" w:eastAsia="仿宋"/>
          <w:b/>
          <w:color w:val="auto"/>
          <w:sz w:val="32"/>
          <w:szCs w:val="32"/>
          <w:highlight w:val="none"/>
          <w:lang w:val="en-US" w:eastAsia="zh-CN"/>
        </w:rPr>
        <w:t>23</w:t>
      </w:r>
      <w:r>
        <w:rPr>
          <w:rFonts w:hint="eastAsia" w:ascii="仿宋" w:hAnsi="仿宋" w:eastAsia="仿宋"/>
          <w:b/>
          <w:color w:val="auto"/>
          <w:sz w:val="32"/>
          <w:szCs w:val="32"/>
          <w:highlight w:val="none"/>
        </w:rPr>
        <w:t>年</w:t>
      </w:r>
      <w:r>
        <w:rPr>
          <w:rFonts w:hint="eastAsia" w:ascii="仿宋" w:hAnsi="仿宋" w:eastAsia="仿宋"/>
          <w:b/>
          <w:color w:val="auto"/>
          <w:sz w:val="32"/>
          <w:szCs w:val="32"/>
          <w:highlight w:val="none"/>
          <w:lang w:eastAsia="zh-CN"/>
        </w:rPr>
        <w:t>一</w:t>
      </w:r>
      <w:r>
        <w:rPr>
          <w:rFonts w:hint="eastAsia" w:ascii="仿宋" w:hAnsi="仿宋" w:eastAsia="仿宋"/>
          <w:b/>
          <w:color w:val="auto"/>
          <w:sz w:val="32"/>
          <w:szCs w:val="32"/>
          <w:highlight w:val="none"/>
        </w:rPr>
        <w:t>般公共预算支出决算数为</w:t>
      </w:r>
      <w:r>
        <w:rPr>
          <w:rFonts w:hint="eastAsia" w:ascii="仿宋" w:hAnsi="仿宋" w:eastAsia="仿宋"/>
          <w:b/>
          <w:color w:val="auto"/>
          <w:sz w:val="32"/>
          <w:szCs w:val="32"/>
          <w:highlight w:val="none"/>
          <w:lang w:val="en-US" w:eastAsia="zh-CN"/>
        </w:rPr>
        <w:t>4019.31万元</w:t>
      </w:r>
      <w:r>
        <w:rPr>
          <w:rFonts w:hint="eastAsia" w:ascii="仿宋" w:hAnsi="仿宋" w:eastAsia="仿宋"/>
          <w:color w:val="auto"/>
          <w:sz w:val="32"/>
          <w:szCs w:val="32"/>
          <w:highlight w:val="none"/>
        </w:rPr>
        <w:t>，</w:t>
      </w:r>
      <w:r>
        <w:rPr>
          <w:rStyle w:val="23"/>
          <w:rFonts w:hint="eastAsia" w:ascii="仿宋" w:hAnsi="仿宋" w:eastAsia="仿宋"/>
          <w:bCs/>
          <w:color w:val="auto"/>
          <w:sz w:val="32"/>
          <w:szCs w:val="32"/>
          <w:highlight w:val="none"/>
        </w:rPr>
        <w:t>完成预算</w:t>
      </w:r>
      <w:r>
        <w:rPr>
          <w:rStyle w:val="23"/>
          <w:rFonts w:hint="eastAsia" w:ascii="仿宋" w:hAnsi="仿宋" w:eastAsia="仿宋"/>
          <w:bCs/>
          <w:color w:val="auto"/>
          <w:sz w:val="32"/>
          <w:szCs w:val="32"/>
          <w:highlight w:val="none"/>
          <w:lang w:val="en-US" w:eastAsia="zh-CN"/>
        </w:rPr>
        <w:t>100</w:t>
      </w:r>
      <w:r>
        <w:rPr>
          <w:rStyle w:val="23"/>
          <w:rFonts w:ascii="仿宋" w:hAnsi="仿宋" w:eastAsia="仿宋"/>
          <w:bCs/>
          <w:color w:val="auto"/>
          <w:sz w:val="32"/>
          <w:szCs w:val="32"/>
          <w:highlight w:val="none"/>
        </w:rPr>
        <w:t>%</w:t>
      </w:r>
      <w:r>
        <w:rPr>
          <w:rStyle w:val="23"/>
          <w:rFonts w:hint="eastAsia" w:ascii="仿宋" w:hAnsi="仿宋" w:eastAsia="仿宋"/>
          <w:bCs/>
          <w:color w:val="auto"/>
          <w:sz w:val="32"/>
          <w:szCs w:val="32"/>
          <w:highlight w:val="none"/>
        </w:rPr>
        <w:t>。</w:t>
      </w:r>
      <w:bookmarkEnd w:id="74"/>
      <w:bookmarkEnd w:id="75"/>
      <w:bookmarkEnd w:id="76"/>
      <w:r>
        <w:rPr>
          <w:rStyle w:val="23"/>
          <w:rFonts w:hint="eastAsia" w:ascii="仿宋_GB2312" w:hAnsi="仿宋" w:eastAsia="仿宋_GB2312"/>
          <w:b w:val="0"/>
          <w:bCs/>
          <w:color w:val="000000"/>
          <w:sz w:val="32"/>
          <w:szCs w:val="32"/>
        </w:rPr>
        <w:t>其中：</w:t>
      </w:r>
    </w:p>
    <w:p w14:paraId="18BEE130">
      <w:pPr>
        <w:spacing w:line="576" w:lineRule="exact"/>
        <w:ind w:firstLine="643" w:firstLineChars="200"/>
        <w:rPr>
          <w:rFonts w:ascii="仿宋" w:hAnsi="仿宋" w:eastAsia="仿宋"/>
          <w:b/>
          <w:color w:val="000000"/>
          <w:sz w:val="32"/>
          <w:szCs w:val="32"/>
        </w:rPr>
      </w:pPr>
      <w:r>
        <w:rPr>
          <w:rStyle w:val="23"/>
          <w:rFonts w:ascii="仿宋" w:hAnsi="仿宋" w:eastAsia="仿宋"/>
          <w:bCs/>
          <w:color w:val="000000"/>
          <w:sz w:val="32"/>
          <w:szCs w:val="32"/>
        </w:rPr>
        <w:t>1.</w:t>
      </w:r>
      <w:r>
        <w:rPr>
          <w:rStyle w:val="23"/>
          <w:rFonts w:hint="eastAsia" w:ascii="仿宋_GB2312" w:hAnsi="仿宋" w:eastAsia="仿宋_GB2312"/>
          <w:bCs/>
          <w:sz w:val="32"/>
          <w:szCs w:val="32"/>
        </w:rPr>
        <w:t>一般公共服务（类）发展和改革事务（款）行政运行（项）</w:t>
      </w:r>
      <w:r>
        <w:rPr>
          <w:rStyle w:val="23"/>
          <w:rFonts w:hint="eastAsia" w:ascii="仿宋_GB2312" w:hAnsi="仿宋" w:eastAsia="仿宋_GB2312"/>
          <w:bCs/>
          <w:sz w:val="32"/>
          <w:szCs w:val="32"/>
          <w:lang w:eastAsia="zh-CN"/>
        </w:rPr>
        <w:t>：</w:t>
      </w:r>
      <w:r>
        <w:rPr>
          <w:rStyle w:val="23"/>
          <w:rFonts w:hint="eastAsia" w:ascii="仿宋" w:hAnsi="仿宋" w:eastAsia="仿宋"/>
          <w:b w:val="0"/>
          <w:bCs/>
          <w:color w:val="000000"/>
          <w:sz w:val="32"/>
          <w:szCs w:val="32"/>
        </w:rPr>
        <w:t>支出决算为</w:t>
      </w:r>
      <w:r>
        <w:rPr>
          <w:rStyle w:val="23"/>
          <w:rFonts w:hint="eastAsia" w:ascii="仿宋" w:hAnsi="仿宋" w:eastAsia="仿宋"/>
          <w:b w:val="0"/>
          <w:bCs/>
          <w:color w:val="000000"/>
          <w:sz w:val="32"/>
          <w:szCs w:val="32"/>
          <w:lang w:val="en-US" w:eastAsia="zh-CN"/>
        </w:rPr>
        <w:t>1641.19</w:t>
      </w:r>
      <w:r>
        <w:rPr>
          <w:rStyle w:val="23"/>
          <w:rFonts w:hint="eastAsia" w:ascii="仿宋" w:hAnsi="仿宋" w:eastAsia="仿宋"/>
          <w:b w:val="0"/>
          <w:bCs/>
          <w:color w:val="000000"/>
          <w:sz w:val="32"/>
          <w:szCs w:val="32"/>
        </w:rPr>
        <w:t>万元，完成预算100</w:t>
      </w:r>
      <w:r>
        <w:rPr>
          <w:rStyle w:val="23"/>
          <w:rFonts w:ascii="仿宋" w:hAnsi="仿宋" w:eastAsia="仿宋"/>
          <w:b w:val="0"/>
          <w:bCs/>
          <w:color w:val="000000"/>
          <w:sz w:val="32"/>
          <w:szCs w:val="32"/>
        </w:rPr>
        <w:t>%</w:t>
      </w:r>
      <w:r>
        <w:rPr>
          <w:rStyle w:val="23"/>
          <w:rFonts w:hint="eastAsia" w:ascii="仿宋" w:hAnsi="仿宋" w:eastAsia="仿宋"/>
          <w:b w:val="0"/>
          <w:bCs/>
          <w:color w:val="000000"/>
          <w:sz w:val="32"/>
          <w:szCs w:val="32"/>
        </w:rPr>
        <w:t>。</w:t>
      </w:r>
    </w:p>
    <w:p w14:paraId="111A822B">
      <w:pPr>
        <w:spacing w:line="600" w:lineRule="exact"/>
        <w:ind w:firstLine="482" w:firstLineChars="150"/>
        <w:rPr>
          <w:rStyle w:val="23"/>
          <w:rFonts w:ascii="仿宋" w:hAnsi="仿宋" w:eastAsia="仿宋"/>
          <w:b w:val="0"/>
          <w:bCs/>
          <w:color w:val="auto"/>
          <w:sz w:val="32"/>
          <w:szCs w:val="32"/>
        </w:rPr>
      </w:pPr>
      <w:r>
        <w:rPr>
          <w:rStyle w:val="23"/>
          <w:rFonts w:hint="eastAsia" w:ascii="仿宋_GB2312" w:hAnsi="仿宋" w:eastAsia="仿宋_GB2312"/>
          <w:bCs/>
          <w:sz w:val="32"/>
          <w:szCs w:val="32"/>
        </w:rPr>
        <w:t>一般公共服务（类）发展和改革事务（款）一般行政管理事务（项）</w:t>
      </w:r>
      <w:r>
        <w:rPr>
          <w:rStyle w:val="23"/>
          <w:rFonts w:hint="eastAsia" w:ascii="仿宋_GB2312" w:hAnsi="仿宋" w:eastAsia="仿宋_GB2312"/>
          <w:bCs/>
          <w:sz w:val="32"/>
          <w:szCs w:val="32"/>
          <w:lang w:eastAsia="zh-CN"/>
        </w:rPr>
        <w:t>：</w:t>
      </w:r>
      <w:r>
        <w:rPr>
          <w:rStyle w:val="23"/>
          <w:rFonts w:hint="eastAsia" w:ascii="仿宋" w:hAnsi="仿宋" w:eastAsia="仿宋"/>
          <w:b w:val="0"/>
          <w:bCs/>
          <w:color w:val="000000"/>
          <w:sz w:val="32"/>
          <w:szCs w:val="32"/>
        </w:rPr>
        <w:t>支出决算为</w:t>
      </w:r>
      <w:r>
        <w:rPr>
          <w:rStyle w:val="23"/>
          <w:rFonts w:hint="eastAsia" w:ascii="仿宋" w:hAnsi="仿宋" w:eastAsia="仿宋"/>
          <w:b w:val="0"/>
          <w:bCs/>
          <w:color w:val="000000"/>
          <w:sz w:val="32"/>
          <w:szCs w:val="32"/>
          <w:lang w:val="en-US" w:eastAsia="zh-CN"/>
        </w:rPr>
        <w:t>362.54</w:t>
      </w:r>
      <w:r>
        <w:rPr>
          <w:rStyle w:val="23"/>
          <w:rFonts w:hint="eastAsia" w:ascii="仿宋" w:hAnsi="仿宋" w:eastAsia="仿宋"/>
          <w:b w:val="0"/>
          <w:bCs/>
          <w:color w:val="000000"/>
          <w:sz w:val="32"/>
          <w:szCs w:val="32"/>
        </w:rPr>
        <w:t>万元，</w:t>
      </w:r>
      <w:r>
        <w:rPr>
          <w:rStyle w:val="23"/>
          <w:rFonts w:hint="eastAsia" w:ascii="仿宋" w:hAnsi="仿宋" w:eastAsia="仿宋"/>
          <w:b w:val="0"/>
          <w:bCs/>
          <w:color w:val="auto"/>
          <w:sz w:val="32"/>
          <w:szCs w:val="32"/>
        </w:rPr>
        <w:t>完成预算</w:t>
      </w:r>
      <w:r>
        <w:rPr>
          <w:rStyle w:val="23"/>
          <w:rFonts w:hint="default" w:ascii="仿宋" w:hAnsi="仿宋" w:eastAsia="仿宋"/>
          <w:b w:val="0"/>
          <w:bCs/>
          <w:color w:val="auto"/>
          <w:sz w:val="32"/>
          <w:szCs w:val="32"/>
        </w:rPr>
        <w:t>100</w:t>
      </w:r>
      <w:r>
        <w:rPr>
          <w:rStyle w:val="23"/>
          <w:rFonts w:ascii="仿宋" w:hAnsi="仿宋" w:eastAsia="仿宋"/>
          <w:b w:val="0"/>
          <w:bCs/>
          <w:color w:val="auto"/>
          <w:sz w:val="32"/>
          <w:szCs w:val="32"/>
        </w:rPr>
        <w:t>%。</w:t>
      </w:r>
    </w:p>
    <w:p w14:paraId="50974F7A">
      <w:pPr>
        <w:spacing w:line="600" w:lineRule="exact"/>
        <w:ind w:firstLine="643" w:firstLineChars="200"/>
        <w:rPr>
          <w:rFonts w:hint="eastAsia"/>
        </w:rPr>
      </w:pPr>
      <w:r>
        <w:rPr>
          <w:rStyle w:val="23"/>
          <w:rFonts w:hint="eastAsia" w:ascii="仿宋" w:hAnsi="仿宋" w:eastAsia="仿宋"/>
          <w:bCs/>
          <w:sz w:val="32"/>
          <w:szCs w:val="32"/>
        </w:rPr>
        <w:t>一般公共服务（类）发展和改革事务（款）事业运行（项）</w:t>
      </w:r>
      <w:r>
        <w:rPr>
          <w:rStyle w:val="23"/>
          <w:rFonts w:hint="eastAsia" w:ascii="仿宋" w:hAnsi="仿宋" w:eastAsia="仿宋"/>
          <w:bCs/>
          <w:sz w:val="32"/>
          <w:szCs w:val="32"/>
          <w:lang w:eastAsia="zh-CN"/>
        </w:rPr>
        <w:t>：</w:t>
      </w:r>
      <w:r>
        <w:rPr>
          <w:rStyle w:val="23"/>
          <w:rFonts w:hint="eastAsia" w:ascii="仿宋" w:hAnsi="仿宋" w:eastAsia="仿宋"/>
          <w:b w:val="0"/>
          <w:bCs/>
          <w:sz w:val="32"/>
          <w:szCs w:val="32"/>
        </w:rPr>
        <w:t>支出决算为</w:t>
      </w:r>
      <w:r>
        <w:rPr>
          <w:rStyle w:val="23"/>
          <w:rFonts w:hint="eastAsia" w:ascii="仿宋" w:hAnsi="仿宋" w:eastAsia="仿宋"/>
          <w:b w:val="0"/>
          <w:bCs/>
          <w:sz w:val="32"/>
          <w:szCs w:val="32"/>
          <w:lang w:val="en-US" w:eastAsia="zh-CN"/>
        </w:rPr>
        <w:t>204.16</w:t>
      </w:r>
      <w:r>
        <w:rPr>
          <w:rStyle w:val="23"/>
          <w:rFonts w:hint="eastAsia" w:ascii="仿宋" w:hAnsi="仿宋" w:eastAsia="仿宋"/>
          <w:b w:val="0"/>
          <w:bCs/>
          <w:sz w:val="32"/>
          <w:szCs w:val="32"/>
        </w:rPr>
        <w:t>万元，完成预算100</w:t>
      </w:r>
      <w:r>
        <w:rPr>
          <w:rStyle w:val="23"/>
          <w:rFonts w:ascii="仿宋" w:hAnsi="仿宋" w:eastAsia="仿宋"/>
          <w:b w:val="0"/>
          <w:bCs/>
          <w:sz w:val="32"/>
          <w:szCs w:val="32"/>
        </w:rPr>
        <w:t>%</w:t>
      </w:r>
      <w:r>
        <w:rPr>
          <w:rStyle w:val="23"/>
          <w:rFonts w:hint="eastAsia" w:ascii="仿宋" w:hAnsi="仿宋" w:eastAsia="仿宋"/>
          <w:b w:val="0"/>
          <w:bCs/>
          <w:sz w:val="32"/>
          <w:szCs w:val="32"/>
        </w:rPr>
        <w:t>。</w:t>
      </w:r>
    </w:p>
    <w:p w14:paraId="589F8828">
      <w:pPr>
        <w:spacing w:line="600" w:lineRule="exact"/>
        <w:ind w:firstLine="482" w:firstLineChars="150"/>
        <w:rPr>
          <w:rFonts w:hint="default" w:ascii="仿宋_GB2312" w:hAnsi="仿宋" w:eastAsia="仿宋_GB2312"/>
          <w:b/>
          <w:sz w:val="32"/>
          <w:szCs w:val="32"/>
        </w:rPr>
      </w:pPr>
      <w:r>
        <w:rPr>
          <w:rStyle w:val="23"/>
          <w:rFonts w:hint="eastAsia" w:ascii="仿宋" w:hAnsi="仿宋" w:eastAsia="仿宋"/>
          <w:bCs/>
          <w:sz w:val="32"/>
          <w:szCs w:val="32"/>
        </w:rPr>
        <w:t>一般公共服务（类）发展和改革事务（款）其他发展与改革事务支出（项）</w:t>
      </w:r>
      <w:r>
        <w:rPr>
          <w:rStyle w:val="23"/>
          <w:rFonts w:hint="eastAsia" w:ascii="仿宋" w:hAnsi="仿宋" w:eastAsia="仿宋"/>
          <w:bCs/>
          <w:sz w:val="32"/>
          <w:szCs w:val="32"/>
          <w:lang w:eastAsia="zh-CN"/>
        </w:rPr>
        <w:t>：</w:t>
      </w:r>
      <w:r>
        <w:rPr>
          <w:rStyle w:val="23"/>
          <w:rFonts w:hint="eastAsia" w:ascii="仿宋" w:hAnsi="仿宋" w:eastAsia="仿宋"/>
          <w:b w:val="0"/>
          <w:bCs/>
          <w:sz w:val="32"/>
          <w:szCs w:val="32"/>
        </w:rPr>
        <w:t>支出决算为</w:t>
      </w:r>
      <w:r>
        <w:rPr>
          <w:rStyle w:val="23"/>
          <w:rFonts w:hint="eastAsia" w:ascii="仿宋" w:hAnsi="仿宋" w:eastAsia="仿宋"/>
          <w:b w:val="0"/>
          <w:bCs/>
          <w:sz w:val="32"/>
          <w:szCs w:val="32"/>
          <w:lang w:val="en-US" w:eastAsia="zh-CN"/>
        </w:rPr>
        <w:t>74.73</w:t>
      </w:r>
      <w:r>
        <w:rPr>
          <w:rStyle w:val="23"/>
          <w:rFonts w:hint="eastAsia" w:ascii="仿宋" w:hAnsi="仿宋" w:eastAsia="仿宋"/>
          <w:b w:val="0"/>
          <w:bCs/>
          <w:sz w:val="32"/>
          <w:szCs w:val="32"/>
        </w:rPr>
        <w:t>万元，完成预算</w:t>
      </w:r>
      <w:r>
        <w:rPr>
          <w:rStyle w:val="23"/>
          <w:rFonts w:hint="eastAsia" w:ascii="仿宋" w:hAnsi="仿宋" w:eastAsia="仿宋"/>
          <w:b w:val="0"/>
          <w:bCs/>
          <w:sz w:val="32"/>
          <w:szCs w:val="32"/>
          <w:lang w:val="en-US" w:eastAsia="zh-CN"/>
        </w:rPr>
        <w:t>100</w:t>
      </w:r>
      <w:r>
        <w:rPr>
          <w:rStyle w:val="23"/>
          <w:rFonts w:ascii="仿宋" w:hAnsi="仿宋" w:eastAsia="仿宋"/>
          <w:b w:val="0"/>
          <w:bCs/>
          <w:sz w:val="32"/>
          <w:szCs w:val="32"/>
        </w:rPr>
        <w:t>%</w:t>
      </w:r>
      <w:r>
        <w:rPr>
          <w:rStyle w:val="23"/>
          <w:rFonts w:hint="eastAsia" w:ascii="仿宋" w:hAnsi="仿宋" w:eastAsia="仿宋"/>
          <w:b w:val="0"/>
          <w:bCs/>
          <w:sz w:val="32"/>
          <w:szCs w:val="32"/>
        </w:rPr>
        <w:t>。</w:t>
      </w:r>
    </w:p>
    <w:p w14:paraId="1ABA94F7">
      <w:pPr>
        <w:pStyle w:val="19"/>
        <w:bidi w:val="0"/>
        <w:ind w:left="0" w:leftChars="0" w:firstLine="643" w:firstLineChars="200"/>
        <w:rPr>
          <w:rStyle w:val="23"/>
          <w:rFonts w:hint="eastAsia" w:ascii="仿宋_GB2312" w:hAnsi="仿宋" w:eastAsia="仿宋_GB2312"/>
          <w:b w:val="0"/>
          <w:bCs/>
          <w:sz w:val="32"/>
          <w:szCs w:val="32"/>
        </w:rPr>
      </w:pPr>
      <w:r>
        <w:rPr>
          <w:rStyle w:val="23"/>
          <w:rFonts w:hint="eastAsia" w:ascii="仿宋_GB2312" w:hAnsi="仿宋" w:eastAsia="仿宋_GB2312"/>
          <w:bCs/>
          <w:sz w:val="32"/>
          <w:szCs w:val="32"/>
          <w:lang w:val="en-US" w:eastAsia="zh-CN"/>
        </w:rPr>
        <w:t>2.</w:t>
      </w:r>
      <w:r>
        <w:rPr>
          <w:rStyle w:val="23"/>
          <w:rFonts w:hint="eastAsia" w:ascii="仿宋_GB2312" w:hAnsi="仿宋" w:eastAsia="仿宋_GB2312"/>
          <w:bCs/>
          <w:sz w:val="32"/>
          <w:szCs w:val="32"/>
        </w:rPr>
        <w:t>社会保障和就业（类）行政事业</w:t>
      </w:r>
      <w:r>
        <w:rPr>
          <w:rStyle w:val="23"/>
          <w:rFonts w:hint="default" w:ascii="仿宋_GB2312" w:hAnsi="仿宋" w:eastAsia="仿宋_GB2312"/>
          <w:bCs/>
          <w:sz w:val="32"/>
          <w:szCs w:val="32"/>
        </w:rPr>
        <w:t>单位养老支出</w:t>
      </w:r>
      <w:r>
        <w:rPr>
          <w:rStyle w:val="23"/>
          <w:rFonts w:hint="eastAsia" w:ascii="仿宋_GB2312" w:hAnsi="仿宋" w:eastAsia="仿宋_GB2312"/>
          <w:bCs/>
          <w:sz w:val="32"/>
          <w:szCs w:val="32"/>
        </w:rPr>
        <w:t>（款）行政单位离退休（项）</w:t>
      </w:r>
      <w:r>
        <w:rPr>
          <w:rStyle w:val="23"/>
          <w:rFonts w:hint="eastAsia" w:ascii="仿宋_GB2312" w:hAnsi="仿宋" w:eastAsia="仿宋_GB2312"/>
          <w:bCs/>
          <w:sz w:val="32"/>
          <w:szCs w:val="32"/>
          <w:lang w:eastAsia="zh-CN"/>
        </w:rPr>
        <w:t>：</w:t>
      </w:r>
      <w:r>
        <w:rPr>
          <w:rStyle w:val="23"/>
          <w:rFonts w:hint="eastAsia" w:ascii="仿宋_GB2312" w:hAnsi="仿宋" w:eastAsia="仿宋_GB2312"/>
          <w:b w:val="0"/>
          <w:bCs/>
          <w:sz w:val="32"/>
          <w:szCs w:val="32"/>
        </w:rPr>
        <w:t>支出决算为</w:t>
      </w:r>
      <w:r>
        <w:rPr>
          <w:rStyle w:val="23"/>
          <w:rFonts w:hint="eastAsia" w:ascii="仿宋_GB2312" w:hAnsi="仿宋" w:eastAsia="仿宋_GB2312"/>
          <w:b w:val="0"/>
          <w:bCs/>
          <w:sz w:val="32"/>
          <w:szCs w:val="32"/>
          <w:lang w:val="en-US" w:eastAsia="zh-CN"/>
        </w:rPr>
        <w:t>365.35</w:t>
      </w:r>
      <w:r>
        <w:rPr>
          <w:rStyle w:val="23"/>
          <w:rFonts w:hint="eastAsia" w:ascii="仿宋_GB2312" w:hAnsi="仿宋" w:eastAsia="仿宋_GB2312"/>
          <w:b w:val="0"/>
          <w:bCs/>
          <w:sz w:val="32"/>
          <w:szCs w:val="32"/>
        </w:rPr>
        <w:t>万元，完成预算100%。</w:t>
      </w:r>
    </w:p>
    <w:p w14:paraId="4F8F65B0">
      <w:pPr>
        <w:spacing w:line="576" w:lineRule="exact"/>
        <w:ind w:firstLine="643" w:firstLineChars="200"/>
        <w:rPr>
          <w:rStyle w:val="23"/>
          <w:rFonts w:hint="eastAsia" w:ascii="仿宋_GB2312" w:hAnsi="仿宋" w:eastAsia="仿宋_GB2312"/>
          <w:b w:val="0"/>
          <w:bCs/>
          <w:sz w:val="32"/>
          <w:szCs w:val="32"/>
        </w:rPr>
      </w:pPr>
      <w:r>
        <w:rPr>
          <w:rStyle w:val="23"/>
          <w:rFonts w:hint="eastAsia" w:ascii="仿宋_GB2312" w:hAnsi="仿宋" w:eastAsia="仿宋_GB2312"/>
          <w:bCs/>
          <w:sz w:val="32"/>
          <w:szCs w:val="32"/>
        </w:rPr>
        <w:t>社会保障和就业（类）行政事业单位</w:t>
      </w:r>
      <w:r>
        <w:rPr>
          <w:rStyle w:val="23"/>
          <w:rFonts w:hint="default" w:ascii="仿宋_GB2312" w:hAnsi="仿宋" w:eastAsia="仿宋_GB2312"/>
          <w:bCs/>
          <w:sz w:val="32"/>
          <w:szCs w:val="32"/>
        </w:rPr>
        <w:t>养老支出</w:t>
      </w:r>
      <w:r>
        <w:rPr>
          <w:rStyle w:val="23"/>
          <w:rFonts w:hint="eastAsia" w:ascii="仿宋_GB2312" w:hAnsi="仿宋" w:eastAsia="仿宋_GB2312"/>
          <w:bCs/>
          <w:sz w:val="32"/>
          <w:szCs w:val="32"/>
        </w:rPr>
        <w:t>（款）机关事业单位基本养老保险缴费支出（项）</w:t>
      </w:r>
      <w:r>
        <w:rPr>
          <w:rStyle w:val="23"/>
          <w:rFonts w:hint="eastAsia" w:ascii="仿宋_GB2312" w:hAnsi="仿宋" w:eastAsia="仿宋_GB2312"/>
          <w:bCs/>
          <w:sz w:val="32"/>
          <w:szCs w:val="32"/>
          <w:lang w:eastAsia="zh-CN"/>
        </w:rPr>
        <w:t>：</w:t>
      </w:r>
      <w:r>
        <w:rPr>
          <w:rStyle w:val="23"/>
          <w:rFonts w:hint="eastAsia" w:ascii="仿宋_GB2312" w:hAnsi="仿宋" w:eastAsia="仿宋_GB2312"/>
          <w:b w:val="0"/>
          <w:bCs/>
          <w:sz w:val="32"/>
          <w:szCs w:val="32"/>
        </w:rPr>
        <w:t>支出决算为</w:t>
      </w:r>
      <w:r>
        <w:rPr>
          <w:rStyle w:val="23"/>
          <w:rFonts w:hint="eastAsia" w:ascii="仿宋_GB2312" w:hAnsi="仿宋" w:eastAsia="仿宋_GB2312"/>
          <w:b w:val="0"/>
          <w:bCs/>
          <w:sz w:val="32"/>
          <w:szCs w:val="32"/>
          <w:lang w:val="en-US" w:eastAsia="zh-CN"/>
        </w:rPr>
        <w:t>235.48</w:t>
      </w:r>
      <w:r>
        <w:rPr>
          <w:rStyle w:val="23"/>
          <w:rFonts w:hint="eastAsia" w:ascii="仿宋_GB2312" w:hAnsi="仿宋" w:eastAsia="仿宋_GB2312"/>
          <w:b w:val="0"/>
          <w:bCs/>
          <w:sz w:val="32"/>
          <w:szCs w:val="32"/>
        </w:rPr>
        <w:t>万元，完成预算100%。</w:t>
      </w:r>
    </w:p>
    <w:p w14:paraId="6A1B0245">
      <w:pPr>
        <w:spacing w:line="576" w:lineRule="exact"/>
        <w:ind w:firstLine="643" w:firstLineChars="200"/>
        <w:rPr>
          <w:rStyle w:val="23"/>
          <w:rFonts w:hint="eastAsia" w:ascii="仿宋_GB2312" w:hAnsi="仿宋" w:eastAsia="仿宋_GB2312"/>
          <w:b w:val="0"/>
          <w:bCs/>
          <w:sz w:val="32"/>
          <w:szCs w:val="32"/>
        </w:rPr>
      </w:pPr>
      <w:r>
        <w:rPr>
          <w:rStyle w:val="23"/>
          <w:rFonts w:hint="eastAsia" w:ascii="仿宋_GB2312" w:hAnsi="仿宋" w:eastAsia="仿宋_GB2312"/>
          <w:bCs/>
          <w:sz w:val="32"/>
          <w:szCs w:val="32"/>
        </w:rPr>
        <w:t>社会保障和就业（类）行政事业单位</w:t>
      </w:r>
      <w:r>
        <w:rPr>
          <w:rStyle w:val="23"/>
          <w:rFonts w:hint="default" w:ascii="仿宋_GB2312" w:hAnsi="仿宋" w:eastAsia="仿宋_GB2312"/>
          <w:bCs/>
          <w:sz w:val="32"/>
          <w:szCs w:val="32"/>
        </w:rPr>
        <w:t>养老支出</w:t>
      </w:r>
      <w:r>
        <w:rPr>
          <w:rStyle w:val="23"/>
          <w:rFonts w:hint="eastAsia" w:ascii="仿宋_GB2312" w:hAnsi="仿宋" w:eastAsia="仿宋_GB2312"/>
          <w:bCs/>
          <w:sz w:val="32"/>
          <w:szCs w:val="32"/>
        </w:rPr>
        <w:t>（款）机关事业单位基本职业年金缴费支出（项）</w:t>
      </w:r>
      <w:r>
        <w:rPr>
          <w:rStyle w:val="23"/>
          <w:rFonts w:hint="eastAsia" w:ascii="仿宋_GB2312" w:hAnsi="仿宋" w:eastAsia="仿宋_GB2312"/>
          <w:bCs/>
          <w:sz w:val="32"/>
          <w:szCs w:val="32"/>
          <w:lang w:eastAsia="zh-CN"/>
        </w:rPr>
        <w:t>：</w:t>
      </w:r>
      <w:r>
        <w:rPr>
          <w:rStyle w:val="23"/>
          <w:rFonts w:hint="eastAsia" w:ascii="仿宋_GB2312" w:hAnsi="仿宋" w:eastAsia="仿宋_GB2312"/>
          <w:b w:val="0"/>
          <w:bCs/>
          <w:sz w:val="32"/>
          <w:szCs w:val="32"/>
        </w:rPr>
        <w:t>支出决算为</w:t>
      </w:r>
      <w:r>
        <w:rPr>
          <w:rStyle w:val="23"/>
          <w:rFonts w:hint="eastAsia" w:ascii="仿宋_GB2312" w:hAnsi="仿宋" w:eastAsia="仿宋_GB2312"/>
          <w:b w:val="0"/>
          <w:bCs/>
          <w:sz w:val="32"/>
          <w:szCs w:val="32"/>
          <w:lang w:val="en-US" w:eastAsia="zh-CN"/>
        </w:rPr>
        <w:t>61.30</w:t>
      </w:r>
      <w:r>
        <w:rPr>
          <w:rStyle w:val="23"/>
          <w:rFonts w:hint="eastAsia" w:ascii="仿宋_GB2312" w:hAnsi="仿宋" w:eastAsia="仿宋_GB2312"/>
          <w:b w:val="0"/>
          <w:bCs/>
          <w:sz w:val="32"/>
          <w:szCs w:val="32"/>
        </w:rPr>
        <w:t>万元，完成预算100%。</w:t>
      </w:r>
    </w:p>
    <w:p w14:paraId="51485F56">
      <w:pPr>
        <w:spacing w:line="576" w:lineRule="exact"/>
        <w:ind w:firstLine="643" w:firstLineChars="200"/>
        <w:rPr>
          <w:rStyle w:val="23"/>
          <w:rFonts w:hint="eastAsia" w:ascii="仿宋_GB2312" w:hAnsi="仿宋" w:eastAsia="仿宋_GB2312"/>
          <w:b w:val="0"/>
          <w:bCs/>
          <w:sz w:val="32"/>
          <w:szCs w:val="32"/>
        </w:rPr>
      </w:pPr>
      <w:r>
        <w:rPr>
          <w:rStyle w:val="23"/>
          <w:rFonts w:hint="eastAsia" w:ascii="仿宋_GB2312" w:hAnsi="仿宋" w:eastAsia="仿宋_GB2312"/>
          <w:bCs/>
          <w:sz w:val="32"/>
          <w:szCs w:val="32"/>
        </w:rPr>
        <w:t>社会保障和就业（类）抚恤（款）死亡抚恤（项）</w:t>
      </w:r>
      <w:r>
        <w:rPr>
          <w:rStyle w:val="23"/>
          <w:rFonts w:hint="eastAsia" w:ascii="仿宋_GB2312" w:hAnsi="仿宋" w:eastAsia="仿宋_GB2312"/>
          <w:bCs/>
          <w:sz w:val="32"/>
          <w:szCs w:val="32"/>
          <w:lang w:eastAsia="zh-CN"/>
        </w:rPr>
        <w:t>：</w:t>
      </w:r>
      <w:r>
        <w:rPr>
          <w:rStyle w:val="23"/>
          <w:rFonts w:hint="eastAsia" w:ascii="仿宋_GB2312" w:hAnsi="仿宋" w:eastAsia="仿宋_GB2312"/>
          <w:b w:val="0"/>
          <w:bCs/>
          <w:sz w:val="32"/>
          <w:szCs w:val="32"/>
        </w:rPr>
        <w:t>支出决算为</w:t>
      </w:r>
      <w:r>
        <w:rPr>
          <w:rStyle w:val="23"/>
          <w:rFonts w:hint="eastAsia" w:ascii="仿宋_GB2312" w:hAnsi="仿宋" w:eastAsia="仿宋_GB2312"/>
          <w:b w:val="0"/>
          <w:bCs/>
          <w:sz w:val="32"/>
          <w:szCs w:val="32"/>
          <w:lang w:val="en-US" w:eastAsia="zh-CN"/>
        </w:rPr>
        <w:t>98.52</w:t>
      </w:r>
      <w:r>
        <w:rPr>
          <w:rStyle w:val="23"/>
          <w:rFonts w:hint="eastAsia" w:ascii="仿宋_GB2312" w:hAnsi="仿宋" w:eastAsia="仿宋_GB2312"/>
          <w:b w:val="0"/>
          <w:bCs/>
          <w:sz w:val="32"/>
          <w:szCs w:val="32"/>
        </w:rPr>
        <w:t>万元，完成预算100%。</w:t>
      </w:r>
    </w:p>
    <w:p w14:paraId="0B2ED79C">
      <w:pPr>
        <w:spacing w:line="600" w:lineRule="exact"/>
        <w:ind w:firstLine="643" w:firstLineChars="200"/>
        <w:rPr>
          <w:rFonts w:hint="eastAsia"/>
        </w:rPr>
      </w:pPr>
      <w:r>
        <w:rPr>
          <w:rStyle w:val="23"/>
          <w:rFonts w:hint="eastAsia" w:ascii="仿宋" w:hAnsi="仿宋" w:eastAsia="仿宋"/>
          <w:bCs/>
          <w:sz w:val="32"/>
          <w:szCs w:val="32"/>
        </w:rPr>
        <w:t>社会保障和就业（类）其他社会保障和就业支出（款）其他社会保障和就业支出（项）</w:t>
      </w:r>
      <w:r>
        <w:rPr>
          <w:rStyle w:val="23"/>
          <w:rFonts w:hint="eastAsia" w:ascii="仿宋" w:hAnsi="仿宋" w:eastAsia="仿宋"/>
          <w:bCs/>
          <w:sz w:val="32"/>
          <w:szCs w:val="32"/>
          <w:lang w:eastAsia="zh-CN"/>
        </w:rPr>
        <w:t>：</w:t>
      </w:r>
      <w:r>
        <w:rPr>
          <w:rStyle w:val="23"/>
          <w:rFonts w:hint="eastAsia" w:ascii="仿宋" w:hAnsi="仿宋" w:eastAsia="仿宋"/>
          <w:b w:val="0"/>
          <w:bCs/>
          <w:sz w:val="32"/>
          <w:szCs w:val="32"/>
        </w:rPr>
        <w:t>支出决算为</w:t>
      </w:r>
      <w:r>
        <w:rPr>
          <w:rStyle w:val="23"/>
          <w:rFonts w:hint="eastAsia" w:ascii="仿宋" w:hAnsi="仿宋" w:eastAsia="仿宋"/>
          <w:b w:val="0"/>
          <w:bCs/>
          <w:sz w:val="32"/>
          <w:szCs w:val="32"/>
          <w:lang w:val="en-US" w:eastAsia="zh-CN"/>
        </w:rPr>
        <w:t>11.71</w:t>
      </w:r>
      <w:r>
        <w:rPr>
          <w:rStyle w:val="23"/>
          <w:rFonts w:hint="eastAsia" w:ascii="仿宋" w:hAnsi="仿宋" w:eastAsia="仿宋"/>
          <w:b w:val="0"/>
          <w:bCs/>
          <w:sz w:val="32"/>
          <w:szCs w:val="32"/>
        </w:rPr>
        <w:t>万元，完成预算100</w:t>
      </w:r>
      <w:r>
        <w:rPr>
          <w:rStyle w:val="23"/>
          <w:rFonts w:ascii="仿宋" w:hAnsi="仿宋" w:eastAsia="仿宋"/>
          <w:b w:val="0"/>
          <w:bCs/>
          <w:sz w:val="32"/>
          <w:szCs w:val="32"/>
        </w:rPr>
        <w:t>%</w:t>
      </w:r>
      <w:r>
        <w:rPr>
          <w:rStyle w:val="23"/>
          <w:rFonts w:hint="eastAsia" w:ascii="仿宋" w:hAnsi="仿宋" w:eastAsia="仿宋"/>
          <w:b w:val="0"/>
          <w:bCs/>
          <w:sz w:val="32"/>
          <w:szCs w:val="32"/>
        </w:rPr>
        <w:t>。</w:t>
      </w:r>
    </w:p>
    <w:p w14:paraId="15081D75">
      <w:pPr>
        <w:spacing w:line="576" w:lineRule="exact"/>
        <w:ind w:left="643"/>
        <w:rPr>
          <w:rStyle w:val="23"/>
          <w:rFonts w:hint="eastAsia" w:ascii="仿宋_GB2312" w:hAnsi="仿宋" w:eastAsia="仿宋_GB2312"/>
          <w:bCs/>
          <w:sz w:val="32"/>
          <w:szCs w:val="32"/>
        </w:rPr>
      </w:pPr>
      <w:r>
        <w:rPr>
          <w:rFonts w:hint="eastAsia" w:ascii="仿宋_GB2312" w:hAnsi="仿宋" w:eastAsia="仿宋_GB2312"/>
          <w:b/>
          <w:bCs/>
          <w:sz w:val="32"/>
          <w:szCs w:val="32"/>
          <w:lang w:val="en-US" w:eastAsia="zh-CN"/>
        </w:rPr>
        <w:t>4</w:t>
      </w:r>
      <w:r>
        <w:rPr>
          <w:rFonts w:hint="eastAsia" w:ascii="仿宋_GB2312" w:hAnsi="仿宋" w:eastAsia="仿宋_GB2312"/>
          <w:b/>
          <w:bCs/>
          <w:sz w:val="32"/>
          <w:szCs w:val="32"/>
        </w:rPr>
        <w:t>.卫生健康</w:t>
      </w:r>
      <w:r>
        <w:rPr>
          <w:rStyle w:val="23"/>
          <w:rFonts w:hint="eastAsia" w:ascii="仿宋_GB2312" w:hAnsi="仿宋" w:eastAsia="仿宋_GB2312"/>
          <w:bCs/>
          <w:sz w:val="32"/>
          <w:szCs w:val="32"/>
        </w:rPr>
        <w:t>（类）行政事业单位医疗（款）行政单位医</w:t>
      </w:r>
    </w:p>
    <w:p w14:paraId="6DC8357B">
      <w:pPr>
        <w:spacing w:line="576" w:lineRule="exact"/>
        <w:rPr>
          <w:rStyle w:val="23"/>
          <w:rFonts w:hint="eastAsia" w:ascii="仿宋_GB2312" w:hAnsi="仿宋" w:eastAsia="仿宋_GB2312"/>
          <w:b w:val="0"/>
          <w:bCs/>
          <w:sz w:val="32"/>
          <w:szCs w:val="32"/>
        </w:rPr>
      </w:pPr>
      <w:r>
        <w:rPr>
          <w:rStyle w:val="23"/>
          <w:rFonts w:hint="eastAsia" w:ascii="仿宋_GB2312" w:hAnsi="仿宋" w:eastAsia="仿宋_GB2312"/>
          <w:bCs/>
          <w:sz w:val="32"/>
          <w:szCs w:val="32"/>
        </w:rPr>
        <w:t>疗（项）</w:t>
      </w:r>
      <w:r>
        <w:rPr>
          <w:rStyle w:val="23"/>
          <w:rFonts w:hint="eastAsia" w:ascii="仿宋_GB2312" w:hAnsi="仿宋" w:eastAsia="仿宋_GB2312"/>
          <w:bCs/>
          <w:sz w:val="32"/>
          <w:szCs w:val="32"/>
          <w:lang w:eastAsia="zh-CN"/>
        </w:rPr>
        <w:t>：</w:t>
      </w:r>
      <w:r>
        <w:rPr>
          <w:rStyle w:val="23"/>
          <w:rFonts w:hint="eastAsia" w:ascii="仿宋_GB2312" w:hAnsi="仿宋" w:eastAsia="仿宋_GB2312"/>
          <w:b w:val="0"/>
          <w:bCs/>
          <w:sz w:val="32"/>
          <w:szCs w:val="32"/>
        </w:rPr>
        <w:t>支出决算为</w:t>
      </w:r>
      <w:r>
        <w:rPr>
          <w:rStyle w:val="23"/>
          <w:rFonts w:hint="eastAsia" w:ascii="仿宋_GB2312" w:hAnsi="仿宋" w:eastAsia="仿宋_GB2312"/>
          <w:b w:val="0"/>
          <w:bCs/>
          <w:sz w:val="32"/>
          <w:szCs w:val="32"/>
          <w:lang w:val="en-US" w:eastAsia="zh-CN"/>
        </w:rPr>
        <w:t>77.69</w:t>
      </w:r>
      <w:r>
        <w:rPr>
          <w:rStyle w:val="23"/>
          <w:rFonts w:hint="eastAsia" w:ascii="仿宋_GB2312" w:hAnsi="仿宋" w:eastAsia="仿宋_GB2312"/>
          <w:b w:val="0"/>
          <w:bCs/>
          <w:sz w:val="32"/>
          <w:szCs w:val="32"/>
        </w:rPr>
        <w:t>万元，完成预算100%。</w:t>
      </w:r>
    </w:p>
    <w:p w14:paraId="6835E9B9">
      <w:pPr>
        <w:spacing w:line="576" w:lineRule="exact"/>
        <w:ind w:firstLine="643" w:firstLineChars="200"/>
        <w:rPr>
          <w:rStyle w:val="23"/>
          <w:rFonts w:hint="eastAsia" w:ascii="仿宋_GB2312" w:hAnsi="仿宋" w:eastAsia="仿宋_GB2312"/>
          <w:b w:val="0"/>
          <w:bCs/>
          <w:sz w:val="32"/>
          <w:szCs w:val="32"/>
        </w:rPr>
      </w:pPr>
      <w:r>
        <w:rPr>
          <w:rStyle w:val="23"/>
          <w:rFonts w:hint="eastAsia" w:ascii="仿宋_GB2312" w:hAnsi="仿宋" w:eastAsia="仿宋_GB2312"/>
          <w:bCs/>
          <w:sz w:val="32"/>
          <w:szCs w:val="32"/>
        </w:rPr>
        <w:t>卫</w:t>
      </w:r>
      <w:r>
        <w:rPr>
          <w:rFonts w:hint="eastAsia" w:ascii="仿宋_GB2312" w:hAnsi="仿宋" w:eastAsia="仿宋_GB2312"/>
          <w:b/>
          <w:bCs/>
          <w:sz w:val="32"/>
          <w:szCs w:val="32"/>
        </w:rPr>
        <w:t>生健康</w:t>
      </w:r>
      <w:r>
        <w:rPr>
          <w:rStyle w:val="23"/>
          <w:rFonts w:hint="eastAsia" w:ascii="仿宋_GB2312" w:hAnsi="仿宋" w:eastAsia="仿宋_GB2312"/>
          <w:bCs/>
          <w:sz w:val="32"/>
          <w:szCs w:val="32"/>
        </w:rPr>
        <w:t>（类）行政事业单位医疗（款）事业单位医疗（项）</w:t>
      </w:r>
      <w:r>
        <w:rPr>
          <w:rStyle w:val="23"/>
          <w:rFonts w:hint="eastAsia" w:ascii="仿宋_GB2312" w:hAnsi="仿宋" w:eastAsia="仿宋_GB2312"/>
          <w:bCs/>
          <w:sz w:val="32"/>
          <w:szCs w:val="32"/>
          <w:lang w:eastAsia="zh-CN"/>
        </w:rPr>
        <w:t>：</w:t>
      </w:r>
      <w:r>
        <w:rPr>
          <w:rStyle w:val="23"/>
          <w:rFonts w:hint="eastAsia" w:ascii="仿宋_GB2312" w:hAnsi="仿宋" w:eastAsia="仿宋_GB2312"/>
          <w:b w:val="0"/>
          <w:bCs/>
          <w:sz w:val="32"/>
          <w:szCs w:val="32"/>
        </w:rPr>
        <w:t>支出决算为</w:t>
      </w:r>
      <w:r>
        <w:rPr>
          <w:rStyle w:val="23"/>
          <w:rFonts w:hint="eastAsia" w:ascii="仿宋_GB2312" w:hAnsi="仿宋" w:eastAsia="仿宋_GB2312"/>
          <w:b w:val="0"/>
          <w:bCs/>
          <w:sz w:val="32"/>
          <w:szCs w:val="32"/>
          <w:lang w:val="en-US" w:eastAsia="zh-CN"/>
        </w:rPr>
        <w:t>14.16</w:t>
      </w:r>
      <w:r>
        <w:rPr>
          <w:rStyle w:val="23"/>
          <w:rFonts w:hint="eastAsia" w:ascii="仿宋_GB2312" w:hAnsi="仿宋" w:eastAsia="仿宋_GB2312"/>
          <w:b w:val="0"/>
          <w:bCs/>
          <w:sz w:val="32"/>
          <w:szCs w:val="32"/>
        </w:rPr>
        <w:t>万元，完成预算100%。</w:t>
      </w:r>
    </w:p>
    <w:p w14:paraId="7F05C1A1">
      <w:pPr>
        <w:numPr>
          <w:ilvl w:val="0"/>
          <w:numId w:val="0"/>
        </w:numPr>
        <w:spacing w:line="576" w:lineRule="exact"/>
        <w:ind w:firstLine="643" w:firstLineChars="200"/>
        <w:rPr>
          <w:rStyle w:val="23"/>
          <w:rFonts w:hint="eastAsia" w:ascii="仿宋_GB2312" w:hAnsi="仿宋" w:eastAsia="仿宋_GB2312"/>
          <w:b w:val="0"/>
          <w:bCs/>
          <w:sz w:val="32"/>
          <w:szCs w:val="32"/>
        </w:rPr>
      </w:pPr>
      <w:r>
        <w:rPr>
          <w:rFonts w:hint="eastAsia" w:ascii="仿宋_GB2312" w:hAnsi="仿宋" w:eastAsia="仿宋_GB2312"/>
          <w:b/>
          <w:bCs/>
          <w:sz w:val="32"/>
          <w:szCs w:val="32"/>
          <w:lang w:val="en-US" w:eastAsia="zh-CN"/>
        </w:rPr>
        <w:t>5.</w:t>
      </w:r>
      <w:r>
        <w:rPr>
          <w:rFonts w:hint="eastAsia" w:ascii="仿宋_GB2312" w:hAnsi="仿宋" w:eastAsia="仿宋_GB2312"/>
          <w:b/>
          <w:bCs/>
          <w:sz w:val="32"/>
          <w:szCs w:val="32"/>
        </w:rPr>
        <w:t>住房保障支出</w:t>
      </w:r>
      <w:r>
        <w:rPr>
          <w:rStyle w:val="23"/>
          <w:rFonts w:hint="eastAsia" w:ascii="仿宋_GB2312" w:hAnsi="仿宋" w:eastAsia="仿宋_GB2312"/>
          <w:bCs/>
          <w:sz w:val="32"/>
          <w:szCs w:val="32"/>
        </w:rPr>
        <w:t>（类）住房改革支出（款）住房公积金（项）</w:t>
      </w:r>
      <w:r>
        <w:rPr>
          <w:rStyle w:val="23"/>
          <w:rFonts w:hint="eastAsia" w:ascii="仿宋_GB2312" w:hAnsi="仿宋" w:eastAsia="仿宋_GB2312"/>
          <w:bCs/>
          <w:sz w:val="32"/>
          <w:szCs w:val="32"/>
          <w:lang w:eastAsia="zh-CN"/>
        </w:rPr>
        <w:t>：</w:t>
      </w:r>
      <w:r>
        <w:rPr>
          <w:rStyle w:val="23"/>
          <w:rFonts w:hint="eastAsia" w:ascii="仿宋_GB2312" w:hAnsi="仿宋" w:eastAsia="仿宋_GB2312"/>
          <w:b w:val="0"/>
          <w:bCs/>
          <w:sz w:val="32"/>
          <w:szCs w:val="32"/>
        </w:rPr>
        <w:t>支出决算为</w:t>
      </w:r>
      <w:r>
        <w:rPr>
          <w:rStyle w:val="23"/>
          <w:rFonts w:hint="eastAsia" w:ascii="仿宋_GB2312" w:hAnsi="仿宋" w:eastAsia="仿宋_GB2312"/>
          <w:b w:val="0"/>
          <w:bCs/>
          <w:sz w:val="32"/>
          <w:szCs w:val="32"/>
          <w:lang w:val="en-US" w:eastAsia="zh-CN"/>
        </w:rPr>
        <w:t>201.68</w:t>
      </w:r>
      <w:r>
        <w:rPr>
          <w:rStyle w:val="23"/>
          <w:rFonts w:hint="eastAsia" w:ascii="仿宋_GB2312" w:hAnsi="仿宋" w:eastAsia="仿宋_GB2312"/>
          <w:b w:val="0"/>
          <w:bCs/>
          <w:sz w:val="32"/>
          <w:szCs w:val="32"/>
        </w:rPr>
        <w:t>万元，完成预算100%。</w:t>
      </w:r>
    </w:p>
    <w:p w14:paraId="3819E332">
      <w:pPr>
        <w:numPr>
          <w:ilvl w:val="0"/>
          <w:numId w:val="0"/>
        </w:numPr>
        <w:spacing w:line="576" w:lineRule="exact"/>
        <w:ind w:firstLine="643" w:firstLineChars="200"/>
        <w:rPr>
          <w:rStyle w:val="23"/>
          <w:rFonts w:hint="eastAsia" w:ascii="仿宋_GB2312" w:hAnsi="仿宋" w:eastAsia="仿宋_GB2312"/>
          <w:b w:val="0"/>
          <w:bCs/>
          <w:sz w:val="32"/>
          <w:szCs w:val="32"/>
        </w:rPr>
      </w:pPr>
      <w:r>
        <w:rPr>
          <w:rFonts w:hint="eastAsia" w:ascii="仿宋_GB2312" w:hAnsi="仿宋" w:eastAsia="仿宋_GB2312"/>
          <w:b/>
          <w:bCs/>
          <w:sz w:val="32"/>
          <w:szCs w:val="32"/>
        </w:rPr>
        <w:t>住房保障支出</w:t>
      </w:r>
      <w:r>
        <w:rPr>
          <w:rStyle w:val="23"/>
          <w:rFonts w:hint="eastAsia" w:ascii="仿宋_GB2312" w:hAnsi="仿宋" w:eastAsia="仿宋_GB2312"/>
          <w:bCs/>
          <w:sz w:val="32"/>
          <w:szCs w:val="32"/>
        </w:rPr>
        <w:t>（类）住房改革支出（款）购房补贴（项）</w:t>
      </w:r>
      <w:r>
        <w:rPr>
          <w:rStyle w:val="23"/>
          <w:rFonts w:hint="eastAsia" w:ascii="仿宋_GB2312" w:hAnsi="仿宋" w:eastAsia="仿宋_GB2312"/>
          <w:bCs/>
          <w:sz w:val="32"/>
          <w:szCs w:val="32"/>
          <w:lang w:eastAsia="zh-CN"/>
        </w:rPr>
        <w:t>：</w:t>
      </w:r>
      <w:r>
        <w:rPr>
          <w:rStyle w:val="23"/>
          <w:rFonts w:hint="eastAsia" w:ascii="仿宋_GB2312" w:hAnsi="仿宋" w:eastAsia="仿宋_GB2312"/>
          <w:b w:val="0"/>
          <w:bCs/>
          <w:sz w:val="32"/>
          <w:szCs w:val="32"/>
        </w:rPr>
        <w:t>支出决算为</w:t>
      </w:r>
      <w:r>
        <w:rPr>
          <w:rStyle w:val="23"/>
          <w:rFonts w:hint="eastAsia" w:ascii="仿宋_GB2312" w:hAnsi="仿宋" w:eastAsia="仿宋_GB2312"/>
          <w:b w:val="0"/>
          <w:bCs/>
          <w:sz w:val="32"/>
          <w:szCs w:val="32"/>
          <w:lang w:val="en-US" w:eastAsia="zh-CN"/>
        </w:rPr>
        <w:t>16</w:t>
      </w:r>
      <w:r>
        <w:rPr>
          <w:rStyle w:val="23"/>
          <w:rFonts w:hint="eastAsia" w:ascii="仿宋_GB2312" w:hAnsi="仿宋" w:eastAsia="仿宋_GB2312"/>
          <w:b w:val="0"/>
          <w:bCs/>
          <w:sz w:val="32"/>
          <w:szCs w:val="32"/>
        </w:rPr>
        <w:t>万元，完成预算100%。</w:t>
      </w:r>
    </w:p>
    <w:p w14:paraId="60514E76">
      <w:pPr>
        <w:numPr>
          <w:ilvl w:val="0"/>
          <w:numId w:val="0"/>
        </w:numPr>
        <w:spacing w:line="576" w:lineRule="exact"/>
        <w:ind w:firstLine="643" w:firstLineChars="200"/>
        <w:rPr>
          <w:rFonts w:hint="eastAsia"/>
        </w:rPr>
      </w:pPr>
      <w:r>
        <w:rPr>
          <w:rFonts w:hint="eastAsia" w:ascii="仿宋_GB2312" w:hAnsi="仿宋" w:eastAsia="仿宋_GB2312"/>
          <w:b/>
          <w:bCs/>
          <w:sz w:val="32"/>
          <w:szCs w:val="32"/>
        </w:rPr>
        <w:t>住房保障支出</w:t>
      </w:r>
      <w:r>
        <w:rPr>
          <w:rStyle w:val="23"/>
          <w:rFonts w:hint="eastAsia" w:ascii="仿宋_GB2312" w:hAnsi="仿宋" w:eastAsia="仿宋_GB2312"/>
          <w:bCs/>
          <w:sz w:val="32"/>
          <w:szCs w:val="32"/>
        </w:rPr>
        <w:t>（类）住房改革支出（款）购房</w:t>
      </w:r>
      <w:r>
        <w:rPr>
          <w:rStyle w:val="23"/>
          <w:rFonts w:hint="eastAsia" w:ascii="仿宋_GB2312" w:hAnsi="仿宋" w:eastAsia="仿宋_GB2312"/>
          <w:bCs/>
          <w:sz w:val="32"/>
          <w:szCs w:val="32"/>
          <w:lang w:val="en-US" w:eastAsia="zh-CN"/>
        </w:rPr>
        <w:t>提房</w:t>
      </w:r>
      <w:r>
        <w:rPr>
          <w:rStyle w:val="23"/>
          <w:rFonts w:hint="eastAsia" w:ascii="仿宋_GB2312" w:hAnsi="仿宋" w:eastAsia="仿宋_GB2312"/>
          <w:bCs/>
          <w:sz w:val="32"/>
          <w:szCs w:val="32"/>
        </w:rPr>
        <w:t>补贴（项）</w:t>
      </w:r>
      <w:r>
        <w:rPr>
          <w:rStyle w:val="23"/>
          <w:rFonts w:hint="eastAsia" w:ascii="仿宋_GB2312" w:hAnsi="仿宋" w:eastAsia="仿宋_GB2312"/>
          <w:bCs/>
          <w:sz w:val="32"/>
          <w:szCs w:val="32"/>
          <w:lang w:eastAsia="zh-CN"/>
        </w:rPr>
        <w:t>：</w:t>
      </w:r>
      <w:r>
        <w:rPr>
          <w:rStyle w:val="23"/>
          <w:rFonts w:hint="eastAsia" w:ascii="仿宋_GB2312" w:hAnsi="仿宋" w:eastAsia="仿宋_GB2312"/>
          <w:b w:val="0"/>
          <w:bCs/>
          <w:sz w:val="32"/>
          <w:szCs w:val="32"/>
        </w:rPr>
        <w:t>支出决算为</w:t>
      </w:r>
      <w:r>
        <w:rPr>
          <w:rStyle w:val="23"/>
          <w:rFonts w:hint="eastAsia" w:ascii="仿宋_GB2312" w:hAnsi="仿宋" w:eastAsia="仿宋_GB2312"/>
          <w:b w:val="0"/>
          <w:bCs/>
          <w:sz w:val="32"/>
          <w:szCs w:val="32"/>
          <w:lang w:val="en-US" w:eastAsia="zh-CN"/>
        </w:rPr>
        <w:t>1.9</w:t>
      </w:r>
      <w:r>
        <w:rPr>
          <w:rStyle w:val="23"/>
          <w:rFonts w:hint="eastAsia" w:ascii="仿宋_GB2312" w:hAnsi="仿宋" w:eastAsia="仿宋_GB2312"/>
          <w:b w:val="0"/>
          <w:bCs/>
          <w:sz w:val="32"/>
          <w:szCs w:val="32"/>
        </w:rPr>
        <w:t>万元，完成预算100%。</w:t>
      </w:r>
    </w:p>
    <w:p w14:paraId="50200CB6">
      <w:pPr>
        <w:numPr>
          <w:ilvl w:val="0"/>
          <w:numId w:val="0"/>
        </w:numPr>
        <w:spacing w:line="576" w:lineRule="exact"/>
        <w:ind w:firstLine="643" w:firstLineChars="200"/>
        <w:rPr>
          <w:rFonts w:hint="default" w:ascii="仿宋_GB2312" w:hAnsi="仿宋" w:eastAsia="仿宋_GB2312"/>
          <w:b/>
          <w:bCs/>
          <w:sz w:val="32"/>
          <w:szCs w:val="32"/>
        </w:rPr>
      </w:pPr>
      <w:r>
        <w:rPr>
          <w:rFonts w:hint="default" w:ascii="仿宋_GB2312" w:hAnsi="仿宋" w:eastAsia="仿宋_GB2312"/>
          <w:b/>
          <w:bCs/>
          <w:sz w:val="32"/>
          <w:szCs w:val="32"/>
        </w:rPr>
        <w:t>6.</w:t>
      </w:r>
      <w:r>
        <w:rPr>
          <w:rFonts w:hint="eastAsia" w:ascii="仿宋_GB2312" w:hAnsi="仿宋" w:eastAsia="仿宋_GB2312"/>
          <w:b/>
          <w:bCs/>
          <w:sz w:val="32"/>
          <w:szCs w:val="32"/>
        </w:rPr>
        <w:t>粮油物资储备支出（类）粮油</w:t>
      </w:r>
      <w:r>
        <w:rPr>
          <w:rFonts w:hint="eastAsia" w:ascii="仿宋_GB2312" w:hAnsi="仿宋" w:eastAsia="仿宋_GB2312"/>
          <w:b/>
          <w:bCs/>
          <w:sz w:val="32"/>
          <w:szCs w:val="32"/>
          <w:lang w:eastAsia="zh-CN"/>
        </w:rPr>
        <w:t>物资</w:t>
      </w:r>
      <w:r>
        <w:rPr>
          <w:rFonts w:hint="eastAsia" w:ascii="仿宋_GB2312" w:hAnsi="仿宋" w:eastAsia="仿宋_GB2312"/>
          <w:b/>
          <w:bCs/>
          <w:sz w:val="32"/>
          <w:szCs w:val="32"/>
        </w:rPr>
        <w:t>事务（款）专项业务活动（项）</w:t>
      </w:r>
      <w:r>
        <w:rPr>
          <w:rFonts w:hint="eastAsia" w:ascii="仿宋_GB2312" w:hAnsi="仿宋" w:eastAsia="仿宋_GB2312"/>
          <w:b/>
          <w:bCs/>
          <w:sz w:val="32"/>
          <w:szCs w:val="32"/>
          <w:lang w:eastAsia="zh-CN"/>
        </w:rPr>
        <w:t>：</w:t>
      </w:r>
      <w:r>
        <w:rPr>
          <w:rFonts w:hint="eastAsia" w:ascii="仿宋_GB2312" w:hAnsi="仿宋" w:eastAsia="仿宋_GB2312"/>
          <w:b w:val="0"/>
          <w:bCs w:val="0"/>
          <w:sz w:val="32"/>
          <w:szCs w:val="32"/>
        </w:rPr>
        <w:t>支出决算为</w:t>
      </w:r>
      <w:r>
        <w:rPr>
          <w:rFonts w:hint="eastAsia" w:ascii="仿宋_GB2312" w:hAnsi="仿宋" w:eastAsia="仿宋_GB2312"/>
          <w:b w:val="0"/>
          <w:bCs w:val="0"/>
          <w:sz w:val="32"/>
          <w:szCs w:val="32"/>
          <w:lang w:val="en-US" w:eastAsia="zh-CN"/>
        </w:rPr>
        <w:t>34.29</w:t>
      </w:r>
      <w:r>
        <w:rPr>
          <w:rFonts w:hint="eastAsia" w:ascii="仿宋_GB2312" w:hAnsi="仿宋" w:eastAsia="仿宋_GB2312"/>
          <w:b w:val="0"/>
          <w:bCs w:val="0"/>
          <w:sz w:val="32"/>
          <w:szCs w:val="32"/>
        </w:rPr>
        <w:t>万元，完成预算</w:t>
      </w:r>
      <w:r>
        <w:rPr>
          <w:rFonts w:hint="default" w:ascii="仿宋_GB2312" w:hAnsi="仿宋" w:eastAsia="仿宋_GB2312"/>
          <w:b w:val="0"/>
          <w:bCs w:val="0"/>
          <w:sz w:val="32"/>
          <w:szCs w:val="32"/>
        </w:rPr>
        <w:t>100</w:t>
      </w:r>
      <w:r>
        <w:rPr>
          <w:rFonts w:hint="eastAsia" w:ascii="仿宋_GB2312" w:hAnsi="仿宋" w:eastAsia="仿宋_GB2312"/>
          <w:b w:val="0"/>
          <w:bCs w:val="0"/>
          <w:sz w:val="32"/>
          <w:szCs w:val="32"/>
        </w:rPr>
        <w:t>%</w:t>
      </w:r>
      <w:r>
        <w:rPr>
          <w:rFonts w:hint="default" w:ascii="仿宋_GB2312" w:hAnsi="仿宋" w:eastAsia="仿宋_GB2312"/>
          <w:b w:val="0"/>
          <w:bCs w:val="0"/>
          <w:sz w:val="32"/>
          <w:szCs w:val="32"/>
        </w:rPr>
        <w:t>。</w:t>
      </w:r>
    </w:p>
    <w:p w14:paraId="702E71D8">
      <w:pPr>
        <w:numPr>
          <w:ilvl w:val="0"/>
          <w:numId w:val="0"/>
        </w:numPr>
        <w:spacing w:line="576" w:lineRule="exact"/>
        <w:ind w:firstLine="643" w:firstLineChars="200"/>
        <w:rPr>
          <w:rFonts w:hint="eastAsia" w:ascii="仿宋_GB2312" w:hAnsi="仿宋" w:eastAsia="仿宋_GB2312"/>
          <w:b/>
          <w:bCs/>
          <w:sz w:val="32"/>
          <w:szCs w:val="32"/>
          <w:lang w:val="en-US" w:eastAsia="zh-CN"/>
        </w:rPr>
      </w:pPr>
      <w:r>
        <w:rPr>
          <w:rFonts w:hint="eastAsia" w:ascii="仿宋_GB2312" w:hAnsi="仿宋" w:eastAsia="仿宋_GB2312"/>
          <w:b/>
          <w:bCs/>
          <w:sz w:val="32"/>
          <w:szCs w:val="32"/>
        </w:rPr>
        <w:t>粮油物资储备支出（类）</w:t>
      </w:r>
      <w:r>
        <w:rPr>
          <w:rFonts w:hint="eastAsia" w:ascii="仿宋_GB2312" w:hAnsi="仿宋" w:eastAsia="仿宋_GB2312"/>
          <w:b/>
          <w:bCs/>
          <w:sz w:val="32"/>
          <w:szCs w:val="32"/>
          <w:lang w:eastAsia="zh-CN"/>
        </w:rPr>
        <w:t>粮油</w:t>
      </w:r>
      <w:r>
        <w:rPr>
          <w:rFonts w:hint="eastAsia" w:ascii="仿宋_GB2312" w:hAnsi="仿宋" w:eastAsia="仿宋_GB2312"/>
          <w:b/>
          <w:bCs/>
          <w:sz w:val="32"/>
          <w:szCs w:val="32"/>
        </w:rPr>
        <w:t>物资事务（款）</w:t>
      </w:r>
      <w:r>
        <w:rPr>
          <w:rFonts w:hint="eastAsia" w:ascii="仿宋_GB2312" w:hAnsi="仿宋" w:eastAsia="仿宋_GB2312"/>
          <w:b/>
          <w:bCs/>
          <w:sz w:val="32"/>
          <w:szCs w:val="32"/>
          <w:lang w:eastAsia="zh-CN"/>
        </w:rPr>
        <w:t>物资保管保养</w:t>
      </w:r>
      <w:r>
        <w:rPr>
          <w:rFonts w:hint="eastAsia" w:ascii="仿宋_GB2312" w:hAnsi="仿宋" w:eastAsia="仿宋_GB2312"/>
          <w:b/>
          <w:bCs/>
          <w:sz w:val="32"/>
          <w:szCs w:val="32"/>
        </w:rPr>
        <w:t>（项）</w:t>
      </w:r>
      <w:r>
        <w:rPr>
          <w:rFonts w:hint="eastAsia" w:ascii="仿宋_GB2312" w:hAnsi="仿宋" w:eastAsia="仿宋_GB2312"/>
          <w:b/>
          <w:bCs/>
          <w:sz w:val="32"/>
          <w:szCs w:val="32"/>
          <w:lang w:eastAsia="zh-CN"/>
        </w:rPr>
        <w:t>：</w:t>
      </w:r>
      <w:r>
        <w:rPr>
          <w:rFonts w:hint="eastAsia" w:ascii="仿宋_GB2312" w:hAnsi="仿宋" w:eastAsia="仿宋_GB2312"/>
          <w:b w:val="0"/>
          <w:bCs w:val="0"/>
          <w:sz w:val="32"/>
          <w:szCs w:val="32"/>
        </w:rPr>
        <w:t>支出决算为</w:t>
      </w:r>
      <w:r>
        <w:rPr>
          <w:rFonts w:hint="eastAsia" w:ascii="仿宋_GB2312" w:hAnsi="仿宋" w:eastAsia="仿宋_GB2312"/>
          <w:b w:val="0"/>
          <w:bCs w:val="0"/>
          <w:sz w:val="32"/>
          <w:szCs w:val="32"/>
          <w:lang w:val="en-US" w:eastAsia="zh-CN"/>
        </w:rPr>
        <w:t>17.13</w:t>
      </w:r>
      <w:r>
        <w:rPr>
          <w:rFonts w:hint="eastAsia" w:ascii="仿宋_GB2312" w:hAnsi="仿宋" w:eastAsia="仿宋_GB2312"/>
          <w:b w:val="0"/>
          <w:bCs w:val="0"/>
          <w:sz w:val="32"/>
          <w:szCs w:val="32"/>
        </w:rPr>
        <w:t>万元，完成预算100%。</w:t>
      </w:r>
    </w:p>
    <w:p w14:paraId="7BBE2BE1">
      <w:pPr>
        <w:numPr>
          <w:ilvl w:val="0"/>
          <w:numId w:val="0"/>
        </w:numPr>
        <w:spacing w:line="576" w:lineRule="exact"/>
        <w:ind w:firstLine="643" w:firstLineChars="200"/>
        <w:rPr>
          <w:rFonts w:hint="eastAsia" w:ascii="仿宋_GB2312" w:hAnsi="仿宋" w:eastAsia="仿宋_GB2312"/>
          <w:b w:val="0"/>
          <w:bCs w:val="0"/>
          <w:sz w:val="32"/>
          <w:szCs w:val="32"/>
        </w:rPr>
      </w:pPr>
      <w:r>
        <w:rPr>
          <w:rFonts w:hint="eastAsia" w:ascii="仿宋_GB2312" w:hAnsi="仿宋" w:eastAsia="仿宋_GB2312"/>
          <w:b/>
          <w:bCs/>
          <w:sz w:val="32"/>
          <w:szCs w:val="32"/>
        </w:rPr>
        <w:t>粮油物资储备支出（类）粮油</w:t>
      </w:r>
      <w:r>
        <w:rPr>
          <w:rFonts w:hint="eastAsia" w:ascii="仿宋_GB2312" w:hAnsi="仿宋" w:eastAsia="仿宋_GB2312"/>
          <w:b/>
          <w:bCs/>
          <w:sz w:val="32"/>
          <w:szCs w:val="32"/>
          <w:lang w:eastAsia="zh-CN"/>
        </w:rPr>
        <w:t>物资</w:t>
      </w:r>
      <w:r>
        <w:rPr>
          <w:rFonts w:hint="eastAsia" w:ascii="仿宋_GB2312" w:hAnsi="仿宋" w:eastAsia="仿宋_GB2312"/>
          <w:b/>
          <w:bCs/>
          <w:sz w:val="32"/>
          <w:szCs w:val="32"/>
        </w:rPr>
        <w:t>事务（款）事业运行（项）</w:t>
      </w:r>
      <w:r>
        <w:rPr>
          <w:rFonts w:hint="eastAsia" w:ascii="仿宋_GB2312" w:hAnsi="仿宋" w:eastAsia="仿宋_GB2312"/>
          <w:b/>
          <w:bCs/>
          <w:sz w:val="32"/>
          <w:szCs w:val="32"/>
          <w:lang w:eastAsia="zh-CN"/>
        </w:rPr>
        <w:t>：</w:t>
      </w:r>
      <w:r>
        <w:rPr>
          <w:rFonts w:hint="eastAsia" w:ascii="仿宋_GB2312" w:hAnsi="仿宋" w:eastAsia="仿宋_GB2312"/>
          <w:b w:val="0"/>
          <w:bCs w:val="0"/>
          <w:sz w:val="32"/>
          <w:szCs w:val="32"/>
        </w:rPr>
        <w:t>支出决算为</w:t>
      </w:r>
      <w:r>
        <w:rPr>
          <w:rFonts w:hint="eastAsia" w:ascii="仿宋_GB2312" w:hAnsi="仿宋" w:eastAsia="仿宋_GB2312"/>
          <w:b w:val="0"/>
          <w:bCs w:val="0"/>
          <w:sz w:val="32"/>
          <w:szCs w:val="32"/>
          <w:lang w:val="en-US" w:eastAsia="zh-CN"/>
        </w:rPr>
        <w:t>253.86</w:t>
      </w:r>
      <w:r>
        <w:rPr>
          <w:rFonts w:hint="eastAsia" w:ascii="仿宋_GB2312" w:hAnsi="仿宋" w:eastAsia="仿宋_GB2312"/>
          <w:b w:val="0"/>
          <w:bCs w:val="0"/>
          <w:sz w:val="32"/>
          <w:szCs w:val="32"/>
        </w:rPr>
        <w:t>万元，完成预算</w:t>
      </w:r>
      <w:r>
        <w:rPr>
          <w:rFonts w:hint="eastAsia" w:ascii="仿宋_GB2312" w:hAnsi="仿宋" w:eastAsia="仿宋_GB2312"/>
          <w:b w:val="0"/>
          <w:bCs w:val="0"/>
          <w:sz w:val="32"/>
          <w:szCs w:val="32"/>
          <w:lang w:val="en-US" w:eastAsia="zh-CN"/>
        </w:rPr>
        <w:t>100</w:t>
      </w:r>
      <w:r>
        <w:rPr>
          <w:rFonts w:hint="eastAsia" w:ascii="仿宋_GB2312" w:hAnsi="仿宋" w:eastAsia="仿宋_GB2312"/>
          <w:b w:val="0"/>
          <w:bCs w:val="0"/>
          <w:sz w:val="32"/>
          <w:szCs w:val="32"/>
        </w:rPr>
        <w:t>%。</w:t>
      </w:r>
    </w:p>
    <w:p w14:paraId="2C90C2C6">
      <w:pPr>
        <w:pStyle w:val="29"/>
        <w:numPr>
          <w:ilvl w:val="0"/>
          <w:numId w:val="0"/>
        </w:numPr>
        <w:ind w:left="0" w:leftChars="0" w:firstLine="643" w:firstLineChars="200"/>
        <w:rPr>
          <w:rStyle w:val="23"/>
          <w:rFonts w:hint="eastAsia" w:ascii="仿宋_GB2312" w:hAnsi="仿宋" w:eastAsia="仿宋_GB2312" w:cs="Times New Roman"/>
          <w:b w:val="0"/>
          <w:bCs/>
          <w:kern w:val="2"/>
          <w:sz w:val="32"/>
          <w:szCs w:val="32"/>
          <w:lang w:val="en-US" w:eastAsia="zh-CN" w:bidi="ar-SA"/>
        </w:rPr>
      </w:pPr>
      <w:r>
        <w:rPr>
          <w:rFonts w:hint="eastAsia" w:ascii="仿宋_GB2312" w:hAnsi="仿宋" w:eastAsia="仿宋_GB2312"/>
          <w:b/>
          <w:bCs/>
          <w:sz w:val="32"/>
          <w:szCs w:val="32"/>
        </w:rPr>
        <w:t>粮油物资储备支出（类）粮油</w:t>
      </w:r>
      <w:r>
        <w:rPr>
          <w:rFonts w:hint="eastAsia" w:ascii="仿宋_GB2312" w:hAnsi="仿宋" w:eastAsia="仿宋_GB2312"/>
          <w:b/>
          <w:bCs/>
          <w:sz w:val="32"/>
          <w:szCs w:val="32"/>
          <w:lang w:eastAsia="zh-CN"/>
        </w:rPr>
        <w:t>物资</w:t>
      </w:r>
      <w:r>
        <w:rPr>
          <w:rFonts w:hint="eastAsia" w:ascii="仿宋_GB2312" w:hAnsi="仿宋" w:eastAsia="仿宋_GB2312"/>
          <w:b/>
          <w:bCs/>
          <w:sz w:val="32"/>
          <w:szCs w:val="32"/>
        </w:rPr>
        <w:t>事务（款）其他粮油</w:t>
      </w:r>
      <w:r>
        <w:rPr>
          <w:rFonts w:hint="eastAsia" w:ascii="仿宋_GB2312" w:hAnsi="仿宋" w:eastAsia="仿宋_GB2312"/>
          <w:b/>
          <w:bCs/>
          <w:sz w:val="32"/>
          <w:szCs w:val="32"/>
          <w:lang w:eastAsia="zh-CN"/>
        </w:rPr>
        <w:t>物资</w:t>
      </w:r>
      <w:r>
        <w:rPr>
          <w:rFonts w:hint="eastAsia" w:ascii="仿宋_GB2312" w:hAnsi="仿宋" w:eastAsia="仿宋_GB2312"/>
          <w:b/>
          <w:bCs/>
          <w:sz w:val="32"/>
          <w:szCs w:val="32"/>
        </w:rPr>
        <w:t>事务支出（项）</w:t>
      </w:r>
      <w:r>
        <w:rPr>
          <w:rFonts w:hint="eastAsia" w:ascii="仿宋_GB2312" w:hAnsi="仿宋" w:eastAsia="仿宋_GB2312"/>
          <w:b/>
          <w:bCs/>
          <w:sz w:val="32"/>
          <w:szCs w:val="32"/>
          <w:lang w:eastAsia="zh-CN"/>
        </w:rPr>
        <w:t>：</w:t>
      </w:r>
      <w:r>
        <w:rPr>
          <w:rStyle w:val="23"/>
          <w:rFonts w:hint="eastAsia" w:ascii="仿宋_GB2312" w:hAnsi="仿宋" w:eastAsia="仿宋_GB2312" w:cs="Times New Roman"/>
          <w:b w:val="0"/>
          <w:sz w:val="32"/>
          <w:szCs w:val="32"/>
        </w:rPr>
        <w:t>支出决算</w:t>
      </w:r>
      <w:r>
        <w:rPr>
          <w:rStyle w:val="23"/>
          <w:rFonts w:hint="eastAsia" w:ascii="仿宋_GB2312" w:hAnsi="仿宋" w:eastAsia="仿宋_GB2312" w:cs="Times New Roman"/>
          <w:b w:val="0"/>
          <w:sz w:val="32"/>
          <w:szCs w:val="32"/>
          <w:lang w:val="en-US" w:eastAsia="zh-CN"/>
        </w:rPr>
        <w:t>149.5</w:t>
      </w:r>
      <w:r>
        <w:rPr>
          <w:rStyle w:val="23"/>
          <w:rFonts w:hint="eastAsia" w:ascii="仿宋_GB2312" w:hAnsi="仿宋" w:eastAsia="仿宋_GB2312" w:cs="Times New Roman"/>
          <w:b w:val="0"/>
          <w:sz w:val="32"/>
          <w:szCs w:val="32"/>
        </w:rPr>
        <w:t>万元，完成预算</w:t>
      </w:r>
      <w:r>
        <w:rPr>
          <w:rStyle w:val="23"/>
          <w:rFonts w:hint="default" w:ascii="仿宋_GB2312" w:hAnsi="仿宋" w:eastAsia="仿宋_GB2312" w:cs="Times New Roman"/>
          <w:b w:val="0"/>
          <w:sz w:val="32"/>
          <w:szCs w:val="32"/>
        </w:rPr>
        <w:t>100</w:t>
      </w:r>
      <w:r>
        <w:rPr>
          <w:rStyle w:val="23"/>
          <w:rFonts w:hint="eastAsia" w:ascii="仿宋_GB2312" w:hAnsi="仿宋" w:eastAsia="仿宋_GB2312" w:cs="Times New Roman"/>
          <w:b w:val="0"/>
          <w:sz w:val="32"/>
          <w:szCs w:val="32"/>
        </w:rPr>
        <w:t>%</w:t>
      </w:r>
      <w:r>
        <w:rPr>
          <w:rStyle w:val="23"/>
          <w:rFonts w:hint="default" w:ascii="仿宋_GB2312" w:hAnsi="仿宋" w:eastAsia="仿宋_GB2312" w:cs="Times New Roman"/>
          <w:b w:val="0"/>
          <w:sz w:val="32"/>
          <w:szCs w:val="32"/>
        </w:rPr>
        <w:t xml:space="preserve">。    </w:t>
      </w:r>
    </w:p>
    <w:p w14:paraId="7CCBEEB7">
      <w:pPr>
        <w:pStyle w:val="29"/>
        <w:numPr>
          <w:ilvl w:val="0"/>
          <w:numId w:val="0"/>
        </w:numPr>
        <w:ind w:firstLine="643" w:firstLineChars="200"/>
        <w:rPr>
          <w:rStyle w:val="23"/>
          <w:rFonts w:hint="default" w:ascii="仿宋_GB2312" w:hAnsi="仿宋" w:eastAsia="仿宋_GB2312" w:cs="Times New Roman"/>
          <w:b w:val="0"/>
          <w:bCs/>
          <w:kern w:val="2"/>
          <w:sz w:val="32"/>
          <w:szCs w:val="32"/>
          <w:lang w:eastAsia="zh-CN" w:bidi="ar-SA"/>
        </w:rPr>
      </w:pPr>
      <w:r>
        <w:rPr>
          <w:rFonts w:hint="eastAsia" w:ascii="仿宋_GB2312" w:hAnsi="仿宋" w:eastAsia="仿宋_GB2312"/>
          <w:b/>
          <w:bCs/>
          <w:sz w:val="32"/>
          <w:szCs w:val="32"/>
        </w:rPr>
        <w:t>粮油</w:t>
      </w:r>
      <w:r>
        <w:rPr>
          <w:rFonts w:hint="eastAsia" w:ascii="仿宋_GB2312" w:hAnsi="仿宋" w:eastAsia="仿宋_GB2312"/>
          <w:b/>
          <w:bCs/>
          <w:sz w:val="32"/>
          <w:szCs w:val="32"/>
          <w:lang w:eastAsia="zh-CN"/>
        </w:rPr>
        <w:t>物资</w:t>
      </w:r>
      <w:r>
        <w:rPr>
          <w:rFonts w:hint="eastAsia" w:ascii="仿宋_GB2312" w:hAnsi="仿宋" w:eastAsia="仿宋_GB2312"/>
          <w:b/>
          <w:bCs/>
          <w:sz w:val="32"/>
          <w:szCs w:val="32"/>
        </w:rPr>
        <w:t>储备</w:t>
      </w:r>
      <w:r>
        <w:rPr>
          <w:rFonts w:hint="eastAsia" w:ascii="仿宋_GB2312" w:hAnsi="仿宋" w:eastAsia="仿宋_GB2312"/>
          <w:b/>
          <w:bCs/>
          <w:sz w:val="32"/>
          <w:szCs w:val="32"/>
          <w:lang w:eastAsia="zh-CN"/>
        </w:rPr>
        <w:t>支出</w:t>
      </w:r>
      <w:r>
        <w:rPr>
          <w:rFonts w:hint="eastAsia" w:ascii="仿宋_GB2312" w:hAnsi="仿宋" w:eastAsia="仿宋_GB2312"/>
          <w:b/>
          <w:bCs/>
          <w:sz w:val="32"/>
          <w:szCs w:val="32"/>
        </w:rPr>
        <w:t>（类）</w:t>
      </w:r>
      <w:r>
        <w:rPr>
          <w:rStyle w:val="23"/>
          <w:rFonts w:hint="eastAsia" w:ascii="仿宋_GB2312" w:hAnsi="仿宋" w:eastAsia="仿宋_GB2312" w:cs="Times New Roman"/>
          <w:b/>
          <w:bCs w:val="0"/>
          <w:kern w:val="2"/>
          <w:sz w:val="32"/>
          <w:szCs w:val="32"/>
          <w:lang w:val="en-US" w:eastAsia="zh-CN" w:bidi="ar-SA"/>
        </w:rPr>
        <w:t>重要商品储备（款）应急物资储备（项）：</w:t>
      </w:r>
      <w:r>
        <w:rPr>
          <w:rStyle w:val="23"/>
          <w:rFonts w:hint="eastAsia" w:ascii="仿宋_GB2312" w:hAnsi="仿宋" w:eastAsia="仿宋_GB2312" w:cs="Times New Roman"/>
          <w:b w:val="0"/>
          <w:bCs/>
          <w:kern w:val="2"/>
          <w:sz w:val="32"/>
          <w:szCs w:val="32"/>
          <w:lang w:val="en-US" w:eastAsia="zh-CN" w:bidi="ar-SA"/>
        </w:rPr>
        <w:t>支出决算数57.79万元，完成预算</w:t>
      </w:r>
      <w:r>
        <w:rPr>
          <w:rStyle w:val="23"/>
          <w:rFonts w:hint="default" w:ascii="仿宋_GB2312" w:hAnsi="仿宋" w:eastAsia="仿宋_GB2312" w:cs="Times New Roman"/>
          <w:b w:val="0"/>
          <w:bCs/>
          <w:kern w:val="2"/>
          <w:sz w:val="32"/>
          <w:szCs w:val="32"/>
          <w:lang w:eastAsia="zh-CN" w:bidi="ar-SA"/>
        </w:rPr>
        <w:t>100%。</w:t>
      </w:r>
    </w:p>
    <w:p w14:paraId="703930A6">
      <w:pPr>
        <w:pStyle w:val="29"/>
        <w:numPr>
          <w:ilvl w:val="0"/>
          <w:numId w:val="0"/>
        </w:numPr>
        <w:ind w:firstLine="643" w:firstLineChars="200"/>
        <w:rPr>
          <w:rFonts w:hint="default"/>
        </w:rPr>
      </w:pPr>
      <w:r>
        <w:rPr>
          <w:rStyle w:val="23"/>
          <w:rFonts w:hint="eastAsia" w:ascii="仿宋" w:hAnsi="仿宋" w:eastAsia="仿宋"/>
          <w:b/>
          <w:bCs w:val="0"/>
          <w:sz w:val="32"/>
          <w:szCs w:val="32"/>
          <w:lang w:val="en-US" w:eastAsia="zh-CN"/>
        </w:rPr>
        <w:t>7.</w:t>
      </w:r>
      <w:r>
        <w:rPr>
          <w:rStyle w:val="23"/>
          <w:rFonts w:hint="eastAsia" w:ascii="仿宋" w:hAnsi="仿宋" w:eastAsia="仿宋"/>
          <w:b/>
          <w:bCs w:val="0"/>
          <w:sz w:val="32"/>
          <w:szCs w:val="32"/>
          <w:lang w:eastAsia="zh-CN"/>
        </w:rPr>
        <w:t>其他支出（类）其他支出（款）其他支出（项）：</w:t>
      </w:r>
      <w:r>
        <w:rPr>
          <w:rStyle w:val="23"/>
          <w:rFonts w:hint="eastAsia" w:ascii="仿宋" w:hAnsi="仿宋" w:eastAsia="仿宋"/>
          <w:b w:val="0"/>
          <w:bCs/>
          <w:sz w:val="32"/>
          <w:szCs w:val="32"/>
          <w:lang w:eastAsia="zh-CN"/>
        </w:rPr>
        <w:t>支出决算数</w:t>
      </w:r>
      <w:r>
        <w:rPr>
          <w:rStyle w:val="23"/>
          <w:rFonts w:hint="eastAsia" w:ascii="仿宋" w:hAnsi="仿宋" w:eastAsia="仿宋"/>
          <w:b w:val="0"/>
          <w:bCs/>
          <w:sz w:val="32"/>
          <w:szCs w:val="32"/>
          <w:lang w:val="en-US" w:eastAsia="zh-CN"/>
        </w:rPr>
        <w:t>140.33万元，完成预算</w:t>
      </w:r>
      <w:r>
        <w:rPr>
          <w:rStyle w:val="23"/>
          <w:rFonts w:hint="default" w:ascii="仿宋" w:hAnsi="仿宋" w:eastAsia="仿宋"/>
          <w:b w:val="0"/>
          <w:bCs/>
          <w:sz w:val="32"/>
          <w:szCs w:val="32"/>
          <w:lang w:eastAsia="zh-CN"/>
        </w:rPr>
        <w:t>100</w:t>
      </w:r>
      <w:r>
        <w:rPr>
          <w:rStyle w:val="23"/>
          <w:rFonts w:hint="eastAsia" w:ascii="仿宋" w:hAnsi="仿宋" w:eastAsia="仿宋"/>
          <w:b w:val="0"/>
          <w:bCs/>
          <w:sz w:val="32"/>
          <w:szCs w:val="32"/>
          <w:lang w:val="en-US" w:eastAsia="zh-CN"/>
        </w:rPr>
        <w:t>%</w:t>
      </w:r>
      <w:r>
        <w:rPr>
          <w:rStyle w:val="23"/>
          <w:rFonts w:hint="default" w:ascii="仿宋" w:hAnsi="仿宋" w:eastAsia="仿宋"/>
          <w:b w:val="0"/>
          <w:bCs/>
          <w:sz w:val="32"/>
          <w:szCs w:val="32"/>
          <w:lang w:eastAsia="zh-CN"/>
        </w:rPr>
        <w:t>。</w:t>
      </w:r>
    </w:p>
    <w:p w14:paraId="0B515D4E">
      <w:pPr>
        <w:tabs>
          <w:tab w:val="right" w:pos="8306"/>
        </w:tabs>
        <w:spacing w:line="600" w:lineRule="exact"/>
        <w:ind w:firstLine="640"/>
        <w:outlineLvl w:val="1"/>
        <w:rPr>
          <w:rStyle w:val="26"/>
          <w:color w:val="auto"/>
          <w:highlight w:val="none"/>
        </w:rPr>
      </w:pPr>
      <w:bookmarkStart w:id="77" w:name="_Toc4027"/>
      <w:bookmarkStart w:id="78" w:name="_Toc15377214"/>
      <w:bookmarkStart w:id="79" w:name="_Toc15396608"/>
      <w:bookmarkStart w:id="80" w:name="_Toc18116"/>
      <w:r>
        <w:rPr>
          <w:rFonts w:hint="eastAsia" w:ascii="黑体" w:eastAsia="黑体"/>
          <w:color w:val="auto"/>
          <w:sz w:val="32"/>
          <w:szCs w:val="32"/>
          <w:highlight w:val="none"/>
        </w:rPr>
        <w:t>六</w:t>
      </w:r>
      <w:r>
        <w:rPr>
          <w:rFonts w:hint="eastAsia" w:ascii="黑体" w:eastAsia="黑体"/>
          <w:b/>
          <w:color w:val="auto"/>
          <w:sz w:val="32"/>
          <w:szCs w:val="32"/>
          <w:highlight w:val="none"/>
        </w:rPr>
        <w:t>、</w:t>
      </w:r>
      <w:r>
        <w:rPr>
          <w:rFonts w:hint="eastAsia" w:ascii="黑体" w:hAnsi="黑体" w:eastAsia="黑体"/>
          <w:b/>
          <w:color w:val="auto"/>
          <w:sz w:val="32"/>
          <w:szCs w:val="32"/>
          <w:highlight w:val="none"/>
        </w:rPr>
        <w:t>一</w:t>
      </w:r>
      <w:r>
        <w:rPr>
          <w:rStyle w:val="26"/>
          <w:rFonts w:hint="eastAsia" w:ascii="黑体" w:hAnsi="黑体" w:eastAsia="黑体"/>
          <w:b w:val="0"/>
          <w:color w:val="auto"/>
          <w:highlight w:val="none"/>
        </w:rPr>
        <w:t>般公共预算财政拨款基本支出决算情况说明</w:t>
      </w:r>
      <w:bookmarkEnd w:id="77"/>
      <w:bookmarkEnd w:id="78"/>
      <w:bookmarkEnd w:id="79"/>
      <w:bookmarkEnd w:id="80"/>
      <w:r>
        <w:rPr>
          <w:rStyle w:val="26"/>
          <w:rFonts w:ascii="黑体" w:hAnsi="黑体" w:eastAsia="黑体"/>
          <w:b w:val="0"/>
          <w:color w:val="auto"/>
          <w:highlight w:val="none"/>
        </w:rPr>
        <w:tab/>
      </w:r>
    </w:p>
    <w:p w14:paraId="0DBE89F7">
      <w:pPr>
        <w:spacing w:line="600" w:lineRule="exact"/>
        <w:ind w:firstLine="645"/>
        <w:rPr>
          <w:rFonts w:ascii="仿宋" w:hAnsi="仿宋" w:eastAsia="仿宋"/>
          <w:color w:val="auto"/>
          <w:sz w:val="32"/>
          <w:szCs w:val="32"/>
          <w:highlight w:val="none"/>
        </w:rPr>
      </w:pPr>
      <w:r>
        <w:rPr>
          <w:rFonts w:ascii="仿宋" w:hAnsi="仿宋" w:eastAsia="仿宋"/>
          <w:color w:val="auto"/>
          <w:sz w:val="32"/>
          <w:szCs w:val="32"/>
          <w:highlight w:val="none"/>
        </w:rPr>
        <w:t>20</w:t>
      </w:r>
      <w:r>
        <w:rPr>
          <w:rFonts w:hint="eastAsia" w:ascii="仿宋" w:hAnsi="仿宋" w:eastAsia="仿宋"/>
          <w:color w:val="auto"/>
          <w:sz w:val="32"/>
          <w:szCs w:val="32"/>
          <w:highlight w:val="none"/>
          <w:lang w:val="en-US" w:eastAsia="zh-CN"/>
        </w:rPr>
        <w:t>23</w:t>
      </w:r>
      <w:r>
        <w:rPr>
          <w:rFonts w:hint="eastAsia" w:ascii="仿宋" w:hAnsi="仿宋" w:eastAsia="仿宋"/>
          <w:color w:val="auto"/>
          <w:sz w:val="32"/>
          <w:szCs w:val="32"/>
          <w:highlight w:val="none"/>
        </w:rPr>
        <w:t>年一般公共预算财政拨款基本支出</w:t>
      </w:r>
      <w:r>
        <w:rPr>
          <w:rFonts w:hint="eastAsia" w:ascii="仿宋" w:hAnsi="仿宋" w:eastAsia="仿宋"/>
          <w:color w:val="auto"/>
          <w:sz w:val="32"/>
          <w:szCs w:val="32"/>
          <w:highlight w:val="none"/>
          <w:lang w:val="en-US" w:eastAsia="zh-CN"/>
        </w:rPr>
        <w:t>3182.99</w:t>
      </w:r>
      <w:r>
        <w:rPr>
          <w:rFonts w:hint="eastAsia" w:ascii="仿宋" w:hAnsi="仿宋" w:eastAsia="仿宋"/>
          <w:color w:val="auto"/>
          <w:sz w:val="32"/>
          <w:szCs w:val="32"/>
          <w:highlight w:val="none"/>
        </w:rPr>
        <w:t>万元，其中：</w:t>
      </w:r>
    </w:p>
    <w:p w14:paraId="773060E0">
      <w:pPr>
        <w:spacing w:line="600" w:lineRule="exact"/>
        <w:ind w:firstLine="645"/>
        <w:rPr>
          <w:rFonts w:hint="eastAsia" w:ascii="仿宋" w:hAnsi="仿宋" w:eastAsia="仿宋"/>
          <w:color w:val="auto"/>
          <w:sz w:val="32"/>
          <w:szCs w:val="32"/>
          <w:highlight w:val="none"/>
          <w:lang w:eastAsia="zh-CN"/>
        </w:rPr>
      </w:pPr>
      <w:r>
        <w:rPr>
          <w:rFonts w:hint="eastAsia" w:ascii="仿宋" w:hAnsi="仿宋" w:eastAsia="仿宋"/>
          <w:color w:val="auto"/>
          <w:sz w:val="32"/>
          <w:szCs w:val="32"/>
          <w:highlight w:val="none"/>
        </w:rPr>
        <w:t>人员经费</w:t>
      </w:r>
      <w:r>
        <w:rPr>
          <w:rFonts w:hint="eastAsia" w:ascii="仿宋" w:hAnsi="仿宋" w:eastAsia="仿宋"/>
          <w:color w:val="auto"/>
          <w:sz w:val="32"/>
          <w:szCs w:val="32"/>
          <w:highlight w:val="none"/>
          <w:lang w:val="en-US" w:eastAsia="zh-CN"/>
        </w:rPr>
        <w:t>2797.9</w:t>
      </w:r>
      <w:r>
        <w:rPr>
          <w:rFonts w:hint="eastAsia" w:ascii="仿宋" w:hAnsi="仿宋" w:eastAsia="仿宋"/>
          <w:color w:val="auto"/>
          <w:sz w:val="32"/>
          <w:szCs w:val="32"/>
          <w:highlight w:val="none"/>
        </w:rPr>
        <w:t>万元，主要包括：基本工资、津贴补贴、奖金、伙食补助费、绩效工资、机关事业单位基本养老保险缴费、职业年金缴费、</w:t>
      </w:r>
      <w:r>
        <w:rPr>
          <w:rFonts w:hint="eastAsia" w:ascii="仿宋" w:hAnsi="仿宋" w:eastAsia="仿宋"/>
          <w:color w:val="auto"/>
          <w:sz w:val="32"/>
          <w:szCs w:val="32"/>
          <w:highlight w:val="none"/>
          <w:lang w:eastAsia="zh-CN"/>
        </w:rPr>
        <w:t>职工基本医疗保险缴费、</w:t>
      </w:r>
      <w:r>
        <w:rPr>
          <w:rFonts w:hint="eastAsia" w:ascii="仿宋" w:hAnsi="仿宋" w:eastAsia="仿宋"/>
          <w:color w:val="auto"/>
          <w:sz w:val="32"/>
          <w:szCs w:val="32"/>
          <w:highlight w:val="none"/>
        </w:rPr>
        <w:t>其他社会保障缴费、住房公积金</w:t>
      </w:r>
      <w:r>
        <w:rPr>
          <w:rFonts w:hint="eastAsia" w:ascii="仿宋" w:hAnsi="仿宋" w:eastAsia="仿宋"/>
          <w:color w:val="auto"/>
          <w:sz w:val="32"/>
          <w:szCs w:val="32"/>
          <w:highlight w:val="none"/>
          <w:lang w:eastAsia="zh-CN"/>
        </w:rPr>
        <w:t>、</w:t>
      </w:r>
      <w:r>
        <w:rPr>
          <w:rFonts w:hint="eastAsia" w:ascii="仿宋" w:hAnsi="仿宋" w:eastAsia="仿宋"/>
          <w:color w:val="auto"/>
          <w:sz w:val="32"/>
          <w:szCs w:val="32"/>
          <w:highlight w:val="none"/>
        </w:rPr>
        <w:t>其他工资福利支出</w:t>
      </w:r>
      <w:r>
        <w:rPr>
          <w:rFonts w:hint="eastAsia" w:ascii="仿宋" w:hAnsi="仿宋" w:eastAsia="仿宋"/>
          <w:color w:val="auto"/>
          <w:sz w:val="32"/>
          <w:szCs w:val="32"/>
          <w:highlight w:val="none"/>
          <w:lang w:val="en-US" w:eastAsia="zh-CN"/>
        </w:rPr>
        <w:t>、离休费、抚恤金、生活补助、奖励金、其他对个人和家庭的补助</w:t>
      </w:r>
      <w:r>
        <w:rPr>
          <w:rFonts w:hint="eastAsia" w:ascii="仿宋" w:hAnsi="仿宋" w:eastAsia="仿宋"/>
          <w:color w:val="auto"/>
          <w:sz w:val="32"/>
          <w:szCs w:val="32"/>
          <w:highlight w:val="none"/>
        </w:rPr>
        <w:t>。</w:t>
      </w:r>
    </w:p>
    <w:p w14:paraId="2322ABC2">
      <w:pPr>
        <w:spacing w:line="600" w:lineRule="exact"/>
        <w:ind w:firstLine="645"/>
        <w:rPr>
          <w:rFonts w:ascii="仿宋" w:hAnsi="仿宋" w:eastAsia="仿宋"/>
          <w:b/>
          <w:color w:val="auto"/>
          <w:sz w:val="32"/>
          <w:szCs w:val="32"/>
          <w:highlight w:val="none"/>
        </w:rPr>
      </w:pPr>
      <w:r>
        <w:rPr>
          <w:rFonts w:hint="eastAsia" w:ascii="仿宋" w:hAnsi="仿宋" w:eastAsia="仿宋"/>
          <w:color w:val="auto"/>
          <w:sz w:val="32"/>
          <w:szCs w:val="32"/>
          <w:highlight w:val="none"/>
        </w:rPr>
        <w:t>公用经费</w:t>
      </w:r>
      <w:r>
        <w:rPr>
          <w:rFonts w:hint="eastAsia" w:ascii="仿宋" w:hAnsi="仿宋" w:eastAsia="仿宋"/>
          <w:color w:val="auto"/>
          <w:sz w:val="32"/>
          <w:szCs w:val="32"/>
          <w:highlight w:val="none"/>
          <w:lang w:val="en-US" w:eastAsia="zh-CN"/>
        </w:rPr>
        <w:t>385.09</w:t>
      </w:r>
      <w:r>
        <w:rPr>
          <w:rFonts w:hint="eastAsia" w:ascii="仿宋" w:hAnsi="仿宋" w:eastAsia="仿宋"/>
          <w:color w:val="auto"/>
          <w:sz w:val="32"/>
          <w:szCs w:val="32"/>
          <w:highlight w:val="none"/>
        </w:rPr>
        <w:t>万元，主要包括：办公费、印刷费、水费、电费、邮电费、物业管理费、差旅费、维修（护）费、</w:t>
      </w:r>
      <w:r>
        <w:rPr>
          <w:rFonts w:hint="eastAsia" w:ascii="仿宋" w:hAnsi="仿宋" w:eastAsia="仿宋"/>
          <w:color w:val="auto"/>
          <w:sz w:val="32"/>
          <w:szCs w:val="32"/>
          <w:highlight w:val="none"/>
          <w:lang w:eastAsia="zh-CN"/>
        </w:rPr>
        <w:t>会议费、</w:t>
      </w:r>
      <w:r>
        <w:rPr>
          <w:rFonts w:hint="eastAsia" w:ascii="仿宋" w:hAnsi="仿宋" w:eastAsia="仿宋"/>
          <w:color w:val="auto"/>
          <w:sz w:val="32"/>
          <w:szCs w:val="32"/>
          <w:highlight w:val="none"/>
        </w:rPr>
        <w:t>培训费、公务接待费、劳务费、工会经费、福利费、公务用车运行维护费、其他交通费、其他商品和服务支出</w:t>
      </w:r>
      <w:r>
        <w:rPr>
          <w:rFonts w:hint="eastAsia" w:ascii="仿宋" w:hAnsi="仿宋" w:eastAsia="仿宋"/>
          <w:color w:val="auto"/>
          <w:sz w:val="32"/>
          <w:szCs w:val="32"/>
          <w:highlight w:val="none"/>
          <w:lang w:eastAsia="zh-CN"/>
        </w:rPr>
        <w:t>。</w:t>
      </w:r>
    </w:p>
    <w:p w14:paraId="6AAE1A19">
      <w:pPr>
        <w:spacing w:line="600" w:lineRule="exact"/>
        <w:ind w:firstLine="640"/>
        <w:outlineLvl w:val="1"/>
        <w:rPr>
          <w:rStyle w:val="26"/>
          <w:rFonts w:ascii="黑体" w:hAnsi="黑体" w:eastAsia="黑体"/>
          <w:b w:val="0"/>
          <w:color w:val="auto"/>
          <w:highlight w:val="none"/>
        </w:rPr>
      </w:pPr>
      <w:bookmarkStart w:id="81" w:name="_Toc15377215"/>
      <w:bookmarkStart w:id="82" w:name="_Toc11352"/>
      <w:bookmarkStart w:id="83" w:name="_Toc15396609"/>
      <w:bookmarkStart w:id="84" w:name="_Toc7031"/>
      <w:r>
        <w:rPr>
          <w:rFonts w:hint="eastAsia" w:ascii="黑体" w:eastAsia="黑体"/>
          <w:color w:val="auto"/>
          <w:sz w:val="32"/>
          <w:szCs w:val="32"/>
          <w:highlight w:val="none"/>
        </w:rPr>
        <w:t>七、</w:t>
      </w:r>
      <w:r>
        <w:rPr>
          <w:rStyle w:val="26"/>
          <w:rFonts w:hint="eastAsia" w:ascii="黑体" w:hAnsi="黑体" w:eastAsia="黑体"/>
          <w:color w:val="auto"/>
          <w:highlight w:val="none"/>
        </w:rPr>
        <w:t>“</w:t>
      </w:r>
      <w:r>
        <w:rPr>
          <w:rStyle w:val="26"/>
          <w:rFonts w:hint="eastAsia" w:ascii="黑体" w:hAnsi="黑体" w:eastAsia="黑体"/>
          <w:b w:val="0"/>
          <w:color w:val="auto"/>
          <w:highlight w:val="none"/>
        </w:rPr>
        <w:t>三公”经费财政拨款支出决算情况说明</w:t>
      </w:r>
      <w:bookmarkEnd w:id="81"/>
      <w:bookmarkEnd w:id="82"/>
      <w:bookmarkEnd w:id="83"/>
      <w:bookmarkEnd w:id="84"/>
    </w:p>
    <w:p w14:paraId="538430D5">
      <w:pPr>
        <w:spacing w:line="600" w:lineRule="exact"/>
        <w:ind w:firstLine="640"/>
        <w:outlineLvl w:val="2"/>
        <w:rPr>
          <w:rFonts w:ascii="仿宋" w:hAnsi="仿宋" w:eastAsia="仿宋"/>
          <w:b/>
          <w:color w:val="auto"/>
          <w:sz w:val="32"/>
          <w:szCs w:val="32"/>
          <w:highlight w:val="none"/>
        </w:rPr>
      </w:pPr>
      <w:bookmarkStart w:id="85" w:name="_Toc15377216"/>
      <w:r>
        <w:rPr>
          <w:rFonts w:hint="eastAsia" w:ascii="仿宋" w:hAnsi="仿宋" w:eastAsia="仿宋"/>
          <w:b/>
          <w:color w:val="auto"/>
          <w:sz w:val="32"/>
          <w:szCs w:val="32"/>
          <w:highlight w:val="none"/>
        </w:rPr>
        <w:t>（一）“三公”经费财政拨款支出决算总体情况说明</w:t>
      </w:r>
      <w:bookmarkEnd w:id="85"/>
    </w:p>
    <w:p w14:paraId="1E144050">
      <w:pPr>
        <w:spacing w:line="600" w:lineRule="exact"/>
        <w:ind w:firstLine="640"/>
        <w:rPr>
          <w:rFonts w:hint="eastAsia" w:ascii="仿宋_GB2312" w:hAnsi="仿宋_GB2312" w:eastAsia="仿宋_GB2312" w:cs="仿宋_GB2312"/>
          <w:sz w:val="32"/>
          <w:szCs w:val="32"/>
        </w:rPr>
      </w:pPr>
      <w:r>
        <w:rPr>
          <w:rFonts w:ascii="仿宋" w:hAnsi="仿宋" w:eastAsia="仿宋"/>
          <w:color w:val="auto"/>
          <w:sz w:val="32"/>
          <w:szCs w:val="32"/>
          <w:highlight w:val="none"/>
        </w:rPr>
        <w:t>20</w:t>
      </w:r>
      <w:r>
        <w:rPr>
          <w:rFonts w:hint="eastAsia" w:ascii="仿宋" w:hAnsi="仿宋" w:eastAsia="仿宋"/>
          <w:color w:val="auto"/>
          <w:sz w:val="32"/>
          <w:szCs w:val="32"/>
          <w:highlight w:val="none"/>
          <w:lang w:val="en-US" w:eastAsia="zh-CN"/>
        </w:rPr>
        <w:t>23</w:t>
      </w:r>
      <w:r>
        <w:rPr>
          <w:rFonts w:hint="eastAsia" w:ascii="仿宋" w:hAnsi="仿宋" w:eastAsia="仿宋"/>
          <w:color w:val="auto"/>
          <w:sz w:val="32"/>
          <w:szCs w:val="32"/>
          <w:highlight w:val="none"/>
        </w:rPr>
        <w:t>年“三公”经费财政拨款支出决算为</w:t>
      </w:r>
      <w:r>
        <w:rPr>
          <w:rFonts w:hint="eastAsia" w:ascii="仿宋" w:hAnsi="仿宋" w:eastAsia="仿宋"/>
          <w:color w:val="auto"/>
          <w:sz w:val="32"/>
          <w:szCs w:val="32"/>
          <w:highlight w:val="none"/>
          <w:lang w:val="en-US" w:eastAsia="zh-CN"/>
        </w:rPr>
        <w:t>20.35</w:t>
      </w:r>
      <w:r>
        <w:rPr>
          <w:rFonts w:hint="eastAsia" w:ascii="仿宋" w:hAnsi="仿宋" w:eastAsia="仿宋"/>
          <w:color w:val="auto"/>
          <w:sz w:val="32"/>
          <w:szCs w:val="32"/>
          <w:highlight w:val="none"/>
        </w:rPr>
        <w:t>万元，完成预算</w:t>
      </w:r>
      <w:r>
        <w:rPr>
          <w:rFonts w:hint="eastAsia" w:ascii="仿宋" w:hAnsi="仿宋" w:eastAsia="仿宋"/>
          <w:color w:val="auto"/>
          <w:sz w:val="32"/>
          <w:szCs w:val="32"/>
          <w:highlight w:val="none"/>
          <w:lang w:val="en-US" w:eastAsia="zh-CN"/>
        </w:rPr>
        <w:t>94.30</w:t>
      </w:r>
      <w:r>
        <w:rPr>
          <w:rFonts w:ascii="仿宋" w:hAnsi="仿宋" w:eastAsia="仿宋"/>
          <w:color w:val="auto"/>
          <w:sz w:val="32"/>
          <w:szCs w:val="32"/>
          <w:highlight w:val="none"/>
        </w:rPr>
        <w:t>%</w:t>
      </w:r>
      <w:r>
        <w:rPr>
          <w:rFonts w:hint="eastAsia" w:ascii="仿宋" w:hAnsi="仿宋" w:eastAsia="仿宋"/>
          <w:color w:val="auto"/>
          <w:sz w:val="32"/>
          <w:szCs w:val="32"/>
          <w:highlight w:val="none"/>
          <w:lang w:eastAsia="zh-CN"/>
        </w:rPr>
        <w:t>，</w:t>
      </w:r>
      <w:r>
        <w:rPr>
          <w:rFonts w:hint="eastAsia" w:ascii="仿宋_GB2312" w:hAnsi="仿宋_GB2312" w:eastAsia="仿宋_GB2312" w:cs="仿宋_GB2312"/>
          <w:sz w:val="32"/>
          <w:szCs w:val="32"/>
        </w:rPr>
        <w:t>较</w:t>
      </w:r>
      <w:r>
        <w:rPr>
          <w:rFonts w:hint="eastAsia" w:ascii="仿宋_GB2312" w:hAnsi="仿宋_GB2312" w:eastAsia="仿宋_GB2312" w:cs="仿宋_GB2312"/>
          <w:color w:val="auto"/>
          <w:sz w:val="32"/>
          <w:szCs w:val="32"/>
        </w:rPr>
        <w:t>上年度增加0.3</w:t>
      </w:r>
      <w:r>
        <w:rPr>
          <w:rFonts w:hint="eastAsia" w:ascii="仿宋_GB2312" w:hAnsi="仿宋_GB2312" w:eastAsia="仿宋_GB2312" w:cs="仿宋_GB2312"/>
          <w:color w:val="auto"/>
          <w:sz w:val="32"/>
          <w:szCs w:val="32"/>
          <w:lang w:val="en-US" w:eastAsia="zh-CN"/>
        </w:rPr>
        <w:t>5</w:t>
      </w:r>
      <w:r>
        <w:rPr>
          <w:rFonts w:hint="eastAsia" w:ascii="仿宋_GB2312" w:hAnsi="仿宋_GB2312" w:eastAsia="仿宋_GB2312" w:cs="仿宋_GB2312"/>
          <w:color w:val="auto"/>
          <w:sz w:val="32"/>
          <w:szCs w:val="32"/>
        </w:rPr>
        <w:t>万元，增长1.7</w:t>
      </w:r>
      <w:r>
        <w:rPr>
          <w:rFonts w:hint="eastAsia" w:ascii="仿宋_GB2312" w:hAnsi="仿宋_GB2312" w:eastAsia="仿宋_GB2312" w:cs="仿宋_GB2312"/>
          <w:color w:val="auto"/>
          <w:sz w:val="32"/>
          <w:szCs w:val="32"/>
          <w:lang w:val="en-US" w:eastAsia="zh-CN"/>
        </w:rPr>
        <w:t>5</w:t>
      </w:r>
      <w:r>
        <w:rPr>
          <w:rFonts w:hint="eastAsia" w:ascii="仿宋_GB2312" w:hAnsi="仿宋_GB2312" w:eastAsia="仿宋_GB2312" w:cs="仿宋_GB2312"/>
          <w:color w:val="auto"/>
          <w:sz w:val="32"/>
          <w:szCs w:val="32"/>
        </w:rPr>
        <w:t>%。</w:t>
      </w:r>
      <w:r>
        <w:rPr>
          <w:rFonts w:hint="eastAsia" w:ascii="仿宋_GB2312" w:hAnsi="仿宋_GB2312" w:eastAsia="仿宋_GB2312" w:cs="仿宋_GB2312"/>
          <w:sz w:val="32"/>
          <w:szCs w:val="32"/>
        </w:rPr>
        <w:t>决算数小于预算数的主要原因是委机关控制公务用车运行及维护费、公务接待支出经费支出降低。</w:t>
      </w:r>
    </w:p>
    <w:p w14:paraId="7D25C39E">
      <w:pPr>
        <w:spacing w:line="600" w:lineRule="exact"/>
        <w:ind w:firstLine="640"/>
        <w:rPr>
          <w:rFonts w:ascii="仿宋" w:hAnsi="仿宋" w:eastAsia="仿宋"/>
          <w:color w:val="000000" w:themeColor="text1"/>
          <w:sz w:val="32"/>
          <w:szCs w:val="32"/>
          <w:highlight w:val="none"/>
          <w14:textFill>
            <w14:solidFill>
              <w14:schemeClr w14:val="tx1"/>
            </w14:solidFill>
          </w14:textFill>
        </w:rPr>
      </w:pPr>
      <w:r>
        <w:rPr>
          <w:rFonts w:hint="eastAsia" w:ascii="仿宋" w:hAnsi="仿宋" w:eastAsia="仿宋"/>
          <w:color w:val="000000" w:themeColor="text1"/>
          <w:sz w:val="32"/>
          <w:szCs w:val="32"/>
          <w:highlight w:val="none"/>
          <w14:textFill>
            <w14:solidFill>
              <w14:schemeClr w14:val="tx1"/>
            </w14:solidFill>
          </w14:textFill>
        </w:rPr>
        <w:t>我</w:t>
      </w:r>
      <w:r>
        <w:rPr>
          <w:rFonts w:hint="eastAsia" w:ascii="仿宋" w:hAnsi="仿宋" w:eastAsia="仿宋"/>
          <w:color w:val="000000" w:themeColor="text1"/>
          <w:sz w:val="32"/>
          <w:szCs w:val="32"/>
          <w:highlight w:val="none"/>
          <w:lang w:eastAsia="zh-CN"/>
          <w14:textFill>
            <w14:solidFill>
              <w14:schemeClr w14:val="tx1"/>
            </w14:solidFill>
          </w14:textFill>
        </w:rPr>
        <w:t>委</w:t>
      </w:r>
      <w:r>
        <w:rPr>
          <w:rFonts w:hint="eastAsia" w:ascii="仿宋" w:hAnsi="仿宋" w:eastAsia="仿宋"/>
          <w:color w:val="000000" w:themeColor="text1"/>
          <w:sz w:val="32"/>
          <w:szCs w:val="32"/>
          <w:highlight w:val="none"/>
          <w14:textFill>
            <w14:solidFill>
              <w14:schemeClr w14:val="tx1"/>
            </w14:solidFill>
          </w14:textFill>
        </w:rPr>
        <w:t>无政府性基金安排的“三公”经费预算拨款及支出。</w:t>
      </w:r>
    </w:p>
    <w:p w14:paraId="66D7B9F0">
      <w:pPr>
        <w:spacing w:line="600" w:lineRule="exact"/>
        <w:ind w:firstLine="640"/>
        <w:outlineLvl w:val="2"/>
        <w:rPr>
          <w:rFonts w:ascii="仿宋" w:hAnsi="仿宋" w:eastAsia="仿宋"/>
          <w:b/>
          <w:color w:val="auto"/>
          <w:sz w:val="32"/>
          <w:szCs w:val="32"/>
          <w:highlight w:val="none"/>
        </w:rPr>
      </w:pPr>
      <w:bookmarkStart w:id="86" w:name="_Toc15377217"/>
      <w:r>
        <w:rPr>
          <w:rFonts w:hint="eastAsia" w:ascii="仿宋" w:hAnsi="仿宋" w:eastAsia="仿宋"/>
          <w:b/>
          <w:color w:val="auto"/>
          <w:sz w:val="32"/>
          <w:szCs w:val="32"/>
          <w:highlight w:val="none"/>
        </w:rPr>
        <w:t>（二）“三公”经费财政拨款支出决算具体情况说明</w:t>
      </w:r>
      <w:bookmarkEnd w:id="86"/>
    </w:p>
    <w:p w14:paraId="40BAFC46">
      <w:pPr>
        <w:spacing w:line="600" w:lineRule="exact"/>
        <w:ind w:firstLine="640"/>
        <w:rPr>
          <w:rFonts w:hint="eastAsia" w:ascii="仿宋" w:hAnsi="仿宋" w:eastAsia="仿宋"/>
          <w:color w:val="auto"/>
          <w:sz w:val="32"/>
          <w:szCs w:val="32"/>
          <w:highlight w:val="none"/>
        </w:rPr>
      </w:pPr>
      <w:r>
        <w:rPr>
          <w:rFonts w:hint="eastAsia" w:ascii="仿宋" w:hAnsi="仿宋" w:eastAsia="仿宋"/>
          <w:color w:val="000000"/>
          <w:sz w:val="32"/>
          <w:szCs w:val="32"/>
        </w:rPr>
        <w:pict>
          <v:shape id="Object 13" o:spid="_x0000_s2056" o:spt="75" type="#_x0000_t75" style="position:absolute;left:0pt;margin-left:78.9pt;margin-top:108.2pt;height:201.9pt;width:332.35pt;z-index:251666432;mso-width-relative:page;mso-height-relative:page;" o:ole="t" filled="f" o:preferrelative="t" stroked="f" coordsize="21600,21600">
            <v:path/>
            <v:fill on="f" focussize="0,0"/>
            <v:stroke on="f"/>
            <v:imagedata r:id="rId29" o:title=""/>
            <o:lock v:ext="edit" aspectratio="t"/>
          </v:shape>
          <o:OLEObject Type="Embed" ProgID="Excel.Chart.8" ShapeID="Object 13" DrawAspect="Content" ObjectID="_1468075731" r:id="rId28">
            <o:LockedField>false</o:LockedField>
          </o:OLEObject>
        </w:pict>
      </w:r>
      <w:r>
        <w:rPr>
          <w:rFonts w:ascii="仿宋" w:hAnsi="仿宋" w:eastAsia="仿宋"/>
          <w:color w:val="auto"/>
          <w:sz w:val="32"/>
          <w:szCs w:val="32"/>
          <w:highlight w:val="none"/>
        </w:rPr>
        <w:t>20</w:t>
      </w:r>
      <w:r>
        <w:rPr>
          <w:rFonts w:hint="eastAsia" w:ascii="仿宋" w:hAnsi="仿宋" w:eastAsia="仿宋"/>
          <w:color w:val="auto"/>
          <w:sz w:val="32"/>
          <w:szCs w:val="32"/>
          <w:highlight w:val="none"/>
          <w:lang w:val="en-US" w:eastAsia="zh-CN"/>
        </w:rPr>
        <w:t>23</w:t>
      </w:r>
      <w:r>
        <w:rPr>
          <w:rFonts w:hint="eastAsia" w:ascii="仿宋" w:hAnsi="仿宋" w:eastAsia="仿宋"/>
          <w:color w:val="auto"/>
          <w:sz w:val="32"/>
          <w:szCs w:val="32"/>
          <w:highlight w:val="none"/>
        </w:rPr>
        <w:t>年“三公”经费财政拨款支出决算中，因公出国（境）费支出决算</w:t>
      </w:r>
      <w:r>
        <w:rPr>
          <w:rFonts w:hint="eastAsia" w:ascii="仿宋" w:hAnsi="仿宋" w:eastAsia="仿宋"/>
          <w:color w:val="auto"/>
          <w:sz w:val="32"/>
          <w:szCs w:val="32"/>
          <w:highlight w:val="none"/>
          <w:lang w:val="en-US" w:eastAsia="zh-CN"/>
        </w:rPr>
        <w:t>0</w:t>
      </w:r>
      <w:r>
        <w:rPr>
          <w:rFonts w:hint="eastAsia" w:ascii="仿宋" w:hAnsi="仿宋" w:eastAsia="仿宋"/>
          <w:color w:val="auto"/>
          <w:sz w:val="32"/>
          <w:szCs w:val="32"/>
          <w:highlight w:val="none"/>
        </w:rPr>
        <w:t>万元；公务用车购置及运行维护费支出决算</w:t>
      </w:r>
      <w:r>
        <w:rPr>
          <w:rFonts w:hint="eastAsia" w:ascii="仿宋" w:hAnsi="仿宋" w:eastAsia="仿宋"/>
          <w:color w:val="auto"/>
          <w:sz w:val="32"/>
          <w:szCs w:val="32"/>
          <w:highlight w:val="none"/>
          <w:lang w:val="en-US" w:eastAsia="zh-CN"/>
        </w:rPr>
        <w:t>15.52</w:t>
      </w:r>
      <w:r>
        <w:rPr>
          <w:rFonts w:hint="eastAsia" w:ascii="仿宋" w:hAnsi="仿宋" w:eastAsia="仿宋"/>
          <w:color w:val="auto"/>
          <w:sz w:val="32"/>
          <w:szCs w:val="32"/>
          <w:highlight w:val="none"/>
        </w:rPr>
        <w:t>万元，占</w:t>
      </w:r>
      <w:r>
        <w:rPr>
          <w:rFonts w:hint="eastAsia" w:ascii="仿宋" w:hAnsi="仿宋" w:eastAsia="仿宋"/>
          <w:color w:val="auto"/>
          <w:sz w:val="32"/>
          <w:szCs w:val="32"/>
          <w:highlight w:val="none"/>
          <w:lang w:val="en-US" w:eastAsia="zh-CN"/>
        </w:rPr>
        <w:t>76</w:t>
      </w:r>
      <w:r>
        <w:rPr>
          <w:rFonts w:ascii="仿宋" w:hAnsi="仿宋" w:eastAsia="仿宋"/>
          <w:color w:val="auto"/>
          <w:sz w:val="32"/>
          <w:szCs w:val="32"/>
          <w:highlight w:val="none"/>
        </w:rPr>
        <w:t>%</w:t>
      </w:r>
      <w:r>
        <w:rPr>
          <w:rFonts w:hint="eastAsia" w:ascii="仿宋" w:hAnsi="仿宋" w:eastAsia="仿宋"/>
          <w:color w:val="auto"/>
          <w:sz w:val="32"/>
          <w:szCs w:val="32"/>
          <w:highlight w:val="none"/>
        </w:rPr>
        <w:t>；公务接待费支出决</w:t>
      </w:r>
      <w:r>
        <w:rPr>
          <w:rFonts w:hint="eastAsia" w:ascii="仿宋" w:hAnsi="仿宋" w:eastAsia="仿宋"/>
          <w:color w:val="auto"/>
          <w:sz w:val="32"/>
          <w:szCs w:val="32"/>
          <w:highlight w:val="none"/>
          <w:lang w:eastAsia="zh-CN"/>
        </w:rPr>
        <w:t>算</w:t>
      </w:r>
      <w:r>
        <w:rPr>
          <w:rFonts w:hint="eastAsia" w:ascii="仿宋" w:hAnsi="仿宋" w:eastAsia="仿宋"/>
          <w:color w:val="auto"/>
          <w:sz w:val="32"/>
          <w:szCs w:val="32"/>
          <w:highlight w:val="none"/>
          <w:lang w:val="en-US" w:eastAsia="zh-CN"/>
        </w:rPr>
        <w:t>4.82</w:t>
      </w:r>
      <w:r>
        <w:rPr>
          <w:rFonts w:hint="eastAsia" w:ascii="仿宋" w:hAnsi="仿宋" w:eastAsia="仿宋"/>
          <w:color w:val="auto"/>
          <w:sz w:val="32"/>
          <w:szCs w:val="32"/>
          <w:highlight w:val="none"/>
        </w:rPr>
        <w:t>万元，占</w:t>
      </w:r>
      <w:r>
        <w:rPr>
          <w:rFonts w:hint="eastAsia" w:ascii="仿宋" w:hAnsi="仿宋" w:eastAsia="仿宋"/>
          <w:color w:val="auto"/>
          <w:sz w:val="32"/>
          <w:szCs w:val="32"/>
          <w:highlight w:val="none"/>
          <w:lang w:val="en-US" w:eastAsia="zh-CN"/>
        </w:rPr>
        <w:t>24</w:t>
      </w:r>
      <w:r>
        <w:rPr>
          <w:rFonts w:ascii="仿宋" w:hAnsi="仿宋" w:eastAsia="仿宋"/>
          <w:color w:val="auto"/>
          <w:sz w:val="32"/>
          <w:szCs w:val="32"/>
          <w:highlight w:val="none"/>
        </w:rPr>
        <w:t>%</w:t>
      </w:r>
      <w:r>
        <w:rPr>
          <w:rFonts w:hint="eastAsia" w:ascii="仿宋" w:hAnsi="仿宋" w:eastAsia="仿宋"/>
          <w:color w:val="auto"/>
          <w:sz w:val="32"/>
          <w:szCs w:val="32"/>
          <w:highlight w:val="none"/>
        </w:rPr>
        <w:t>。具体情况如下：</w:t>
      </w:r>
    </w:p>
    <w:p w14:paraId="7A860C12">
      <w:pPr>
        <w:pStyle w:val="8"/>
        <w:rPr>
          <w:rFonts w:hint="eastAsia" w:ascii="仿宋" w:hAnsi="仿宋" w:eastAsia="仿宋"/>
          <w:color w:val="auto"/>
          <w:sz w:val="32"/>
          <w:szCs w:val="32"/>
          <w:highlight w:val="none"/>
        </w:rPr>
      </w:pPr>
    </w:p>
    <w:p w14:paraId="1EA2C230">
      <w:pPr>
        <w:pStyle w:val="8"/>
        <w:rPr>
          <w:rFonts w:hint="eastAsia" w:ascii="仿宋" w:hAnsi="仿宋" w:eastAsia="仿宋"/>
          <w:color w:val="auto"/>
          <w:sz w:val="32"/>
          <w:szCs w:val="32"/>
          <w:highlight w:val="none"/>
        </w:rPr>
      </w:pPr>
    </w:p>
    <w:p w14:paraId="3CD1FB9B">
      <w:pPr>
        <w:pStyle w:val="8"/>
        <w:rPr>
          <w:rFonts w:hint="eastAsia" w:ascii="仿宋" w:hAnsi="仿宋" w:eastAsia="仿宋"/>
          <w:color w:val="auto"/>
          <w:sz w:val="32"/>
          <w:szCs w:val="32"/>
          <w:highlight w:val="none"/>
        </w:rPr>
      </w:pPr>
    </w:p>
    <w:p w14:paraId="0354A9E7">
      <w:pPr>
        <w:pStyle w:val="8"/>
        <w:rPr>
          <w:rFonts w:hint="eastAsia" w:ascii="仿宋" w:hAnsi="仿宋" w:eastAsia="仿宋"/>
          <w:color w:val="auto"/>
          <w:sz w:val="32"/>
          <w:szCs w:val="32"/>
          <w:highlight w:val="none"/>
        </w:rPr>
      </w:pPr>
    </w:p>
    <w:p w14:paraId="15D0F9E9">
      <w:pPr>
        <w:pStyle w:val="8"/>
        <w:rPr>
          <w:rFonts w:hint="eastAsia" w:ascii="仿宋" w:hAnsi="仿宋" w:eastAsia="仿宋"/>
          <w:color w:val="auto"/>
          <w:sz w:val="32"/>
          <w:szCs w:val="32"/>
          <w:highlight w:val="none"/>
        </w:rPr>
      </w:pPr>
    </w:p>
    <w:p w14:paraId="1DFDC31A">
      <w:pPr>
        <w:spacing w:line="600" w:lineRule="exact"/>
        <w:ind w:firstLine="640"/>
        <w:rPr>
          <w:rFonts w:hint="eastAsia" w:ascii="仿宋" w:hAnsi="仿宋" w:eastAsia="仿宋"/>
          <w:color w:val="auto"/>
          <w:sz w:val="32"/>
          <w:szCs w:val="32"/>
          <w:highlight w:val="none"/>
        </w:rPr>
      </w:pPr>
    </w:p>
    <w:p w14:paraId="5F8B045B">
      <w:pPr>
        <w:spacing w:line="600" w:lineRule="exact"/>
        <w:ind w:firstLine="1280" w:firstLineChars="400"/>
        <w:jc w:val="center"/>
        <w:rPr>
          <w:rFonts w:hint="eastAsia" w:ascii="仿宋" w:hAnsi="仿宋" w:eastAsia="仿宋"/>
          <w:color w:val="auto"/>
          <w:sz w:val="32"/>
          <w:szCs w:val="32"/>
          <w:highlight w:val="none"/>
        </w:rPr>
      </w:pPr>
    </w:p>
    <w:p w14:paraId="04B0CFF7">
      <w:pPr>
        <w:spacing w:line="600" w:lineRule="exact"/>
        <w:ind w:firstLine="1280" w:firstLineChars="400"/>
        <w:jc w:val="center"/>
        <w:rPr>
          <w:rFonts w:ascii="仿宋" w:hAnsi="仿宋" w:eastAsia="仿宋"/>
          <w:color w:val="auto"/>
          <w:sz w:val="32"/>
          <w:szCs w:val="32"/>
          <w:highlight w:val="none"/>
        </w:rPr>
      </w:pPr>
      <w:r>
        <w:rPr>
          <w:rFonts w:hint="eastAsia" w:ascii="仿宋" w:hAnsi="仿宋" w:eastAsia="仿宋"/>
          <w:color w:val="auto"/>
          <w:sz w:val="32"/>
          <w:szCs w:val="32"/>
          <w:highlight w:val="none"/>
        </w:rPr>
        <w:t>（图7：“三公”经费财政拨款支出结构）</w:t>
      </w:r>
    </w:p>
    <w:p w14:paraId="38E2DB78">
      <w:pPr>
        <w:spacing w:line="576" w:lineRule="exact"/>
        <w:ind w:firstLine="640"/>
        <w:rPr>
          <w:rFonts w:hint="eastAsia" w:ascii="仿宋_GB2312" w:eastAsia="仿宋_GB2312"/>
          <w:color w:val="auto"/>
          <w:sz w:val="32"/>
          <w:szCs w:val="32"/>
          <w:highlight w:val="none"/>
        </w:rPr>
      </w:pPr>
      <w:r>
        <w:rPr>
          <w:rFonts w:hint="eastAsia" w:ascii="仿宋_GB2312" w:eastAsia="仿宋_GB2312"/>
          <w:b/>
          <w:color w:val="000000"/>
          <w:sz w:val="32"/>
          <w:szCs w:val="32"/>
        </w:rPr>
        <w:t>1.因公出国（境）经费支出0</w:t>
      </w:r>
      <w:r>
        <w:rPr>
          <w:rFonts w:hint="eastAsia" w:ascii="仿宋_GB2312" w:eastAsia="仿宋_GB2312"/>
          <w:color w:val="000000"/>
          <w:sz w:val="32"/>
          <w:szCs w:val="32"/>
        </w:rPr>
        <w:t>万元</w:t>
      </w:r>
      <w:r>
        <w:rPr>
          <w:rFonts w:hint="eastAsia" w:ascii="仿宋_GB2312" w:hAnsi="仿宋" w:eastAsia="仿宋_GB2312"/>
          <w:color w:val="000000"/>
          <w:sz w:val="32"/>
          <w:szCs w:val="32"/>
          <w:lang w:eastAsia="zh-CN"/>
        </w:rPr>
        <w:t>，</w:t>
      </w:r>
      <w:r>
        <w:rPr>
          <w:rFonts w:hint="eastAsia" w:ascii="仿宋_GB2312" w:hAnsi="仿宋" w:eastAsia="仿宋_GB2312"/>
          <w:color w:val="000000"/>
          <w:sz w:val="32"/>
          <w:szCs w:val="32"/>
          <w:lang w:val="en-US" w:eastAsia="zh-CN"/>
        </w:rPr>
        <w:t>年初未安排预算数</w:t>
      </w:r>
      <w:r>
        <w:rPr>
          <w:rFonts w:hint="eastAsia" w:ascii="仿宋_GB2312" w:hAnsi="仿宋" w:eastAsia="仿宋_GB2312"/>
          <w:color w:val="000000"/>
          <w:sz w:val="32"/>
          <w:szCs w:val="32"/>
        </w:rPr>
        <w:t>。因公出国（境）支出决算</w:t>
      </w:r>
      <w:r>
        <w:rPr>
          <w:rFonts w:hint="eastAsia" w:ascii="仿宋_GB2312" w:hAnsi="仿宋" w:eastAsia="仿宋_GB2312"/>
          <w:color w:val="000000"/>
          <w:sz w:val="32"/>
          <w:szCs w:val="32"/>
          <w:lang w:eastAsia="zh-CN"/>
        </w:rPr>
        <w:t>较</w:t>
      </w:r>
      <w:r>
        <w:rPr>
          <w:rFonts w:hint="eastAsia" w:ascii="仿宋_GB2312" w:hAnsi="仿宋" w:eastAsia="仿宋_GB2312"/>
          <w:color w:val="000000"/>
          <w:sz w:val="32"/>
          <w:szCs w:val="32"/>
        </w:rPr>
        <w:t>2</w:t>
      </w:r>
      <w:r>
        <w:rPr>
          <w:rFonts w:hint="eastAsia" w:ascii="仿宋_GB2312" w:hAnsi="仿宋" w:eastAsia="仿宋_GB2312"/>
          <w:color w:val="000000"/>
          <w:sz w:val="32"/>
          <w:szCs w:val="32"/>
          <w:lang w:val="en-US" w:eastAsia="zh-CN"/>
        </w:rPr>
        <w:t>022</w:t>
      </w:r>
      <w:r>
        <w:rPr>
          <w:rFonts w:hint="eastAsia" w:ascii="仿宋_GB2312" w:hAnsi="仿宋" w:eastAsia="仿宋_GB2312"/>
          <w:color w:val="000000"/>
          <w:sz w:val="32"/>
          <w:szCs w:val="32"/>
        </w:rPr>
        <w:t>年</w:t>
      </w:r>
      <w:r>
        <w:rPr>
          <w:rFonts w:hint="eastAsia" w:ascii="仿宋_GB2312" w:hAnsi="仿宋" w:eastAsia="仿宋_GB2312"/>
          <w:color w:val="000000"/>
          <w:sz w:val="32"/>
          <w:szCs w:val="32"/>
          <w:lang w:eastAsia="zh-CN"/>
        </w:rPr>
        <w:t>无变化</w:t>
      </w:r>
      <w:r>
        <w:rPr>
          <w:rFonts w:hint="eastAsia" w:ascii="仿宋_GB2312" w:hAnsi="仿宋" w:eastAsia="仿宋_GB2312"/>
          <w:color w:val="000000"/>
          <w:sz w:val="32"/>
          <w:szCs w:val="32"/>
        </w:rPr>
        <w:t>。</w:t>
      </w:r>
    </w:p>
    <w:p w14:paraId="573AF065">
      <w:pPr>
        <w:spacing w:line="600" w:lineRule="exact"/>
        <w:ind w:firstLine="640"/>
        <w:rPr>
          <w:rFonts w:ascii="仿宋_GB2312" w:eastAsia="仿宋_GB2312"/>
          <w:b/>
          <w:color w:val="0000FF"/>
          <w:sz w:val="32"/>
          <w:szCs w:val="32"/>
          <w:highlight w:val="none"/>
        </w:rPr>
      </w:pPr>
      <w:r>
        <w:rPr>
          <w:rFonts w:ascii="仿宋_GB2312" w:eastAsia="仿宋_GB2312"/>
          <w:b/>
          <w:color w:val="auto"/>
          <w:sz w:val="32"/>
          <w:szCs w:val="32"/>
          <w:highlight w:val="none"/>
        </w:rPr>
        <w:t>2.</w:t>
      </w:r>
      <w:r>
        <w:rPr>
          <w:rFonts w:hint="eastAsia" w:ascii="仿宋_GB2312" w:eastAsia="仿宋_GB2312"/>
          <w:b/>
          <w:color w:val="auto"/>
          <w:sz w:val="32"/>
          <w:szCs w:val="32"/>
          <w:highlight w:val="none"/>
        </w:rPr>
        <w:t>公务用车购置及运行维护费支出</w:t>
      </w:r>
      <w:r>
        <w:rPr>
          <w:rFonts w:hint="eastAsia" w:ascii="仿宋_GB2312" w:eastAsia="仿宋_GB2312"/>
          <w:b/>
          <w:color w:val="auto"/>
          <w:sz w:val="32"/>
          <w:szCs w:val="32"/>
          <w:highlight w:val="none"/>
          <w:lang w:val="en-US" w:eastAsia="zh-CN"/>
        </w:rPr>
        <w:t>15.52</w:t>
      </w:r>
      <w:r>
        <w:rPr>
          <w:rFonts w:hint="eastAsia" w:ascii="仿宋_GB2312" w:eastAsia="仿宋_GB2312"/>
          <w:color w:val="auto"/>
          <w:sz w:val="32"/>
          <w:szCs w:val="32"/>
          <w:highlight w:val="none"/>
        </w:rPr>
        <w:t>万元</w:t>
      </w:r>
      <w:r>
        <w:rPr>
          <w:rFonts w:hint="eastAsia" w:ascii="仿宋_GB2312" w:eastAsia="仿宋_GB2312"/>
          <w:color w:val="auto"/>
          <w:sz w:val="32"/>
          <w:szCs w:val="32"/>
          <w:highlight w:val="none"/>
          <w:lang w:eastAsia="zh-CN"/>
        </w:rPr>
        <w:t>，</w:t>
      </w:r>
      <w:r>
        <w:rPr>
          <w:rStyle w:val="23"/>
          <w:rFonts w:hint="eastAsia" w:ascii="仿宋" w:hAnsi="仿宋" w:eastAsia="仿宋"/>
          <w:b w:val="0"/>
          <w:bCs/>
          <w:color w:val="auto"/>
          <w:sz w:val="32"/>
          <w:szCs w:val="32"/>
          <w:highlight w:val="none"/>
        </w:rPr>
        <w:t>完成预算</w:t>
      </w:r>
      <w:r>
        <w:rPr>
          <w:rStyle w:val="23"/>
          <w:rFonts w:hint="eastAsia" w:ascii="仿宋" w:hAnsi="仿宋" w:eastAsia="仿宋"/>
          <w:b w:val="0"/>
          <w:bCs/>
          <w:color w:val="auto"/>
          <w:sz w:val="32"/>
          <w:szCs w:val="32"/>
          <w:highlight w:val="none"/>
          <w:lang w:val="en-US" w:eastAsia="zh-CN"/>
        </w:rPr>
        <w:t>95.33</w:t>
      </w:r>
      <w:r>
        <w:rPr>
          <w:rStyle w:val="23"/>
          <w:rFonts w:ascii="仿宋" w:hAnsi="仿宋" w:eastAsia="仿宋"/>
          <w:b w:val="0"/>
          <w:bCs/>
          <w:color w:val="auto"/>
          <w:sz w:val="32"/>
          <w:szCs w:val="32"/>
          <w:highlight w:val="none"/>
        </w:rPr>
        <w:t>%</w:t>
      </w:r>
      <w:r>
        <w:rPr>
          <w:rStyle w:val="23"/>
          <w:rFonts w:hint="eastAsia" w:ascii="仿宋" w:hAnsi="仿宋" w:eastAsia="仿宋"/>
          <w:b w:val="0"/>
          <w:bCs/>
          <w:color w:val="auto"/>
          <w:sz w:val="32"/>
          <w:szCs w:val="32"/>
          <w:highlight w:val="none"/>
        </w:rPr>
        <w:t>。</w:t>
      </w:r>
      <w:r>
        <w:rPr>
          <w:rFonts w:hint="eastAsia" w:ascii="仿宋_GB2312" w:eastAsia="仿宋_GB2312"/>
          <w:color w:val="auto"/>
          <w:sz w:val="32"/>
          <w:szCs w:val="32"/>
          <w:highlight w:val="none"/>
        </w:rPr>
        <w:t>公务用车购置及运行维护费支出决算比</w:t>
      </w:r>
      <w:r>
        <w:rPr>
          <w:rFonts w:ascii="仿宋_GB2312" w:eastAsia="仿宋_GB2312"/>
          <w:color w:val="auto"/>
          <w:sz w:val="32"/>
          <w:szCs w:val="32"/>
          <w:highlight w:val="none"/>
        </w:rPr>
        <w:t>20</w:t>
      </w:r>
      <w:r>
        <w:rPr>
          <w:rFonts w:hint="eastAsia" w:ascii="仿宋_GB2312" w:eastAsia="仿宋_GB2312"/>
          <w:color w:val="auto"/>
          <w:sz w:val="32"/>
          <w:szCs w:val="32"/>
          <w:highlight w:val="none"/>
          <w:lang w:val="en-US" w:eastAsia="zh-CN"/>
        </w:rPr>
        <w:t>22</w:t>
      </w:r>
      <w:r>
        <w:rPr>
          <w:rFonts w:hint="eastAsia" w:ascii="仿宋_GB2312" w:eastAsia="仿宋_GB2312"/>
          <w:color w:val="auto"/>
          <w:sz w:val="32"/>
          <w:szCs w:val="32"/>
          <w:highlight w:val="none"/>
        </w:rPr>
        <w:t>年</w:t>
      </w:r>
      <w:r>
        <w:rPr>
          <w:rFonts w:hint="eastAsia" w:ascii="仿宋_GB2312" w:eastAsia="仿宋_GB2312"/>
          <w:color w:val="auto"/>
          <w:sz w:val="32"/>
          <w:szCs w:val="32"/>
          <w:highlight w:val="none"/>
          <w:lang w:eastAsia="zh-CN"/>
        </w:rPr>
        <w:t>减少</w:t>
      </w:r>
      <w:r>
        <w:rPr>
          <w:rFonts w:hint="eastAsia" w:ascii="仿宋_GB2312" w:eastAsia="仿宋_GB2312"/>
          <w:color w:val="auto"/>
          <w:sz w:val="32"/>
          <w:szCs w:val="32"/>
          <w:highlight w:val="none"/>
          <w:lang w:val="en-US" w:eastAsia="zh-CN"/>
        </w:rPr>
        <w:t>1.08</w:t>
      </w:r>
      <w:r>
        <w:rPr>
          <w:rFonts w:hint="eastAsia" w:ascii="仿宋_GB2312" w:eastAsia="仿宋_GB2312"/>
          <w:color w:val="auto"/>
          <w:sz w:val="32"/>
          <w:szCs w:val="32"/>
          <w:highlight w:val="none"/>
        </w:rPr>
        <w:t>万元，</w:t>
      </w:r>
      <w:r>
        <w:rPr>
          <w:rFonts w:hint="eastAsia" w:ascii="仿宋_GB2312" w:eastAsia="仿宋_GB2312"/>
          <w:color w:val="auto"/>
          <w:sz w:val="32"/>
          <w:szCs w:val="32"/>
          <w:highlight w:val="none"/>
          <w:lang w:eastAsia="zh-CN"/>
        </w:rPr>
        <w:t>减少</w:t>
      </w:r>
      <w:r>
        <w:rPr>
          <w:rFonts w:hint="eastAsia" w:ascii="仿宋_GB2312" w:eastAsia="仿宋_GB2312"/>
          <w:color w:val="auto"/>
          <w:sz w:val="32"/>
          <w:szCs w:val="32"/>
          <w:highlight w:val="none"/>
          <w:lang w:val="en-US" w:eastAsia="zh-CN"/>
        </w:rPr>
        <w:t>6.51</w:t>
      </w:r>
      <w:r>
        <w:rPr>
          <w:rFonts w:ascii="仿宋_GB2312" w:eastAsia="仿宋_GB2312"/>
          <w:color w:val="auto"/>
          <w:sz w:val="32"/>
          <w:szCs w:val="32"/>
          <w:highlight w:val="none"/>
        </w:rPr>
        <w:t>%</w:t>
      </w:r>
      <w:r>
        <w:rPr>
          <w:rFonts w:hint="eastAsia" w:ascii="仿宋_GB2312" w:eastAsia="仿宋_GB2312"/>
          <w:color w:val="auto"/>
          <w:sz w:val="32"/>
          <w:szCs w:val="32"/>
          <w:highlight w:val="none"/>
        </w:rPr>
        <w:t>。</w:t>
      </w:r>
      <w:r>
        <w:rPr>
          <w:rFonts w:hint="eastAsia" w:ascii="仿宋_GB2312" w:hAnsi="仿宋_GB2312" w:eastAsia="仿宋_GB2312" w:cs="仿宋_GB2312"/>
          <w:sz w:val="32"/>
          <w:szCs w:val="32"/>
        </w:rPr>
        <w:t>主要原因是加强公务用车运行及维护管理及控制，经费支出下降。</w:t>
      </w:r>
    </w:p>
    <w:p w14:paraId="5997F998">
      <w:pPr>
        <w:tabs>
          <w:tab w:val="left" w:pos="1701"/>
        </w:tabs>
        <w:spacing w:line="576" w:lineRule="exact"/>
        <w:ind w:firstLine="640" w:firstLineChars="200"/>
        <w:rPr>
          <w:rFonts w:hint="eastAsia" w:ascii="仿宋_GB2312" w:hAnsi="仿宋" w:eastAsia="仿宋_GB2312"/>
          <w:color w:val="000000"/>
          <w:sz w:val="32"/>
          <w:szCs w:val="32"/>
        </w:rPr>
      </w:pPr>
      <w:r>
        <w:rPr>
          <w:rFonts w:hint="eastAsia" w:ascii="仿宋_GB2312" w:eastAsia="仿宋_GB2312"/>
          <w:color w:val="auto"/>
          <w:sz w:val="32"/>
          <w:szCs w:val="32"/>
          <w:highlight w:val="none"/>
        </w:rPr>
        <w:t>其中：</w:t>
      </w:r>
      <w:r>
        <w:rPr>
          <w:rFonts w:hint="eastAsia" w:ascii="仿宋_GB2312" w:eastAsia="仿宋_GB2312"/>
          <w:b/>
          <w:color w:val="auto"/>
          <w:sz w:val="32"/>
          <w:szCs w:val="32"/>
          <w:highlight w:val="none"/>
        </w:rPr>
        <w:t>公务用车购置支出</w:t>
      </w:r>
      <w:r>
        <w:rPr>
          <w:rFonts w:hint="eastAsia" w:ascii="仿宋_GB2312" w:eastAsia="仿宋_GB2312"/>
          <w:b/>
          <w:color w:val="auto"/>
          <w:sz w:val="32"/>
          <w:szCs w:val="32"/>
          <w:highlight w:val="none"/>
          <w:lang w:val="en-US" w:eastAsia="zh-CN"/>
        </w:rPr>
        <w:t>0</w:t>
      </w:r>
      <w:r>
        <w:rPr>
          <w:rFonts w:hint="eastAsia" w:ascii="仿宋_GB2312" w:eastAsia="仿宋_GB2312"/>
          <w:color w:val="auto"/>
          <w:sz w:val="32"/>
          <w:szCs w:val="32"/>
          <w:highlight w:val="none"/>
        </w:rPr>
        <w:t>万元。截至</w:t>
      </w:r>
      <w:r>
        <w:rPr>
          <w:rFonts w:ascii="仿宋_GB2312" w:eastAsia="仿宋_GB2312"/>
          <w:color w:val="auto"/>
          <w:sz w:val="32"/>
          <w:szCs w:val="32"/>
          <w:highlight w:val="none"/>
        </w:rPr>
        <w:t>20</w:t>
      </w:r>
      <w:r>
        <w:rPr>
          <w:rFonts w:hint="eastAsia" w:ascii="仿宋_GB2312" w:eastAsia="仿宋_GB2312"/>
          <w:color w:val="auto"/>
          <w:sz w:val="32"/>
          <w:szCs w:val="32"/>
          <w:highlight w:val="none"/>
          <w:lang w:val="en-US" w:eastAsia="zh-CN"/>
        </w:rPr>
        <w:t>23</w:t>
      </w:r>
      <w:r>
        <w:rPr>
          <w:rFonts w:hint="eastAsia" w:ascii="仿宋_GB2312" w:eastAsia="仿宋_GB2312"/>
          <w:color w:val="auto"/>
          <w:sz w:val="32"/>
          <w:szCs w:val="32"/>
          <w:highlight w:val="none"/>
        </w:rPr>
        <w:t>年</w:t>
      </w:r>
      <w:r>
        <w:rPr>
          <w:rFonts w:ascii="仿宋_GB2312" w:eastAsia="仿宋_GB2312"/>
          <w:color w:val="auto"/>
          <w:sz w:val="32"/>
          <w:szCs w:val="32"/>
          <w:highlight w:val="none"/>
        </w:rPr>
        <w:t>12</w:t>
      </w:r>
      <w:r>
        <w:rPr>
          <w:rFonts w:hint="eastAsia" w:ascii="仿宋_GB2312" w:eastAsia="仿宋_GB2312"/>
          <w:color w:val="auto"/>
          <w:sz w:val="32"/>
          <w:szCs w:val="32"/>
          <w:highlight w:val="none"/>
        </w:rPr>
        <w:t>月底，单位共有公务用车</w:t>
      </w:r>
      <w:r>
        <w:rPr>
          <w:rFonts w:hint="eastAsia" w:ascii="仿宋_GB2312" w:eastAsia="仿宋_GB2312"/>
          <w:color w:val="auto"/>
          <w:sz w:val="32"/>
          <w:szCs w:val="32"/>
          <w:highlight w:val="none"/>
          <w:lang w:val="en-US" w:eastAsia="zh-CN"/>
        </w:rPr>
        <w:t>4</w:t>
      </w:r>
      <w:r>
        <w:rPr>
          <w:rFonts w:hint="eastAsia" w:ascii="仿宋_GB2312" w:eastAsia="仿宋_GB2312"/>
          <w:color w:val="auto"/>
          <w:sz w:val="32"/>
          <w:szCs w:val="32"/>
          <w:highlight w:val="none"/>
        </w:rPr>
        <w:t>辆，其中：轿车</w:t>
      </w:r>
      <w:r>
        <w:rPr>
          <w:rFonts w:hint="eastAsia" w:ascii="仿宋_GB2312" w:eastAsia="仿宋_GB2312"/>
          <w:color w:val="auto"/>
          <w:sz w:val="32"/>
          <w:szCs w:val="32"/>
          <w:highlight w:val="none"/>
          <w:lang w:val="en-US" w:eastAsia="zh-CN"/>
        </w:rPr>
        <w:t>2</w:t>
      </w:r>
      <w:r>
        <w:rPr>
          <w:rFonts w:hint="eastAsia" w:ascii="仿宋_GB2312" w:eastAsia="仿宋_GB2312"/>
          <w:color w:val="auto"/>
          <w:sz w:val="32"/>
          <w:szCs w:val="32"/>
          <w:highlight w:val="none"/>
        </w:rPr>
        <w:t>辆</w:t>
      </w:r>
      <w:r>
        <w:rPr>
          <w:rFonts w:hint="eastAsia" w:ascii="仿宋_GB2312" w:eastAsia="仿宋_GB2312"/>
          <w:color w:val="auto"/>
          <w:sz w:val="32"/>
          <w:szCs w:val="32"/>
          <w:highlight w:val="none"/>
          <w:lang w:eastAsia="zh-CN"/>
        </w:rPr>
        <w:t>，</w:t>
      </w:r>
      <w:r>
        <w:rPr>
          <w:rFonts w:hint="eastAsia" w:ascii="仿宋_GB2312" w:eastAsia="仿宋_GB2312"/>
          <w:color w:val="auto"/>
          <w:sz w:val="32"/>
          <w:szCs w:val="32"/>
        </w:rPr>
        <w:t>市粮油质监站（包括</w:t>
      </w:r>
      <w:r>
        <w:rPr>
          <w:rFonts w:hint="eastAsia" w:ascii="仿宋_GB2312" w:eastAsia="仿宋_GB2312"/>
          <w:bCs/>
          <w:color w:val="auto"/>
          <w:sz w:val="32"/>
          <w:szCs w:val="32"/>
        </w:rPr>
        <w:t>市救灾物资管理中心</w:t>
      </w:r>
      <w:r>
        <w:rPr>
          <w:rFonts w:hint="eastAsia" w:ascii="仿宋_GB2312" w:eastAsia="仿宋_GB2312"/>
          <w:color w:val="auto"/>
          <w:sz w:val="32"/>
          <w:szCs w:val="32"/>
        </w:rPr>
        <w:t>）</w:t>
      </w:r>
      <w:r>
        <w:rPr>
          <w:rFonts w:hint="eastAsia" w:ascii="仿宋_GB2312" w:eastAsia="仿宋_GB2312"/>
          <w:color w:val="auto"/>
          <w:sz w:val="32"/>
          <w:szCs w:val="32"/>
          <w:lang w:eastAsia="zh-CN"/>
        </w:rPr>
        <w:t>物资装运货车</w:t>
      </w:r>
      <w:r>
        <w:rPr>
          <w:rFonts w:hint="eastAsia" w:ascii="仿宋_GB2312" w:eastAsia="仿宋_GB2312"/>
          <w:color w:val="auto"/>
          <w:sz w:val="32"/>
          <w:szCs w:val="32"/>
          <w:lang w:val="en-US" w:eastAsia="zh-CN"/>
        </w:rPr>
        <w:t>2</w:t>
      </w:r>
      <w:r>
        <w:rPr>
          <w:rFonts w:hint="eastAsia" w:ascii="仿宋_GB2312" w:eastAsia="仿宋_GB2312"/>
          <w:color w:val="auto"/>
          <w:sz w:val="32"/>
          <w:szCs w:val="32"/>
        </w:rPr>
        <w:t>辆。</w:t>
      </w:r>
    </w:p>
    <w:p w14:paraId="10F58F80">
      <w:pPr>
        <w:spacing w:line="600" w:lineRule="exact"/>
        <w:ind w:firstLine="640"/>
        <w:rPr>
          <w:rFonts w:hint="eastAsia" w:ascii="仿宋_GB2312" w:eastAsia="仿宋_GB2312"/>
          <w:color w:val="auto"/>
          <w:sz w:val="32"/>
          <w:szCs w:val="32"/>
          <w:highlight w:val="none"/>
          <w:lang w:eastAsia="zh-CN"/>
        </w:rPr>
      </w:pPr>
      <w:r>
        <w:rPr>
          <w:rFonts w:hint="eastAsia" w:ascii="仿宋_GB2312" w:eastAsia="仿宋_GB2312"/>
          <w:b/>
          <w:color w:val="auto"/>
          <w:sz w:val="32"/>
          <w:szCs w:val="32"/>
          <w:highlight w:val="none"/>
        </w:rPr>
        <w:t>公务用车运行维护费支出</w:t>
      </w:r>
      <w:r>
        <w:rPr>
          <w:rFonts w:hint="eastAsia" w:ascii="仿宋_GB2312" w:eastAsia="仿宋_GB2312"/>
          <w:color w:val="auto"/>
          <w:sz w:val="32"/>
          <w:szCs w:val="32"/>
          <w:highlight w:val="none"/>
          <w:lang w:val="en-US" w:eastAsia="zh-CN"/>
        </w:rPr>
        <w:t>15.52</w:t>
      </w:r>
      <w:r>
        <w:rPr>
          <w:rFonts w:hint="eastAsia" w:ascii="仿宋_GB2312" w:eastAsia="仿宋_GB2312"/>
          <w:color w:val="auto"/>
          <w:sz w:val="32"/>
          <w:szCs w:val="32"/>
          <w:highlight w:val="none"/>
        </w:rPr>
        <w:t>万元。</w:t>
      </w:r>
      <w:r>
        <w:rPr>
          <w:rFonts w:hint="eastAsia" w:ascii="仿宋_GB2312" w:eastAsia="仿宋_GB2312"/>
          <w:sz w:val="32"/>
          <w:szCs w:val="32"/>
        </w:rPr>
        <w:t>全市重大项目工作推进、东西部协作往来对接、粮食、物价、能源、县域经济等工作开展</w:t>
      </w:r>
      <w:r>
        <w:rPr>
          <w:rFonts w:hint="eastAsia" w:ascii="仿宋_GB2312" w:eastAsia="仿宋_GB2312"/>
          <w:sz w:val="32"/>
          <w:szCs w:val="32"/>
          <w:lang w:eastAsia="zh-CN"/>
        </w:rPr>
        <w:t>。</w:t>
      </w:r>
    </w:p>
    <w:p w14:paraId="6A31EA12">
      <w:pPr>
        <w:spacing w:line="600" w:lineRule="exact"/>
        <w:ind w:firstLine="640"/>
        <w:rPr>
          <w:rFonts w:hint="eastAsia" w:ascii="仿宋_GB2312" w:eastAsia="仿宋_GB2312"/>
          <w:sz w:val="32"/>
          <w:szCs w:val="32"/>
        </w:rPr>
      </w:pPr>
      <w:r>
        <w:rPr>
          <w:rFonts w:ascii="仿宋_GB2312" w:eastAsia="仿宋_GB2312"/>
          <w:b/>
          <w:color w:val="auto"/>
          <w:sz w:val="32"/>
          <w:szCs w:val="32"/>
          <w:highlight w:val="none"/>
        </w:rPr>
        <w:t>3.</w:t>
      </w:r>
      <w:r>
        <w:rPr>
          <w:rFonts w:hint="eastAsia" w:ascii="仿宋_GB2312" w:eastAsia="仿宋_GB2312"/>
          <w:b/>
          <w:color w:val="auto"/>
          <w:sz w:val="32"/>
          <w:szCs w:val="32"/>
          <w:highlight w:val="none"/>
        </w:rPr>
        <w:t>公务接待费支出</w:t>
      </w:r>
      <w:r>
        <w:rPr>
          <w:rFonts w:hint="eastAsia" w:ascii="仿宋_GB2312" w:eastAsia="仿宋_GB2312"/>
          <w:b/>
          <w:color w:val="auto"/>
          <w:sz w:val="32"/>
          <w:szCs w:val="32"/>
          <w:highlight w:val="none"/>
          <w:lang w:val="en-US" w:eastAsia="zh-CN"/>
        </w:rPr>
        <w:t>4.82</w:t>
      </w:r>
      <w:r>
        <w:rPr>
          <w:rFonts w:hint="eastAsia" w:ascii="仿宋_GB2312" w:eastAsia="仿宋_GB2312"/>
          <w:color w:val="auto"/>
          <w:sz w:val="32"/>
          <w:szCs w:val="32"/>
          <w:highlight w:val="none"/>
        </w:rPr>
        <w:t>万元，</w:t>
      </w:r>
      <w:r>
        <w:rPr>
          <w:rStyle w:val="23"/>
          <w:rFonts w:hint="eastAsia" w:ascii="仿宋" w:hAnsi="仿宋" w:eastAsia="仿宋"/>
          <w:b w:val="0"/>
          <w:bCs/>
          <w:color w:val="auto"/>
          <w:sz w:val="32"/>
          <w:szCs w:val="32"/>
          <w:highlight w:val="none"/>
        </w:rPr>
        <w:t>完成预算</w:t>
      </w:r>
      <w:r>
        <w:rPr>
          <w:rStyle w:val="23"/>
          <w:rFonts w:hint="eastAsia" w:ascii="仿宋" w:hAnsi="仿宋" w:eastAsia="仿宋"/>
          <w:b w:val="0"/>
          <w:bCs/>
          <w:color w:val="auto"/>
          <w:sz w:val="32"/>
          <w:szCs w:val="32"/>
          <w:highlight w:val="none"/>
          <w:lang w:val="en-US" w:eastAsia="zh-CN"/>
        </w:rPr>
        <w:t>90.94</w:t>
      </w:r>
      <w:r>
        <w:rPr>
          <w:rStyle w:val="23"/>
          <w:rFonts w:ascii="仿宋" w:hAnsi="仿宋" w:eastAsia="仿宋"/>
          <w:b w:val="0"/>
          <w:bCs/>
          <w:color w:val="auto"/>
          <w:sz w:val="32"/>
          <w:szCs w:val="32"/>
          <w:highlight w:val="none"/>
        </w:rPr>
        <w:t>%</w:t>
      </w:r>
      <w:r>
        <w:rPr>
          <w:rStyle w:val="23"/>
          <w:rFonts w:hint="eastAsia" w:ascii="仿宋" w:hAnsi="仿宋" w:eastAsia="仿宋"/>
          <w:b w:val="0"/>
          <w:bCs/>
          <w:color w:val="auto"/>
          <w:sz w:val="32"/>
          <w:szCs w:val="32"/>
          <w:highlight w:val="none"/>
        </w:rPr>
        <w:t>。</w:t>
      </w:r>
      <w:r>
        <w:rPr>
          <w:rFonts w:hint="eastAsia" w:ascii="仿宋_GB2312" w:eastAsia="仿宋_GB2312"/>
          <w:color w:val="auto"/>
          <w:sz w:val="32"/>
          <w:szCs w:val="32"/>
          <w:highlight w:val="none"/>
        </w:rPr>
        <w:t>公务接待费支出决算比</w:t>
      </w:r>
      <w:r>
        <w:rPr>
          <w:rFonts w:ascii="仿宋_GB2312" w:eastAsia="仿宋_GB2312"/>
          <w:color w:val="auto"/>
          <w:sz w:val="32"/>
          <w:szCs w:val="32"/>
          <w:highlight w:val="none"/>
        </w:rPr>
        <w:t>20</w:t>
      </w:r>
      <w:r>
        <w:rPr>
          <w:rFonts w:hint="eastAsia" w:ascii="仿宋_GB2312" w:eastAsia="仿宋_GB2312"/>
          <w:color w:val="auto"/>
          <w:sz w:val="32"/>
          <w:szCs w:val="32"/>
          <w:highlight w:val="none"/>
          <w:lang w:val="en-US" w:eastAsia="zh-CN"/>
        </w:rPr>
        <w:t>22</w:t>
      </w:r>
      <w:r>
        <w:rPr>
          <w:rFonts w:hint="eastAsia" w:ascii="仿宋_GB2312" w:eastAsia="仿宋_GB2312"/>
          <w:color w:val="auto"/>
          <w:sz w:val="32"/>
          <w:szCs w:val="32"/>
          <w:highlight w:val="none"/>
        </w:rPr>
        <w:t>年</w:t>
      </w:r>
      <w:r>
        <w:rPr>
          <w:rFonts w:hint="eastAsia" w:ascii="仿宋_GB2312" w:eastAsia="仿宋_GB2312"/>
          <w:color w:val="auto"/>
          <w:sz w:val="32"/>
          <w:szCs w:val="32"/>
          <w:highlight w:val="none"/>
          <w:lang w:eastAsia="zh-CN"/>
        </w:rPr>
        <w:t>增加</w:t>
      </w:r>
      <w:r>
        <w:rPr>
          <w:rFonts w:hint="eastAsia" w:ascii="仿宋_GB2312" w:eastAsia="仿宋_GB2312"/>
          <w:color w:val="auto"/>
          <w:sz w:val="32"/>
          <w:szCs w:val="32"/>
          <w:highlight w:val="none"/>
          <w:lang w:val="en-US" w:eastAsia="zh-CN"/>
        </w:rPr>
        <w:t>1.44万元，增长42.48</w:t>
      </w:r>
      <w:r>
        <w:rPr>
          <w:rFonts w:ascii="仿宋_GB2312" w:eastAsia="仿宋_GB2312"/>
          <w:color w:val="auto"/>
          <w:sz w:val="32"/>
          <w:szCs w:val="32"/>
        </w:rPr>
        <w:t>%</w:t>
      </w:r>
      <w:r>
        <w:rPr>
          <w:rFonts w:hint="eastAsia" w:ascii="仿宋_GB2312" w:eastAsia="仿宋_GB2312"/>
          <w:color w:val="auto"/>
          <w:sz w:val="32"/>
          <w:szCs w:val="32"/>
          <w:lang w:eastAsia="zh-CN"/>
        </w:rPr>
        <w:t>。</w:t>
      </w:r>
      <w:r>
        <w:rPr>
          <w:rFonts w:hint="eastAsia" w:ascii="仿宋_GB2312" w:eastAsia="仿宋_GB2312"/>
          <w:sz w:val="32"/>
          <w:szCs w:val="32"/>
        </w:rPr>
        <w:t>主要原因：上级调研、对口检查公务接待任务增加。</w:t>
      </w:r>
    </w:p>
    <w:p w14:paraId="2BD70B58">
      <w:pPr>
        <w:spacing w:line="600" w:lineRule="exact"/>
        <w:ind w:firstLine="640"/>
        <w:rPr>
          <w:rFonts w:ascii="仿宋_GB2312" w:eastAsia="仿宋_GB2312"/>
          <w:color w:val="FF0000"/>
          <w:sz w:val="32"/>
          <w:szCs w:val="32"/>
          <w:highlight w:val="none"/>
        </w:rPr>
      </w:pPr>
      <w:r>
        <w:rPr>
          <w:rFonts w:hint="eastAsia" w:ascii="仿宋_GB2312" w:eastAsia="仿宋_GB2312"/>
          <w:color w:val="auto"/>
          <w:sz w:val="32"/>
          <w:szCs w:val="32"/>
          <w:highlight w:val="none"/>
        </w:rPr>
        <w:t>其中：</w:t>
      </w:r>
      <w:r>
        <w:rPr>
          <w:rFonts w:hint="eastAsia" w:ascii="仿宋" w:hAnsi="仿宋" w:eastAsia="仿宋"/>
          <w:b/>
          <w:color w:val="auto"/>
          <w:sz w:val="32"/>
          <w:szCs w:val="32"/>
          <w:highlight w:val="none"/>
        </w:rPr>
        <w:t>国内公务接待支出</w:t>
      </w:r>
      <w:r>
        <w:rPr>
          <w:rFonts w:hint="eastAsia" w:ascii="仿宋" w:hAnsi="仿宋" w:eastAsia="仿宋"/>
          <w:b/>
          <w:color w:val="auto"/>
          <w:sz w:val="32"/>
          <w:szCs w:val="32"/>
          <w:highlight w:val="none"/>
          <w:lang w:val="en-US" w:eastAsia="zh-CN"/>
        </w:rPr>
        <w:t>4.82</w:t>
      </w:r>
      <w:r>
        <w:rPr>
          <w:rFonts w:hint="eastAsia" w:ascii="仿宋_GB2312" w:eastAsia="仿宋_GB2312"/>
          <w:color w:val="auto"/>
          <w:sz w:val="32"/>
          <w:szCs w:val="32"/>
          <w:highlight w:val="none"/>
        </w:rPr>
        <w:t>万元，</w:t>
      </w:r>
      <w:r>
        <w:rPr>
          <w:rFonts w:hint="eastAsia" w:ascii="仿宋_GB2312" w:eastAsia="仿宋_GB2312"/>
          <w:sz w:val="32"/>
          <w:szCs w:val="32"/>
        </w:rPr>
        <w:t>主要用于全市重大项目推进、国家及省级、其他市州调研</w:t>
      </w:r>
      <w:r>
        <w:rPr>
          <w:rFonts w:hint="eastAsia" w:ascii="仿宋_GB2312" w:eastAsia="仿宋_GB2312"/>
          <w:sz w:val="32"/>
          <w:szCs w:val="32"/>
          <w:lang w:eastAsia="zh-CN"/>
        </w:rPr>
        <w:t>接待</w:t>
      </w:r>
      <w:r>
        <w:rPr>
          <w:rFonts w:hint="eastAsia" w:ascii="仿宋_GB2312" w:eastAsia="仿宋_GB2312"/>
          <w:sz w:val="32"/>
          <w:szCs w:val="32"/>
        </w:rPr>
        <w:t>用餐支出。</w:t>
      </w:r>
      <w:r>
        <w:rPr>
          <w:rFonts w:hint="eastAsia" w:ascii="仿宋_GB2312" w:eastAsia="仿宋_GB2312"/>
          <w:color w:val="auto"/>
          <w:sz w:val="32"/>
          <w:szCs w:val="32"/>
        </w:rPr>
        <w:t>国内公务接待</w:t>
      </w:r>
      <w:r>
        <w:rPr>
          <w:rFonts w:hint="eastAsia" w:ascii="仿宋_GB2312" w:eastAsia="仿宋_GB2312"/>
          <w:color w:val="auto"/>
          <w:sz w:val="32"/>
          <w:szCs w:val="32"/>
          <w:lang w:val="en-US" w:eastAsia="zh-CN"/>
        </w:rPr>
        <w:t>37</w:t>
      </w:r>
      <w:r>
        <w:rPr>
          <w:rFonts w:hint="eastAsia" w:ascii="仿宋_GB2312" w:eastAsia="仿宋_GB2312"/>
          <w:color w:val="auto"/>
          <w:sz w:val="32"/>
          <w:szCs w:val="32"/>
        </w:rPr>
        <w:t>批次，</w:t>
      </w:r>
      <w:r>
        <w:rPr>
          <w:rFonts w:hint="eastAsia" w:ascii="仿宋_GB2312" w:eastAsia="仿宋_GB2312"/>
          <w:color w:val="auto"/>
          <w:sz w:val="32"/>
          <w:szCs w:val="32"/>
          <w:lang w:val="en-US" w:eastAsia="zh-CN"/>
        </w:rPr>
        <w:t>420</w:t>
      </w:r>
      <w:r>
        <w:rPr>
          <w:rFonts w:hint="eastAsia" w:ascii="仿宋_GB2312" w:eastAsia="仿宋_GB2312"/>
          <w:color w:val="auto"/>
          <w:sz w:val="32"/>
          <w:szCs w:val="32"/>
        </w:rPr>
        <w:t>人次（不包括陪同人员），</w:t>
      </w:r>
      <w:r>
        <w:rPr>
          <w:rFonts w:hint="eastAsia" w:ascii="仿宋_GB2312" w:eastAsia="仿宋_GB2312"/>
          <w:sz w:val="32"/>
          <w:szCs w:val="32"/>
        </w:rPr>
        <w:t>共计支出</w:t>
      </w:r>
      <w:r>
        <w:rPr>
          <w:rFonts w:hint="eastAsia" w:ascii="仿宋_GB2312" w:eastAsia="仿宋_GB2312"/>
          <w:sz w:val="32"/>
          <w:szCs w:val="32"/>
          <w:lang w:val="en-US" w:eastAsia="zh-CN"/>
        </w:rPr>
        <w:t>4.82</w:t>
      </w:r>
      <w:r>
        <w:rPr>
          <w:rFonts w:hint="eastAsia" w:ascii="仿宋_GB2312" w:eastAsia="仿宋_GB2312"/>
          <w:sz w:val="32"/>
          <w:szCs w:val="32"/>
        </w:rPr>
        <w:t>万元，具体内容包括：国家、省发改委领导来我市调研重点项目工作、</w:t>
      </w:r>
      <w:r>
        <w:rPr>
          <w:rFonts w:hint="eastAsia" w:ascii="仿宋_GB2312" w:eastAsia="仿宋_GB2312"/>
          <w:sz w:val="32"/>
          <w:szCs w:val="32"/>
          <w:lang w:eastAsia="zh-CN"/>
        </w:rPr>
        <w:t>省内市州等相关部门</w:t>
      </w:r>
      <w:r>
        <w:rPr>
          <w:rFonts w:hint="eastAsia" w:ascii="仿宋_GB2312" w:eastAsia="仿宋_GB2312"/>
          <w:sz w:val="32"/>
          <w:szCs w:val="32"/>
        </w:rPr>
        <w:t>来我市</w:t>
      </w:r>
      <w:r>
        <w:rPr>
          <w:rFonts w:hint="eastAsia" w:ascii="仿宋_GB2312" w:eastAsia="仿宋_GB2312"/>
          <w:sz w:val="32"/>
          <w:szCs w:val="32"/>
          <w:lang w:eastAsia="zh-CN"/>
        </w:rPr>
        <w:t>工作</w:t>
      </w:r>
      <w:r>
        <w:rPr>
          <w:rFonts w:hint="eastAsia" w:ascii="仿宋_GB2312" w:eastAsia="仿宋_GB2312"/>
          <w:sz w:val="32"/>
          <w:szCs w:val="32"/>
        </w:rPr>
        <w:t>调研</w:t>
      </w:r>
      <w:r>
        <w:rPr>
          <w:rFonts w:hint="eastAsia" w:ascii="仿宋_GB2312" w:eastAsia="仿宋_GB2312"/>
          <w:sz w:val="32"/>
          <w:szCs w:val="32"/>
          <w:lang w:eastAsia="zh-CN"/>
        </w:rPr>
        <w:t>接待</w:t>
      </w:r>
      <w:r>
        <w:rPr>
          <w:rFonts w:hint="eastAsia" w:ascii="仿宋_GB2312" w:eastAsia="仿宋_GB2312"/>
          <w:sz w:val="32"/>
          <w:szCs w:val="32"/>
        </w:rPr>
        <w:t>。</w:t>
      </w:r>
    </w:p>
    <w:p w14:paraId="05ABFF91">
      <w:pPr>
        <w:spacing w:line="600" w:lineRule="exact"/>
        <w:ind w:firstLine="643" w:firstLineChars="200"/>
        <w:rPr>
          <w:rFonts w:hint="eastAsia" w:ascii="仿宋_GB2312" w:eastAsia="仿宋_GB2312"/>
          <w:color w:val="auto"/>
          <w:sz w:val="32"/>
          <w:szCs w:val="32"/>
          <w:highlight w:val="none"/>
          <w:lang w:eastAsia="zh-CN"/>
        </w:rPr>
      </w:pPr>
      <w:r>
        <w:rPr>
          <w:rFonts w:hint="eastAsia" w:ascii="仿宋" w:hAnsi="仿宋" w:eastAsia="仿宋"/>
          <w:b/>
          <w:color w:val="auto"/>
          <w:sz w:val="32"/>
          <w:szCs w:val="32"/>
          <w:highlight w:val="none"/>
        </w:rPr>
        <w:t>外事接待支出</w:t>
      </w:r>
      <w:r>
        <w:rPr>
          <w:rFonts w:hint="eastAsia" w:ascii="仿宋" w:hAnsi="仿宋" w:eastAsia="仿宋"/>
          <w:b/>
          <w:color w:val="auto"/>
          <w:sz w:val="32"/>
          <w:szCs w:val="32"/>
          <w:highlight w:val="none"/>
          <w:lang w:val="en-US" w:eastAsia="zh-CN"/>
        </w:rPr>
        <w:t>0</w:t>
      </w:r>
      <w:r>
        <w:rPr>
          <w:rFonts w:hint="eastAsia" w:ascii="仿宋_GB2312" w:eastAsia="仿宋_GB2312"/>
          <w:color w:val="auto"/>
          <w:sz w:val="32"/>
          <w:szCs w:val="32"/>
          <w:highlight w:val="none"/>
        </w:rPr>
        <w:t>万元</w:t>
      </w:r>
      <w:r>
        <w:rPr>
          <w:rFonts w:hint="eastAsia" w:ascii="仿宋_GB2312" w:eastAsia="仿宋_GB2312"/>
          <w:color w:val="auto"/>
          <w:sz w:val="32"/>
          <w:szCs w:val="32"/>
          <w:highlight w:val="none"/>
          <w:lang w:eastAsia="zh-CN"/>
        </w:rPr>
        <w:t>。</w:t>
      </w:r>
    </w:p>
    <w:p w14:paraId="72591AB2">
      <w:pPr>
        <w:spacing w:line="600" w:lineRule="exact"/>
        <w:ind w:firstLine="640"/>
        <w:outlineLvl w:val="1"/>
        <w:rPr>
          <w:rStyle w:val="26"/>
          <w:rFonts w:ascii="黑体" w:hAnsi="黑体" w:eastAsia="黑体"/>
          <w:color w:val="auto"/>
          <w:highlight w:val="none"/>
        </w:rPr>
      </w:pPr>
      <w:bookmarkStart w:id="87" w:name="_Toc15396610"/>
      <w:bookmarkStart w:id="88" w:name="_Toc15377218"/>
      <w:bookmarkStart w:id="89" w:name="_Toc28701"/>
      <w:bookmarkStart w:id="90" w:name="_Toc3329"/>
      <w:r>
        <w:rPr>
          <w:rFonts w:hint="eastAsia" w:ascii="黑体" w:eastAsia="黑体"/>
          <w:color w:val="auto"/>
          <w:sz w:val="32"/>
          <w:szCs w:val="32"/>
          <w:highlight w:val="none"/>
        </w:rPr>
        <w:t>八、</w:t>
      </w:r>
      <w:r>
        <w:rPr>
          <w:rStyle w:val="26"/>
          <w:rFonts w:hint="eastAsia" w:ascii="黑体" w:hAnsi="黑体" w:eastAsia="黑体"/>
          <w:b w:val="0"/>
          <w:color w:val="auto"/>
          <w:highlight w:val="none"/>
        </w:rPr>
        <w:t>政府性基金预算支出决算情况说明</w:t>
      </w:r>
      <w:bookmarkEnd w:id="87"/>
      <w:bookmarkEnd w:id="88"/>
      <w:bookmarkEnd w:id="89"/>
      <w:bookmarkEnd w:id="90"/>
    </w:p>
    <w:p w14:paraId="439D209F">
      <w:pPr>
        <w:spacing w:line="600" w:lineRule="exact"/>
        <w:ind w:firstLine="640"/>
        <w:rPr>
          <w:rFonts w:hint="eastAsia" w:ascii="仿宋_GB2312" w:eastAsia="仿宋_GB2312"/>
          <w:color w:val="auto"/>
          <w:sz w:val="32"/>
          <w:szCs w:val="32"/>
          <w:highlight w:val="none"/>
        </w:rPr>
      </w:pPr>
      <w:r>
        <w:rPr>
          <w:rFonts w:ascii="仿宋_GB2312" w:eastAsia="仿宋_GB2312"/>
          <w:color w:val="auto"/>
          <w:sz w:val="32"/>
          <w:szCs w:val="32"/>
          <w:highlight w:val="none"/>
        </w:rPr>
        <w:t>20</w:t>
      </w:r>
      <w:r>
        <w:rPr>
          <w:rFonts w:hint="eastAsia" w:ascii="仿宋_GB2312" w:eastAsia="仿宋_GB2312"/>
          <w:color w:val="auto"/>
          <w:sz w:val="32"/>
          <w:szCs w:val="32"/>
          <w:highlight w:val="none"/>
          <w:lang w:val="en-US" w:eastAsia="zh-CN"/>
        </w:rPr>
        <w:t>23</w:t>
      </w:r>
      <w:r>
        <w:rPr>
          <w:rFonts w:hint="eastAsia" w:ascii="仿宋_GB2312" w:eastAsia="仿宋_GB2312"/>
          <w:color w:val="auto"/>
          <w:sz w:val="32"/>
          <w:szCs w:val="32"/>
          <w:highlight w:val="none"/>
        </w:rPr>
        <w:t>年</w:t>
      </w:r>
      <w:r>
        <w:rPr>
          <w:rFonts w:hint="eastAsia" w:ascii="仿宋_GB2312" w:eastAsia="仿宋_GB2312"/>
          <w:color w:val="auto"/>
          <w:sz w:val="32"/>
          <w:szCs w:val="32"/>
          <w:highlight w:val="none"/>
          <w:lang w:eastAsia="zh-CN"/>
        </w:rPr>
        <w:t>我委无</w:t>
      </w:r>
      <w:r>
        <w:rPr>
          <w:rFonts w:hint="eastAsia" w:ascii="仿宋_GB2312" w:eastAsia="仿宋_GB2312"/>
          <w:color w:val="auto"/>
          <w:sz w:val="32"/>
          <w:szCs w:val="32"/>
          <w:highlight w:val="none"/>
        </w:rPr>
        <w:t>政府性基金预算</w:t>
      </w:r>
      <w:r>
        <w:rPr>
          <w:rFonts w:hint="eastAsia" w:ascii="仿宋_GB2312" w:eastAsia="仿宋_GB2312"/>
          <w:color w:val="auto"/>
          <w:sz w:val="32"/>
          <w:szCs w:val="32"/>
          <w:highlight w:val="none"/>
          <w:lang w:eastAsia="zh-CN"/>
        </w:rPr>
        <w:t>财政</w:t>
      </w:r>
      <w:r>
        <w:rPr>
          <w:rFonts w:hint="eastAsia" w:ascii="仿宋_GB2312" w:eastAsia="仿宋_GB2312"/>
          <w:color w:val="auto"/>
          <w:sz w:val="32"/>
          <w:szCs w:val="32"/>
          <w:highlight w:val="none"/>
        </w:rPr>
        <w:t>拨款。</w:t>
      </w:r>
    </w:p>
    <w:p w14:paraId="3EB28910">
      <w:pPr>
        <w:pStyle w:val="8"/>
      </w:pPr>
    </w:p>
    <w:p w14:paraId="02DABD20">
      <w:pPr>
        <w:numPr>
          <w:ilvl w:val="0"/>
          <w:numId w:val="3"/>
        </w:numPr>
        <w:spacing w:line="600" w:lineRule="exact"/>
        <w:ind w:firstLine="640"/>
        <w:outlineLvl w:val="1"/>
        <w:rPr>
          <w:rStyle w:val="26"/>
          <w:rFonts w:ascii="黑体" w:hAnsi="黑体" w:eastAsia="黑体"/>
          <w:b w:val="0"/>
          <w:color w:val="auto"/>
          <w:highlight w:val="none"/>
        </w:rPr>
      </w:pPr>
      <w:bookmarkStart w:id="91" w:name="_Toc6432"/>
      <w:bookmarkStart w:id="92" w:name="_Toc6963"/>
      <w:bookmarkStart w:id="93" w:name="_Toc15396611"/>
      <w:bookmarkStart w:id="94" w:name="_Toc15377219"/>
      <w:r>
        <w:rPr>
          <w:rStyle w:val="26"/>
          <w:rFonts w:hint="eastAsia" w:ascii="黑体" w:hAnsi="黑体" w:eastAsia="黑体"/>
          <w:b w:val="0"/>
          <w:color w:val="auto"/>
          <w:highlight w:val="none"/>
        </w:rPr>
        <w:t>国有资本经营预算支出决算情况说明</w:t>
      </w:r>
      <w:bookmarkEnd w:id="91"/>
      <w:bookmarkEnd w:id="92"/>
      <w:bookmarkEnd w:id="93"/>
      <w:bookmarkEnd w:id="94"/>
    </w:p>
    <w:p w14:paraId="2BA064CF">
      <w:pPr>
        <w:spacing w:line="600" w:lineRule="exact"/>
        <w:ind w:firstLine="640"/>
        <w:rPr>
          <w:rFonts w:hint="eastAsia"/>
        </w:rPr>
      </w:pPr>
      <w:r>
        <w:rPr>
          <w:rFonts w:ascii="仿宋_GB2312" w:eastAsia="仿宋_GB2312"/>
          <w:color w:val="auto"/>
          <w:sz w:val="32"/>
          <w:szCs w:val="32"/>
          <w:highlight w:val="none"/>
        </w:rPr>
        <w:t>20</w:t>
      </w:r>
      <w:r>
        <w:rPr>
          <w:rFonts w:hint="eastAsia" w:ascii="仿宋_GB2312" w:eastAsia="仿宋_GB2312"/>
          <w:color w:val="auto"/>
          <w:sz w:val="32"/>
          <w:szCs w:val="32"/>
          <w:highlight w:val="none"/>
          <w:lang w:val="en-US" w:eastAsia="zh-CN"/>
        </w:rPr>
        <w:t>23</w:t>
      </w:r>
      <w:r>
        <w:rPr>
          <w:rFonts w:hint="eastAsia" w:ascii="仿宋_GB2312" w:eastAsia="仿宋_GB2312"/>
          <w:color w:val="auto"/>
          <w:sz w:val="32"/>
          <w:szCs w:val="32"/>
          <w:highlight w:val="none"/>
        </w:rPr>
        <w:t>年</w:t>
      </w:r>
      <w:r>
        <w:rPr>
          <w:rFonts w:hint="eastAsia" w:ascii="仿宋_GB2312" w:eastAsia="仿宋_GB2312"/>
          <w:color w:val="auto"/>
          <w:sz w:val="32"/>
          <w:szCs w:val="32"/>
          <w:highlight w:val="none"/>
          <w:lang w:eastAsia="zh-CN"/>
        </w:rPr>
        <w:t>我委无</w:t>
      </w:r>
      <w:r>
        <w:rPr>
          <w:rFonts w:hint="eastAsia" w:ascii="仿宋_GB2312" w:eastAsia="仿宋_GB2312"/>
          <w:color w:val="auto"/>
          <w:sz w:val="32"/>
          <w:szCs w:val="32"/>
          <w:highlight w:val="none"/>
        </w:rPr>
        <w:t>国有资本经营预算</w:t>
      </w:r>
      <w:r>
        <w:rPr>
          <w:rFonts w:hint="eastAsia" w:ascii="仿宋_GB2312" w:eastAsia="仿宋_GB2312"/>
          <w:color w:val="auto"/>
          <w:sz w:val="32"/>
          <w:szCs w:val="32"/>
          <w:highlight w:val="none"/>
          <w:lang w:eastAsia="zh-CN"/>
        </w:rPr>
        <w:t>财政</w:t>
      </w:r>
      <w:r>
        <w:rPr>
          <w:rFonts w:hint="eastAsia" w:ascii="仿宋_GB2312" w:eastAsia="仿宋_GB2312"/>
          <w:color w:val="auto"/>
          <w:sz w:val="32"/>
          <w:szCs w:val="32"/>
          <w:highlight w:val="none"/>
        </w:rPr>
        <w:t>拨款。</w:t>
      </w:r>
      <w:bookmarkStart w:id="95" w:name="_Toc15396612"/>
      <w:bookmarkStart w:id="96" w:name="_Toc15377221"/>
    </w:p>
    <w:p w14:paraId="09DC443E">
      <w:pPr>
        <w:numPr>
          <w:ilvl w:val="0"/>
          <w:numId w:val="3"/>
        </w:numPr>
        <w:spacing w:line="600" w:lineRule="exact"/>
        <w:ind w:firstLine="640"/>
        <w:outlineLvl w:val="1"/>
        <w:rPr>
          <w:rStyle w:val="26"/>
          <w:rFonts w:hint="eastAsia" w:ascii="黑体" w:hAnsi="黑体" w:eastAsia="黑体"/>
          <w:b w:val="0"/>
          <w:color w:val="auto"/>
          <w:highlight w:val="none"/>
        </w:rPr>
      </w:pPr>
      <w:bookmarkStart w:id="97" w:name="_Toc9480"/>
      <w:bookmarkStart w:id="98" w:name="_Toc2980"/>
      <w:r>
        <w:rPr>
          <w:rStyle w:val="26"/>
          <w:rFonts w:hint="eastAsia" w:ascii="黑体" w:hAnsi="黑体" w:eastAsia="黑体"/>
          <w:b w:val="0"/>
          <w:color w:val="auto"/>
          <w:highlight w:val="none"/>
        </w:rPr>
        <w:t>其他重要事项的情况说明</w:t>
      </w:r>
      <w:bookmarkEnd w:id="95"/>
      <w:bookmarkEnd w:id="96"/>
      <w:bookmarkEnd w:id="97"/>
      <w:bookmarkEnd w:id="98"/>
    </w:p>
    <w:p w14:paraId="0F592532">
      <w:pPr>
        <w:spacing w:line="600" w:lineRule="exact"/>
        <w:ind w:firstLine="643" w:firstLineChars="200"/>
        <w:outlineLvl w:val="2"/>
        <w:rPr>
          <w:rFonts w:ascii="仿宋" w:hAnsi="仿宋" w:eastAsia="仿宋"/>
          <w:color w:val="auto"/>
          <w:sz w:val="32"/>
          <w:szCs w:val="32"/>
          <w:highlight w:val="none"/>
        </w:rPr>
      </w:pPr>
      <w:bookmarkStart w:id="99" w:name="_Toc15377222"/>
      <w:r>
        <w:rPr>
          <w:rFonts w:hint="eastAsia" w:ascii="仿宋" w:hAnsi="仿宋" w:eastAsia="仿宋"/>
          <w:b/>
          <w:color w:val="auto"/>
          <w:sz w:val="32"/>
          <w:szCs w:val="32"/>
          <w:highlight w:val="none"/>
        </w:rPr>
        <w:t>（一）机关运行经费支出情况</w:t>
      </w:r>
      <w:bookmarkEnd w:id="99"/>
    </w:p>
    <w:p w14:paraId="391AEF1B">
      <w:pPr>
        <w:spacing w:line="600" w:lineRule="exact"/>
        <w:ind w:firstLine="640" w:firstLineChars="200"/>
        <w:rPr>
          <w:rFonts w:hint="eastAsia" w:ascii="仿宋_GB2312" w:eastAsia="仿宋_GB2312"/>
          <w:color w:val="FF0000"/>
          <w:sz w:val="32"/>
          <w:szCs w:val="32"/>
          <w:highlight w:val="none"/>
          <w:lang w:eastAsia="zh-CN"/>
        </w:rPr>
      </w:pPr>
      <w:r>
        <w:rPr>
          <w:rFonts w:ascii="仿宋_GB2312" w:eastAsia="仿宋_GB2312"/>
          <w:color w:val="000000" w:themeColor="text1"/>
          <w:sz w:val="32"/>
          <w:szCs w:val="32"/>
          <w:highlight w:val="none"/>
          <w14:textFill>
            <w14:solidFill>
              <w14:schemeClr w14:val="tx1"/>
            </w14:solidFill>
          </w14:textFill>
        </w:rPr>
        <w:t>20</w:t>
      </w:r>
      <w:r>
        <w:rPr>
          <w:rFonts w:hint="eastAsia" w:ascii="仿宋_GB2312" w:eastAsia="仿宋_GB2312"/>
          <w:color w:val="000000" w:themeColor="text1"/>
          <w:sz w:val="32"/>
          <w:szCs w:val="32"/>
          <w:highlight w:val="none"/>
          <w:lang w:val="en-US" w:eastAsia="zh-CN"/>
          <w14:textFill>
            <w14:solidFill>
              <w14:schemeClr w14:val="tx1"/>
            </w14:solidFill>
          </w14:textFill>
        </w:rPr>
        <w:t>23年</w:t>
      </w:r>
      <w:r>
        <w:rPr>
          <w:rFonts w:hint="eastAsia" w:ascii="仿宋_GB2312" w:eastAsia="仿宋_GB2312"/>
          <w:color w:val="000000" w:themeColor="text1"/>
          <w:sz w:val="32"/>
          <w:szCs w:val="32"/>
          <w:highlight w:val="none"/>
          <w:lang w:eastAsia="zh-CN"/>
          <w14:textFill>
            <w14:solidFill>
              <w14:schemeClr w14:val="tx1"/>
            </w14:solidFill>
          </w14:textFill>
        </w:rPr>
        <w:t>市发展改革委</w:t>
      </w:r>
      <w:r>
        <w:rPr>
          <w:rFonts w:hint="eastAsia" w:ascii="仿宋_GB2312" w:eastAsia="仿宋_GB2312"/>
          <w:color w:val="000000" w:themeColor="text1"/>
          <w:sz w:val="32"/>
          <w:szCs w:val="32"/>
          <w:highlight w:val="none"/>
          <w14:textFill>
            <w14:solidFill>
              <w14:schemeClr w14:val="tx1"/>
            </w14:solidFill>
          </w14:textFill>
        </w:rPr>
        <w:t>机关运行经费支出</w:t>
      </w:r>
      <w:r>
        <w:rPr>
          <w:rFonts w:hint="eastAsia" w:ascii="仿宋_GB2312" w:eastAsia="仿宋_GB2312"/>
          <w:color w:val="auto"/>
          <w:sz w:val="32"/>
          <w:szCs w:val="32"/>
          <w:highlight w:val="none"/>
          <w:lang w:val="en-US" w:eastAsia="zh-CN"/>
        </w:rPr>
        <w:t>353.06</w:t>
      </w:r>
      <w:r>
        <w:rPr>
          <w:rFonts w:hint="eastAsia" w:ascii="仿宋_GB2312" w:eastAsia="仿宋_GB2312"/>
          <w:color w:val="auto"/>
          <w:sz w:val="32"/>
          <w:szCs w:val="32"/>
          <w:highlight w:val="none"/>
        </w:rPr>
        <w:t>万元，比</w:t>
      </w:r>
      <w:r>
        <w:rPr>
          <w:rFonts w:ascii="仿宋_GB2312" w:eastAsia="仿宋_GB2312"/>
          <w:color w:val="auto"/>
          <w:sz w:val="32"/>
          <w:szCs w:val="32"/>
          <w:highlight w:val="none"/>
        </w:rPr>
        <w:t>20</w:t>
      </w:r>
      <w:r>
        <w:rPr>
          <w:rFonts w:hint="eastAsia" w:ascii="仿宋_GB2312" w:eastAsia="仿宋_GB2312"/>
          <w:color w:val="auto"/>
          <w:sz w:val="32"/>
          <w:szCs w:val="32"/>
          <w:highlight w:val="none"/>
          <w:lang w:val="en-US" w:eastAsia="zh-CN"/>
        </w:rPr>
        <w:t>22</w:t>
      </w:r>
      <w:r>
        <w:rPr>
          <w:rFonts w:hint="eastAsia" w:ascii="仿宋_GB2312" w:eastAsia="仿宋_GB2312"/>
          <w:color w:val="auto"/>
          <w:sz w:val="32"/>
          <w:szCs w:val="32"/>
          <w:highlight w:val="none"/>
        </w:rPr>
        <w:t>年</w:t>
      </w:r>
      <w:r>
        <w:rPr>
          <w:rFonts w:hint="eastAsia" w:ascii="仿宋_GB2312" w:eastAsia="仿宋_GB2312"/>
          <w:color w:val="auto"/>
          <w:sz w:val="32"/>
          <w:szCs w:val="32"/>
          <w:highlight w:val="none"/>
          <w:lang w:eastAsia="zh-CN"/>
        </w:rPr>
        <w:t>增加</w:t>
      </w:r>
      <w:r>
        <w:rPr>
          <w:rFonts w:hint="eastAsia" w:ascii="仿宋_GB2312" w:eastAsia="仿宋_GB2312"/>
          <w:color w:val="auto"/>
          <w:sz w:val="32"/>
          <w:szCs w:val="32"/>
          <w:highlight w:val="none"/>
          <w:lang w:val="en-US" w:eastAsia="zh-CN"/>
        </w:rPr>
        <w:t>20.39</w:t>
      </w:r>
      <w:r>
        <w:rPr>
          <w:rFonts w:hint="eastAsia" w:ascii="仿宋_GB2312" w:eastAsia="仿宋_GB2312"/>
          <w:color w:val="auto"/>
          <w:sz w:val="32"/>
          <w:szCs w:val="32"/>
          <w:highlight w:val="none"/>
        </w:rPr>
        <w:t>万元，</w:t>
      </w:r>
      <w:r>
        <w:rPr>
          <w:rFonts w:hint="eastAsia" w:ascii="仿宋_GB2312" w:eastAsia="仿宋_GB2312"/>
          <w:color w:val="auto"/>
          <w:sz w:val="32"/>
          <w:szCs w:val="32"/>
          <w:highlight w:val="none"/>
          <w:lang w:eastAsia="zh-CN"/>
        </w:rPr>
        <w:t>增长</w:t>
      </w:r>
      <w:r>
        <w:rPr>
          <w:rFonts w:hint="eastAsia" w:ascii="仿宋_GB2312" w:eastAsia="仿宋_GB2312"/>
          <w:color w:val="auto"/>
          <w:sz w:val="32"/>
          <w:szCs w:val="32"/>
          <w:highlight w:val="none"/>
          <w:lang w:val="en-US" w:eastAsia="zh-CN"/>
        </w:rPr>
        <w:t>24.13</w:t>
      </w:r>
      <w:r>
        <w:rPr>
          <w:rFonts w:ascii="仿宋_GB2312" w:eastAsia="仿宋_GB2312"/>
          <w:color w:val="auto"/>
          <w:sz w:val="32"/>
          <w:szCs w:val="32"/>
          <w:highlight w:val="none"/>
        </w:rPr>
        <w:t>%</w:t>
      </w:r>
      <w:r>
        <w:rPr>
          <w:rFonts w:hint="eastAsia" w:ascii="仿宋_GB2312" w:eastAsia="仿宋_GB2312"/>
          <w:color w:val="auto"/>
          <w:sz w:val="32"/>
          <w:szCs w:val="32"/>
          <w:highlight w:val="none"/>
          <w:lang w:eastAsia="zh-CN"/>
        </w:rPr>
        <w:t>。</w:t>
      </w:r>
      <w:r>
        <w:rPr>
          <w:rFonts w:hint="eastAsia" w:ascii="仿宋_GB2312" w:eastAsia="仿宋_GB2312"/>
          <w:color w:val="auto"/>
          <w:sz w:val="32"/>
          <w:szCs w:val="32"/>
        </w:rPr>
        <w:t>主要原因是办公电费、邮电费、物管、维修、劳务费、差旅费等日常公用经费增加。</w:t>
      </w:r>
    </w:p>
    <w:p w14:paraId="0418B33B">
      <w:pPr>
        <w:autoSpaceDE w:val="0"/>
        <w:autoSpaceDN w:val="0"/>
        <w:adjustRightInd w:val="0"/>
        <w:spacing w:line="600" w:lineRule="exact"/>
        <w:ind w:firstLine="643" w:firstLineChars="200"/>
        <w:jc w:val="left"/>
        <w:outlineLvl w:val="2"/>
        <w:rPr>
          <w:rFonts w:ascii="仿宋" w:hAnsi="仿宋" w:eastAsia="仿宋"/>
          <w:b/>
          <w:color w:val="auto"/>
          <w:sz w:val="32"/>
          <w:szCs w:val="32"/>
          <w:highlight w:val="none"/>
        </w:rPr>
      </w:pPr>
      <w:bookmarkStart w:id="100" w:name="_Toc15377223"/>
      <w:r>
        <w:rPr>
          <w:rFonts w:hint="eastAsia" w:ascii="仿宋" w:hAnsi="仿宋" w:eastAsia="仿宋"/>
          <w:b/>
          <w:color w:val="auto"/>
          <w:sz w:val="32"/>
          <w:szCs w:val="32"/>
          <w:highlight w:val="none"/>
        </w:rPr>
        <w:t>（二）政府采购支出情况</w:t>
      </w:r>
      <w:bookmarkEnd w:id="100"/>
    </w:p>
    <w:p w14:paraId="63D8135F">
      <w:pPr>
        <w:spacing w:line="600" w:lineRule="exact"/>
        <w:ind w:firstLine="640" w:firstLineChars="200"/>
        <w:rPr>
          <w:rFonts w:ascii="仿宋_GB2312" w:eastAsia="仿宋_GB2312"/>
          <w:color w:val="auto"/>
          <w:sz w:val="32"/>
          <w:szCs w:val="32"/>
          <w:highlight w:val="none"/>
        </w:rPr>
      </w:pPr>
      <w:r>
        <w:rPr>
          <w:rFonts w:ascii="仿宋_GB2312" w:eastAsia="仿宋_GB2312"/>
          <w:color w:val="auto"/>
          <w:sz w:val="32"/>
          <w:szCs w:val="32"/>
          <w:highlight w:val="none"/>
        </w:rPr>
        <w:t>20</w:t>
      </w:r>
      <w:r>
        <w:rPr>
          <w:rFonts w:hint="eastAsia" w:ascii="仿宋_GB2312" w:eastAsia="仿宋_GB2312"/>
          <w:color w:val="auto"/>
          <w:sz w:val="32"/>
          <w:szCs w:val="32"/>
          <w:highlight w:val="none"/>
          <w:lang w:val="en-US" w:eastAsia="zh-CN"/>
        </w:rPr>
        <w:t>23</w:t>
      </w:r>
      <w:r>
        <w:rPr>
          <w:rFonts w:hint="eastAsia" w:ascii="仿宋_GB2312" w:eastAsia="仿宋_GB2312"/>
          <w:color w:val="auto"/>
          <w:sz w:val="32"/>
          <w:szCs w:val="32"/>
          <w:highlight w:val="none"/>
        </w:rPr>
        <w:t>年，</w:t>
      </w:r>
      <w:r>
        <w:rPr>
          <w:rFonts w:hint="eastAsia" w:ascii="仿宋_GB2312" w:eastAsia="仿宋_GB2312"/>
          <w:color w:val="auto"/>
          <w:sz w:val="32"/>
          <w:szCs w:val="32"/>
          <w:highlight w:val="none"/>
          <w:lang w:eastAsia="zh-CN"/>
        </w:rPr>
        <w:t>我委</w:t>
      </w:r>
      <w:r>
        <w:rPr>
          <w:rFonts w:hint="eastAsia" w:ascii="仿宋_GB2312" w:eastAsia="仿宋_GB2312"/>
          <w:color w:val="auto"/>
          <w:sz w:val="32"/>
          <w:szCs w:val="32"/>
          <w:highlight w:val="none"/>
        </w:rPr>
        <w:t>政府采购支出总额</w:t>
      </w:r>
      <w:r>
        <w:rPr>
          <w:rFonts w:hint="eastAsia" w:ascii="仿宋_GB2312" w:eastAsia="仿宋_GB2312"/>
          <w:color w:val="auto"/>
          <w:sz w:val="32"/>
          <w:szCs w:val="32"/>
          <w:highlight w:val="none"/>
          <w:lang w:val="en-US" w:eastAsia="zh-CN"/>
        </w:rPr>
        <w:t>216.55</w:t>
      </w:r>
      <w:r>
        <w:rPr>
          <w:rFonts w:hint="eastAsia" w:ascii="仿宋_GB2312" w:eastAsia="仿宋_GB2312"/>
          <w:color w:val="auto"/>
          <w:sz w:val="32"/>
          <w:szCs w:val="32"/>
          <w:highlight w:val="none"/>
        </w:rPr>
        <w:t>万元，其中：政府采购货物支出</w:t>
      </w:r>
      <w:r>
        <w:rPr>
          <w:rFonts w:hint="eastAsia" w:ascii="仿宋_GB2312" w:eastAsia="仿宋_GB2312"/>
          <w:color w:val="auto"/>
          <w:sz w:val="32"/>
          <w:szCs w:val="32"/>
          <w:highlight w:val="none"/>
          <w:lang w:val="en-US" w:eastAsia="zh-CN"/>
        </w:rPr>
        <w:t>216.55</w:t>
      </w:r>
      <w:r>
        <w:rPr>
          <w:rFonts w:hint="eastAsia" w:ascii="仿宋_GB2312" w:eastAsia="仿宋_GB2312"/>
          <w:color w:val="auto"/>
          <w:sz w:val="32"/>
          <w:szCs w:val="32"/>
          <w:highlight w:val="none"/>
        </w:rPr>
        <w:t>万元</w:t>
      </w:r>
      <w:r>
        <w:rPr>
          <w:rFonts w:hint="eastAsia" w:ascii="仿宋_GB2312" w:eastAsia="仿宋_GB2312"/>
          <w:color w:val="auto"/>
          <w:sz w:val="32"/>
          <w:szCs w:val="32"/>
          <w:highlight w:val="none"/>
          <w:lang w:eastAsia="zh-CN"/>
        </w:rPr>
        <w:t>，</w:t>
      </w:r>
      <w:r>
        <w:rPr>
          <w:rFonts w:hint="eastAsia" w:ascii="仿宋_GB2312" w:hAnsi="仿宋" w:eastAsia="仿宋_GB2312"/>
          <w:color w:val="000000"/>
          <w:sz w:val="32"/>
          <w:szCs w:val="32"/>
        </w:rPr>
        <w:t>主要用于办公桌椅、空调</w:t>
      </w:r>
      <w:r>
        <w:rPr>
          <w:rFonts w:hint="eastAsia" w:ascii="仿宋_GB2312" w:hAnsi="仿宋_GB2312" w:eastAsia="仿宋_GB2312" w:cs="仿宋_GB2312"/>
          <w:sz w:val="32"/>
          <w:szCs w:val="32"/>
        </w:rPr>
        <w:t>电脑等办公设备</w:t>
      </w:r>
      <w:r>
        <w:rPr>
          <w:rFonts w:hint="eastAsia" w:ascii="仿宋_GB2312" w:hAnsi="仿宋_GB2312" w:eastAsia="仿宋_GB2312" w:cs="仿宋_GB2312"/>
          <w:sz w:val="32"/>
          <w:szCs w:val="32"/>
          <w:lang w:eastAsia="zh-CN"/>
        </w:rPr>
        <w:t>、市粮油质量监测站专用设备</w:t>
      </w:r>
      <w:r>
        <w:rPr>
          <w:rFonts w:hint="eastAsia" w:ascii="仿宋_GB2312" w:hAnsi="仿宋_GB2312" w:eastAsia="仿宋_GB2312" w:cs="仿宋_GB2312"/>
          <w:sz w:val="32"/>
          <w:szCs w:val="32"/>
        </w:rPr>
        <w:t>及救灾物资的采购</w:t>
      </w:r>
      <w:r>
        <w:rPr>
          <w:rFonts w:hint="eastAsia" w:ascii="仿宋_GB2312" w:eastAsia="仿宋_GB2312"/>
          <w:color w:val="auto"/>
          <w:sz w:val="32"/>
          <w:szCs w:val="32"/>
          <w:highlight w:val="none"/>
        </w:rPr>
        <w:t>。授予中小企业合同金额</w:t>
      </w:r>
      <w:r>
        <w:rPr>
          <w:rFonts w:hint="eastAsia" w:ascii="仿宋_GB2312" w:eastAsia="仿宋_GB2312"/>
          <w:color w:val="auto"/>
          <w:sz w:val="32"/>
          <w:szCs w:val="32"/>
          <w:highlight w:val="none"/>
          <w:lang w:val="en-US" w:eastAsia="zh-CN"/>
        </w:rPr>
        <w:t>216.55</w:t>
      </w:r>
      <w:r>
        <w:rPr>
          <w:rFonts w:hint="eastAsia" w:ascii="仿宋_GB2312" w:eastAsia="仿宋_GB2312"/>
          <w:color w:val="auto"/>
          <w:sz w:val="32"/>
          <w:szCs w:val="32"/>
          <w:highlight w:val="none"/>
        </w:rPr>
        <w:t>万元，占政府采购支出总额的</w:t>
      </w:r>
      <w:r>
        <w:rPr>
          <w:rFonts w:hint="eastAsia" w:ascii="仿宋_GB2312" w:eastAsia="仿宋_GB2312"/>
          <w:color w:val="auto"/>
          <w:sz w:val="32"/>
          <w:szCs w:val="32"/>
          <w:highlight w:val="none"/>
          <w:lang w:val="en-US" w:eastAsia="zh-CN"/>
        </w:rPr>
        <w:t>100</w:t>
      </w:r>
      <w:r>
        <w:rPr>
          <w:rFonts w:ascii="仿宋_GB2312" w:eastAsia="仿宋_GB2312"/>
          <w:color w:val="auto"/>
          <w:sz w:val="32"/>
          <w:szCs w:val="32"/>
          <w:highlight w:val="none"/>
        </w:rPr>
        <w:t>%</w:t>
      </w:r>
      <w:r>
        <w:rPr>
          <w:rFonts w:hint="eastAsia" w:ascii="仿宋_GB2312" w:eastAsia="仿宋_GB2312"/>
          <w:color w:val="auto"/>
          <w:sz w:val="32"/>
          <w:szCs w:val="32"/>
          <w:highlight w:val="none"/>
        </w:rPr>
        <w:t>，其中：授予小微企业合同金额</w:t>
      </w:r>
      <w:r>
        <w:rPr>
          <w:rFonts w:hint="eastAsia" w:ascii="仿宋_GB2312" w:eastAsia="仿宋_GB2312"/>
          <w:color w:val="auto"/>
          <w:sz w:val="32"/>
          <w:szCs w:val="32"/>
          <w:highlight w:val="none"/>
          <w:lang w:val="en-US" w:eastAsia="zh-CN"/>
        </w:rPr>
        <w:t>216.55</w:t>
      </w:r>
      <w:r>
        <w:rPr>
          <w:rFonts w:hint="eastAsia" w:ascii="仿宋_GB2312" w:eastAsia="仿宋_GB2312"/>
          <w:color w:val="auto"/>
          <w:sz w:val="32"/>
          <w:szCs w:val="32"/>
          <w:highlight w:val="none"/>
        </w:rPr>
        <w:t>万元，占政府采购支出总额的</w:t>
      </w:r>
      <w:r>
        <w:rPr>
          <w:rFonts w:hint="eastAsia" w:ascii="仿宋_GB2312" w:eastAsia="仿宋_GB2312"/>
          <w:color w:val="auto"/>
          <w:sz w:val="32"/>
          <w:szCs w:val="32"/>
          <w:highlight w:val="none"/>
          <w:lang w:val="en-US" w:eastAsia="zh-CN"/>
        </w:rPr>
        <w:t>100</w:t>
      </w:r>
      <w:r>
        <w:rPr>
          <w:rFonts w:ascii="仿宋_GB2312" w:eastAsia="仿宋_GB2312"/>
          <w:color w:val="auto"/>
          <w:sz w:val="32"/>
          <w:szCs w:val="32"/>
          <w:highlight w:val="none"/>
        </w:rPr>
        <w:t>%</w:t>
      </w:r>
      <w:r>
        <w:rPr>
          <w:rFonts w:hint="eastAsia" w:ascii="仿宋_GB2312" w:eastAsia="仿宋_GB2312"/>
          <w:color w:val="auto"/>
          <w:sz w:val="32"/>
          <w:szCs w:val="32"/>
          <w:highlight w:val="none"/>
        </w:rPr>
        <w:t>。</w:t>
      </w:r>
    </w:p>
    <w:p w14:paraId="6CDB4D55">
      <w:pPr>
        <w:autoSpaceDE w:val="0"/>
        <w:autoSpaceDN w:val="0"/>
        <w:adjustRightInd w:val="0"/>
        <w:spacing w:line="600" w:lineRule="exact"/>
        <w:ind w:firstLine="643" w:firstLineChars="200"/>
        <w:jc w:val="left"/>
        <w:outlineLvl w:val="2"/>
        <w:rPr>
          <w:rFonts w:ascii="仿宋" w:hAnsi="仿宋" w:eastAsia="仿宋"/>
          <w:b/>
          <w:color w:val="auto"/>
          <w:sz w:val="32"/>
          <w:szCs w:val="32"/>
          <w:highlight w:val="none"/>
        </w:rPr>
      </w:pPr>
      <w:bookmarkStart w:id="101" w:name="_Toc15377224"/>
      <w:r>
        <w:rPr>
          <w:rFonts w:hint="eastAsia" w:ascii="仿宋" w:hAnsi="仿宋" w:eastAsia="仿宋"/>
          <w:b/>
          <w:color w:val="auto"/>
          <w:sz w:val="32"/>
          <w:szCs w:val="32"/>
          <w:highlight w:val="none"/>
        </w:rPr>
        <w:t>（三）国有资产占有使用情况</w:t>
      </w:r>
      <w:bookmarkEnd w:id="101"/>
    </w:p>
    <w:p w14:paraId="4F09F7AA">
      <w:pPr>
        <w:keepNext w:val="0"/>
        <w:keepLines w:val="0"/>
        <w:widowControl/>
        <w:suppressLineNumbers w:val="0"/>
        <w:autoSpaceDE w:val="0"/>
        <w:autoSpaceDN w:val="0"/>
        <w:adjustRightInd w:val="0"/>
        <w:spacing w:before="0" w:beforeAutospacing="0" w:after="0" w:afterAutospacing="0" w:line="600" w:lineRule="exact"/>
        <w:ind w:left="0" w:right="0" w:firstLine="640" w:firstLineChars="200"/>
        <w:jc w:val="both"/>
        <w:rPr>
          <w:rFonts w:hint="eastAsia" w:ascii="仿宋_GB2312" w:eastAsia="仿宋_GB2312"/>
          <w:color w:val="auto"/>
          <w:sz w:val="32"/>
          <w:szCs w:val="32"/>
          <w:highlight w:val="none"/>
        </w:rPr>
      </w:pPr>
      <w:r>
        <w:rPr>
          <w:rFonts w:hint="eastAsia" w:ascii="仿宋_GB2312" w:eastAsia="仿宋_GB2312"/>
          <w:color w:val="auto"/>
          <w:sz w:val="32"/>
          <w:szCs w:val="32"/>
          <w:highlight w:val="none"/>
        </w:rPr>
        <w:t>截至</w:t>
      </w:r>
      <w:r>
        <w:rPr>
          <w:rFonts w:ascii="仿宋_GB2312" w:eastAsia="仿宋_GB2312"/>
          <w:color w:val="auto"/>
          <w:sz w:val="32"/>
          <w:szCs w:val="32"/>
          <w:highlight w:val="none"/>
        </w:rPr>
        <w:t>20</w:t>
      </w:r>
      <w:r>
        <w:rPr>
          <w:rFonts w:hint="eastAsia" w:ascii="仿宋_GB2312" w:eastAsia="仿宋_GB2312"/>
          <w:color w:val="auto"/>
          <w:sz w:val="32"/>
          <w:szCs w:val="32"/>
          <w:highlight w:val="none"/>
          <w:lang w:val="en-US" w:eastAsia="zh-CN"/>
        </w:rPr>
        <w:t>23</w:t>
      </w:r>
      <w:r>
        <w:rPr>
          <w:rFonts w:hint="eastAsia" w:ascii="仿宋_GB2312" w:eastAsia="仿宋_GB2312"/>
          <w:color w:val="auto"/>
          <w:sz w:val="32"/>
          <w:szCs w:val="32"/>
          <w:highlight w:val="none"/>
        </w:rPr>
        <w:t>年</w:t>
      </w:r>
      <w:r>
        <w:rPr>
          <w:rFonts w:ascii="仿宋_GB2312" w:eastAsia="仿宋_GB2312"/>
          <w:color w:val="auto"/>
          <w:sz w:val="32"/>
          <w:szCs w:val="32"/>
          <w:highlight w:val="none"/>
        </w:rPr>
        <w:t>12</w:t>
      </w:r>
      <w:r>
        <w:rPr>
          <w:rFonts w:hint="eastAsia" w:ascii="仿宋_GB2312" w:eastAsia="仿宋_GB2312"/>
          <w:color w:val="auto"/>
          <w:sz w:val="32"/>
          <w:szCs w:val="32"/>
          <w:highlight w:val="none"/>
        </w:rPr>
        <w:t>月</w:t>
      </w:r>
      <w:r>
        <w:rPr>
          <w:rFonts w:ascii="仿宋_GB2312" w:eastAsia="仿宋_GB2312"/>
          <w:color w:val="auto"/>
          <w:sz w:val="32"/>
          <w:szCs w:val="32"/>
          <w:highlight w:val="none"/>
        </w:rPr>
        <w:t>31</w:t>
      </w:r>
      <w:r>
        <w:rPr>
          <w:rFonts w:hint="eastAsia" w:ascii="仿宋_GB2312" w:eastAsia="仿宋_GB2312"/>
          <w:color w:val="auto"/>
          <w:sz w:val="32"/>
          <w:szCs w:val="32"/>
          <w:highlight w:val="none"/>
        </w:rPr>
        <w:t>日，</w:t>
      </w:r>
      <w:r>
        <w:rPr>
          <w:rFonts w:hint="eastAsia" w:ascii="仿宋_GB2312" w:eastAsia="仿宋_GB2312"/>
          <w:sz w:val="32"/>
          <w:szCs w:val="32"/>
        </w:rPr>
        <w:t>市发展改革委</w:t>
      </w:r>
      <w:r>
        <w:rPr>
          <w:rFonts w:hint="eastAsia" w:ascii="仿宋_GB2312" w:hAnsi="仿宋" w:eastAsia="仿宋_GB2312"/>
          <w:color w:val="000000"/>
          <w:sz w:val="32"/>
          <w:szCs w:val="32"/>
        </w:rPr>
        <w:t>共有车辆</w:t>
      </w:r>
      <w:r>
        <w:rPr>
          <w:rFonts w:hint="eastAsia" w:ascii="仿宋_GB2312" w:hAnsi="仿宋" w:eastAsia="仿宋_GB2312"/>
          <w:color w:val="000000"/>
          <w:sz w:val="32"/>
          <w:szCs w:val="32"/>
          <w:lang w:val="en-US" w:eastAsia="zh-CN"/>
        </w:rPr>
        <w:t>4</w:t>
      </w:r>
      <w:r>
        <w:rPr>
          <w:rFonts w:hint="eastAsia" w:ascii="仿宋_GB2312" w:hAnsi="仿宋" w:eastAsia="仿宋_GB2312"/>
          <w:color w:val="000000"/>
          <w:sz w:val="32"/>
          <w:szCs w:val="32"/>
        </w:rPr>
        <w:t>辆</w:t>
      </w:r>
      <w:r>
        <w:rPr>
          <w:rFonts w:hint="eastAsia" w:ascii="仿宋_GB2312" w:eastAsia="仿宋_GB2312"/>
          <w:color w:val="auto"/>
          <w:sz w:val="32"/>
          <w:szCs w:val="32"/>
          <w:highlight w:val="none"/>
        </w:rPr>
        <w:t>，其中：其他用车</w:t>
      </w:r>
      <w:r>
        <w:rPr>
          <w:rFonts w:hint="eastAsia" w:ascii="仿宋_GB2312" w:eastAsia="仿宋_GB2312"/>
          <w:color w:val="auto"/>
          <w:sz w:val="32"/>
          <w:szCs w:val="32"/>
          <w:highlight w:val="none"/>
          <w:lang w:val="en-US" w:eastAsia="zh-CN"/>
        </w:rPr>
        <w:t>4</w:t>
      </w:r>
      <w:r>
        <w:rPr>
          <w:rFonts w:hint="eastAsia" w:ascii="仿宋_GB2312" w:eastAsia="仿宋_GB2312"/>
          <w:color w:val="auto"/>
          <w:sz w:val="32"/>
          <w:szCs w:val="32"/>
          <w:highlight w:val="none"/>
        </w:rPr>
        <w:t>辆</w:t>
      </w:r>
      <w:r>
        <w:rPr>
          <w:rFonts w:hint="eastAsia" w:ascii="仿宋_GB2312" w:eastAsia="仿宋_GB2312"/>
          <w:color w:val="auto"/>
          <w:sz w:val="32"/>
          <w:szCs w:val="32"/>
          <w:highlight w:val="none"/>
          <w:lang w:eastAsia="zh-CN"/>
        </w:rPr>
        <w:t>。</w:t>
      </w:r>
      <w:r>
        <w:rPr>
          <w:rFonts w:ascii="仿宋_GB2312" w:hAnsi="Times New Roman" w:eastAsia="仿宋_GB2312" w:cs="仿宋_GB2312"/>
          <w:i w:val="0"/>
          <w:iCs w:val="0"/>
          <w:caps w:val="0"/>
          <w:color w:val="000000"/>
          <w:spacing w:val="0"/>
          <w:kern w:val="0"/>
          <w:sz w:val="32"/>
          <w:szCs w:val="32"/>
          <w:lang w:val="en-US" w:eastAsia="zh-CN" w:bidi="ar"/>
        </w:rPr>
        <w:t>其他用车主要是用于</w:t>
      </w:r>
      <w:r>
        <w:rPr>
          <w:rFonts w:hint="eastAsia" w:ascii="仿宋_GB2312" w:hAnsi="Times New Roman" w:eastAsia="仿宋_GB2312" w:cs="仿宋_GB2312"/>
          <w:i w:val="0"/>
          <w:iCs w:val="0"/>
          <w:caps w:val="0"/>
          <w:color w:val="000000"/>
          <w:spacing w:val="0"/>
          <w:kern w:val="0"/>
          <w:sz w:val="32"/>
          <w:szCs w:val="32"/>
          <w:lang w:val="en-US" w:eastAsia="zh-CN" w:bidi="ar"/>
        </w:rPr>
        <w:t>日常工作任务开展用车。</w:t>
      </w:r>
      <w:r>
        <w:rPr>
          <w:rFonts w:hint="eastAsia" w:ascii="仿宋_GB2312" w:eastAsia="仿宋_GB2312"/>
          <w:color w:val="auto"/>
          <w:sz w:val="32"/>
          <w:szCs w:val="32"/>
          <w:highlight w:val="none"/>
        </w:rPr>
        <w:t>单价</w:t>
      </w:r>
      <w:r>
        <w:rPr>
          <w:rFonts w:ascii="仿宋_GB2312" w:eastAsia="仿宋_GB2312"/>
          <w:color w:val="auto"/>
          <w:sz w:val="32"/>
          <w:szCs w:val="32"/>
          <w:highlight w:val="none"/>
        </w:rPr>
        <w:t>100</w:t>
      </w:r>
      <w:r>
        <w:rPr>
          <w:rFonts w:hint="eastAsia" w:ascii="仿宋_GB2312" w:eastAsia="仿宋_GB2312"/>
          <w:color w:val="auto"/>
          <w:sz w:val="32"/>
          <w:szCs w:val="32"/>
          <w:highlight w:val="none"/>
        </w:rPr>
        <w:t>万元以上专用设备</w:t>
      </w:r>
      <w:r>
        <w:rPr>
          <w:rFonts w:hint="eastAsia" w:ascii="仿宋_GB2312" w:eastAsia="仿宋_GB2312"/>
          <w:color w:val="auto"/>
          <w:sz w:val="32"/>
          <w:szCs w:val="32"/>
          <w:highlight w:val="none"/>
          <w:lang w:val="en-US" w:eastAsia="zh-CN"/>
        </w:rPr>
        <w:t>2</w:t>
      </w:r>
      <w:r>
        <w:rPr>
          <w:rFonts w:hint="eastAsia" w:ascii="仿宋_GB2312" w:eastAsia="仿宋_GB2312"/>
          <w:color w:val="auto"/>
          <w:sz w:val="32"/>
          <w:szCs w:val="32"/>
          <w:highlight w:val="none"/>
        </w:rPr>
        <w:t>台（套）。</w:t>
      </w:r>
      <w:bookmarkStart w:id="102" w:name="_Toc32345"/>
    </w:p>
    <w:p w14:paraId="0CB47E9F">
      <w:pPr>
        <w:autoSpaceDE w:val="0"/>
        <w:autoSpaceDN w:val="0"/>
        <w:adjustRightInd w:val="0"/>
        <w:spacing w:line="600" w:lineRule="exact"/>
        <w:ind w:firstLine="643" w:firstLineChars="200"/>
        <w:jc w:val="left"/>
        <w:outlineLvl w:val="2"/>
        <w:rPr>
          <w:rFonts w:hint="eastAsia" w:ascii="仿宋" w:hAnsi="仿宋" w:eastAsia="仿宋"/>
          <w:b/>
          <w:color w:val="auto"/>
          <w:sz w:val="32"/>
          <w:szCs w:val="32"/>
          <w:highlight w:val="none"/>
        </w:rPr>
      </w:pPr>
      <w:r>
        <w:rPr>
          <w:rFonts w:hint="eastAsia" w:ascii="仿宋" w:hAnsi="仿宋" w:eastAsia="仿宋"/>
          <w:b/>
          <w:color w:val="auto"/>
          <w:sz w:val="32"/>
          <w:szCs w:val="32"/>
          <w:highlight w:val="none"/>
          <w:lang w:eastAsia="zh-CN"/>
        </w:rPr>
        <w:t>（四）</w:t>
      </w:r>
      <w:r>
        <w:rPr>
          <w:rFonts w:hint="eastAsia" w:ascii="仿宋" w:hAnsi="仿宋" w:eastAsia="仿宋"/>
          <w:b/>
          <w:color w:val="auto"/>
          <w:sz w:val="32"/>
          <w:szCs w:val="32"/>
          <w:highlight w:val="none"/>
          <w:lang w:val="en-US" w:eastAsia="zh-CN"/>
        </w:rPr>
        <w:t>预算绩效管理情况</w:t>
      </w:r>
      <w:bookmarkEnd w:id="102"/>
    </w:p>
    <w:p w14:paraId="0A36880A">
      <w:pPr>
        <w:keepNext w:val="0"/>
        <w:keepLines w:val="0"/>
        <w:widowControl/>
        <w:suppressLineNumbers w:val="0"/>
        <w:autoSpaceDE w:val="0"/>
        <w:autoSpaceDN w:val="0"/>
        <w:adjustRightInd w:val="0"/>
        <w:spacing w:before="0" w:beforeAutospacing="0" w:after="0" w:afterAutospacing="0" w:line="600" w:lineRule="exact"/>
        <w:ind w:left="0" w:right="0" w:firstLine="640" w:firstLineChars="200"/>
        <w:jc w:val="both"/>
        <w:rPr>
          <w:rFonts w:hint="eastAsia" w:ascii="仿宋_GB2312" w:hAnsi="Times New Roman" w:eastAsia="仿宋_GB2312" w:cs="Times New Roman"/>
          <w:color w:val="auto"/>
          <w:sz w:val="32"/>
          <w:szCs w:val="32"/>
          <w:highlight w:val="none"/>
        </w:rPr>
      </w:pPr>
      <w:bookmarkStart w:id="103" w:name="_Toc9793"/>
      <w:r>
        <w:rPr>
          <w:rFonts w:hint="eastAsia" w:ascii="仿宋_GB2312" w:hAnsi="Times New Roman" w:eastAsia="仿宋_GB2312" w:cs="Times New Roman"/>
          <w:color w:val="auto"/>
          <w:sz w:val="32"/>
          <w:szCs w:val="32"/>
          <w:highlight w:val="none"/>
        </w:rPr>
        <w:t>根据预算绩效管理要求，本部门在</w:t>
      </w:r>
      <w:r>
        <w:rPr>
          <w:rFonts w:hint="eastAsia" w:ascii="仿宋_GB2312" w:hAnsi="Times New Roman" w:eastAsia="仿宋_GB2312" w:cs="Times New Roman"/>
          <w:color w:val="auto"/>
          <w:sz w:val="32"/>
          <w:szCs w:val="32"/>
          <w:highlight w:val="none"/>
          <w:lang w:val="en-US" w:eastAsia="zh-CN"/>
        </w:rPr>
        <w:t>2023年度</w:t>
      </w:r>
      <w:r>
        <w:rPr>
          <w:rFonts w:hint="eastAsia" w:ascii="仿宋_GB2312" w:hAnsi="Times New Roman" w:eastAsia="仿宋_GB2312" w:cs="Times New Roman"/>
          <w:color w:val="auto"/>
          <w:sz w:val="32"/>
          <w:szCs w:val="32"/>
          <w:highlight w:val="none"/>
        </w:rPr>
        <w:t>预算编制阶段，组织对重大项目前期工作经费、区域合作、纪检监察组办案专项经费</w:t>
      </w:r>
      <w:r>
        <w:rPr>
          <w:rFonts w:hint="eastAsia" w:ascii="仿宋_GB2312" w:hAnsi="Times New Roman" w:eastAsia="仿宋_GB2312" w:cs="Times New Roman"/>
          <w:color w:val="auto"/>
          <w:sz w:val="32"/>
          <w:szCs w:val="32"/>
          <w:highlight w:val="none"/>
          <w:lang w:eastAsia="zh-CN"/>
        </w:rPr>
        <w:t>等</w:t>
      </w:r>
      <w:r>
        <w:rPr>
          <w:rFonts w:hint="eastAsia" w:ascii="仿宋_GB2312" w:hAnsi="Times New Roman" w:eastAsia="仿宋_GB2312" w:cs="Times New Roman"/>
          <w:color w:val="auto"/>
          <w:sz w:val="32"/>
          <w:szCs w:val="32"/>
          <w:highlight w:val="none"/>
          <w:lang w:val="en-US" w:eastAsia="zh-CN"/>
        </w:rPr>
        <w:t>22个项目</w:t>
      </w:r>
      <w:r>
        <w:rPr>
          <w:rFonts w:hint="eastAsia" w:ascii="仿宋_GB2312" w:hAnsi="Times New Roman" w:eastAsia="仿宋_GB2312" w:cs="Times New Roman"/>
          <w:color w:val="auto"/>
          <w:sz w:val="32"/>
          <w:szCs w:val="32"/>
          <w:highlight w:val="none"/>
        </w:rPr>
        <w:t>开展了预算事前绩效评估，对</w:t>
      </w:r>
      <w:r>
        <w:rPr>
          <w:rFonts w:hint="eastAsia" w:ascii="仿宋_GB2312" w:hAnsi="Times New Roman" w:eastAsia="仿宋_GB2312" w:cs="Times New Roman"/>
          <w:color w:val="auto"/>
          <w:sz w:val="32"/>
          <w:szCs w:val="32"/>
          <w:highlight w:val="none"/>
          <w:lang w:val="en-US" w:eastAsia="zh-CN"/>
        </w:rPr>
        <w:t>22</w:t>
      </w:r>
      <w:r>
        <w:rPr>
          <w:rFonts w:hint="eastAsia" w:ascii="仿宋_GB2312" w:hAnsi="Times New Roman" w:eastAsia="仿宋_GB2312" w:cs="Times New Roman"/>
          <w:color w:val="auto"/>
          <w:sz w:val="32"/>
          <w:szCs w:val="32"/>
          <w:highlight w:val="none"/>
        </w:rPr>
        <w:t>个项目编制了绩效目标，预算执行过程中，选取</w:t>
      </w:r>
      <w:r>
        <w:rPr>
          <w:rFonts w:hint="eastAsia" w:ascii="仿宋_GB2312" w:hAnsi="Times New Roman" w:eastAsia="仿宋_GB2312" w:cs="Times New Roman"/>
          <w:color w:val="auto"/>
          <w:sz w:val="32"/>
          <w:szCs w:val="32"/>
          <w:highlight w:val="none"/>
          <w:lang w:val="en-US" w:eastAsia="zh-CN"/>
        </w:rPr>
        <w:t>22</w:t>
      </w:r>
      <w:r>
        <w:rPr>
          <w:rFonts w:hint="eastAsia" w:ascii="仿宋_GB2312" w:hAnsi="Times New Roman" w:eastAsia="仿宋_GB2312" w:cs="Times New Roman"/>
          <w:color w:val="auto"/>
          <w:sz w:val="32"/>
          <w:szCs w:val="32"/>
          <w:highlight w:val="none"/>
        </w:rPr>
        <w:t>个项目开展绩效监控，年终执行完毕后，对</w:t>
      </w:r>
      <w:r>
        <w:rPr>
          <w:rFonts w:hint="eastAsia" w:ascii="仿宋_GB2312" w:hAnsi="Times New Roman" w:eastAsia="仿宋_GB2312" w:cs="Times New Roman"/>
          <w:color w:val="auto"/>
          <w:sz w:val="32"/>
          <w:szCs w:val="32"/>
          <w:highlight w:val="none"/>
          <w:lang w:val="en-US" w:eastAsia="zh-CN"/>
        </w:rPr>
        <w:t>22</w:t>
      </w:r>
      <w:r>
        <w:rPr>
          <w:rFonts w:hint="eastAsia" w:ascii="仿宋_GB2312" w:eastAsia="仿宋_GB2312" w:cs="Times New Roman"/>
          <w:color w:val="auto"/>
          <w:sz w:val="32"/>
          <w:szCs w:val="32"/>
          <w:highlight w:val="none"/>
          <w:lang w:val="en-US" w:eastAsia="zh-CN"/>
        </w:rPr>
        <w:t>个</w:t>
      </w:r>
      <w:r>
        <w:rPr>
          <w:rFonts w:hint="eastAsia" w:ascii="仿宋_GB2312" w:hAnsi="Times New Roman" w:eastAsia="仿宋_GB2312" w:cs="Times New Roman"/>
          <w:color w:val="auto"/>
          <w:sz w:val="32"/>
          <w:szCs w:val="32"/>
          <w:highlight w:val="none"/>
        </w:rPr>
        <w:t>项目开展了绩效自评</w:t>
      </w:r>
      <w:r>
        <w:rPr>
          <w:rFonts w:hint="eastAsia" w:ascii="仿宋_GB2312" w:hAnsi="Times New Roman" w:eastAsia="仿宋_GB2312" w:cs="Times New Roman"/>
          <w:color w:val="auto"/>
          <w:sz w:val="32"/>
          <w:szCs w:val="32"/>
          <w:highlight w:val="none"/>
          <w:lang w:eastAsia="zh-CN"/>
        </w:rPr>
        <w:t>。</w:t>
      </w:r>
      <w:bookmarkEnd w:id="103"/>
    </w:p>
    <w:p w14:paraId="2EBA1688">
      <w:pPr>
        <w:keepNext w:val="0"/>
        <w:keepLines w:val="0"/>
        <w:widowControl/>
        <w:suppressLineNumbers w:val="0"/>
        <w:autoSpaceDE w:val="0"/>
        <w:autoSpaceDN w:val="0"/>
        <w:adjustRightInd w:val="0"/>
        <w:spacing w:before="0" w:beforeAutospacing="0" w:after="0" w:afterAutospacing="0" w:line="600" w:lineRule="exact"/>
        <w:ind w:left="0" w:right="0" w:firstLine="640" w:firstLineChars="200"/>
        <w:jc w:val="both"/>
        <w:rPr>
          <w:rFonts w:hint="eastAsia"/>
        </w:rPr>
      </w:pPr>
      <w:r>
        <w:rPr>
          <w:rFonts w:hint="eastAsia" w:ascii="仿宋_GB2312" w:hAnsi="Times New Roman" w:eastAsia="仿宋_GB2312" w:cs="Times New Roman"/>
          <w:color w:val="auto"/>
          <w:sz w:val="32"/>
          <w:szCs w:val="32"/>
          <w:highlight w:val="none"/>
        </w:rPr>
        <w:t>组织对20</w:t>
      </w:r>
      <w:bookmarkStart w:id="156" w:name="_GoBack"/>
      <w:bookmarkEnd w:id="156"/>
      <w:r>
        <w:rPr>
          <w:rFonts w:hint="eastAsia" w:ascii="仿宋_GB2312" w:hAnsi="Times New Roman" w:eastAsia="仿宋_GB2312" w:cs="Times New Roman"/>
          <w:color w:val="auto"/>
          <w:sz w:val="32"/>
          <w:szCs w:val="32"/>
          <w:highlight w:val="none"/>
        </w:rPr>
        <w:t>2</w:t>
      </w:r>
      <w:r>
        <w:rPr>
          <w:rFonts w:hint="eastAsia" w:ascii="仿宋_GB2312" w:hAnsi="Times New Roman" w:eastAsia="仿宋_GB2312" w:cs="Times New Roman"/>
          <w:color w:val="auto"/>
          <w:sz w:val="32"/>
          <w:szCs w:val="32"/>
          <w:highlight w:val="none"/>
          <w:lang w:val="en-US" w:eastAsia="zh-CN"/>
        </w:rPr>
        <w:t>3</w:t>
      </w:r>
      <w:r>
        <w:rPr>
          <w:rFonts w:hint="eastAsia" w:ascii="仿宋_GB2312" w:hAnsi="Times New Roman" w:eastAsia="仿宋_GB2312" w:cs="Times New Roman"/>
          <w:color w:val="auto"/>
          <w:sz w:val="32"/>
          <w:szCs w:val="32"/>
          <w:highlight w:val="none"/>
        </w:rPr>
        <w:t>年度一般公共预算全面开展绩效自评，形成</w:t>
      </w:r>
      <w:r>
        <w:rPr>
          <w:rFonts w:hint="eastAsia" w:ascii="仿宋_GB2312" w:hAnsi="Times New Roman" w:eastAsia="仿宋_GB2312" w:cs="Times New Roman"/>
          <w:color w:val="auto"/>
          <w:sz w:val="32"/>
          <w:szCs w:val="32"/>
          <w:highlight w:val="none"/>
          <w:lang w:eastAsia="zh-CN"/>
        </w:rPr>
        <w:t>广元市发展和改革委员会</w:t>
      </w:r>
      <w:r>
        <w:rPr>
          <w:rFonts w:hint="eastAsia" w:ascii="仿宋_GB2312" w:hAnsi="Times New Roman" w:eastAsia="仿宋_GB2312" w:cs="Times New Roman"/>
          <w:color w:val="auto"/>
          <w:sz w:val="32"/>
          <w:szCs w:val="32"/>
          <w:highlight w:val="none"/>
        </w:rPr>
        <w:t>部门整体（含部门预算项目）绩效自评报告、成渝地区粮食安全保障基地（广元）实施方案</w:t>
      </w:r>
      <w:r>
        <w:rPr>
          <w:rFonts w:hint="eastAsia" w:ascii="仿宋_GB2312" w:hAnsi="Times New Roman" w:eastAsia="仿宋_GB2312" w:cs="Times New Roman"/>
          <w:color w:val="auto"/>
          <w:sz w:val="32"/>
          <w:szCs w:val="32"/>
          <w:highlight w:val="none"/>
          <w:lang w:eastAsia="zh-CN"/>
        </w:rPr>
        <w:t>、四川省生态产品价值实现机制试点经验交流现场会及调研、广元市现代物流产业培育和对外推荐活动经费、清洁能源产业专班</w:t>
      </w:r>
      <w:r>
        <w:rPr>
          <w:rFonts w:hint="eastAsia" w:ascii="仿宋_GB2312" w:hAnsi="Times New Roman" w:eastAsia="仿宋_GB2312" w:cs="Times New Roman"/>
          <w:color w:val="auto"/>
          <w:sz w:val="32"/>
          <w:szCs w:val="32"/>
          <w:highlight w:val="none"/>
        </w:rPr>
        <w:t>等专项预算项目绩效自评报告，其中</w:t>
      </w:r>
      <w:r>
        <w:rPr>
          <w:rFonts w:hint="eastAsia" w:ascii="仿宋_GB2312" w:hAnsi="Times New Roman" w:eastAsia="仿宋_GB2312" w:cs="Times New Roman"/>
          <w:color w:val="auto"/>
          <w:sz w:val="32"/>
          <w:szCs w:val="32"/>
          <w:highlight w:val="none"/>
          <w:lang w:eastAsia="zh-CN"/>
        </w:rPr>
        <w:t>广元市发展和改革委员会</w:t>
      </w:r>
      <w:r>
        <w:rPr>
          <w:rFonts w:hint="eastAsia" w:ascii="仿宋_GB2312" w:hAnsi="Times New Roman" w:eastAsia="仿宋_GB2312" w:cs="Times New Roman"/>
          <w:color w:val="auto"/>
          <w:sz w:val="32"/>
          <w:szCs w:val="32"/>
          <w:highlight w:val="none"/>
        </w:rPr>
        <w:t>部门整体（含部门预算项目）绩效自评得分为</w:t>
      </w:r>
      <w:r>
        <w:rPr>
          <w:rFonts w:hint="eastAsia" w:ascii="仿宋_GB2312" w:hAnsi="Times New Roman" w:eastAsia="仿宋_GB2312" w:cs="Times New Roman"/>
          <w:color w:val="auto"/>
          <w:sz w:val="32"/>
          <w:szCs w:val="32"/>
          <w:highlight w:val="none"/>
          <w:lang w:val="en-US" w:eastAsia="zh-CN"/>
        </w:rPr>
        <w:t>93.18</w:t>
      </w:r>
      <w:r>
        <w:rPr>
          <w:rFonts w:hint="eastAsia" w:ascii="仿宋_GB2312" w:hAnsi="Times New Roman" w:eastAsia="仿宋_GB2312" w:cs="Times New Roman"/>
          <w:color w:val="auto"/>
          <w:sz w:val="32"/>
          <w:szCs w:val="32"/>
          <w:highlight w:val="none"/>
        </w:rPr>
        <w:t>分，绩效自评综述：</w:t>
      </w:r>
      <w:r>
        <w:rPr>
          <w:rFonts w:hint="eastAsia" w:ascii="仿宋_GB2312" w:eastAsia="仿宋_GB2312" w:cs="Times New Roman"/>
          <w:color w:val="auto"/>
          <w:sz w:val="32"/>
          <w:szCs w:val="32"/>
          <w:highlight w:val="none"/>
          <w:lang w:eastAsia="zh-CN"/>
        </w:rPr>
        <w:t>其中</w:t>
      </w:r>
      <w:r>
        <w:rPr>
          <w:rFonts w:hint="eastAsia" w:ascii="仿宋_GB2312" w:hAnsi="Times New Roman" w:eastAsia="仿宋_GB2312" w:cs="Times New Roman"/>
          <w:color w:val="auto"/>
          <w:sz w:val="32"/>
          <w:szCs w:val="32"/>
          <w:highlight w:val="none"/>
        </w:rPr>
        <w:t>总体绩效得分59.69分；项目绩效33.49；无扣分项。</w:t>
      </w:r>
      <w:r>
        <w:rPr>
          <w:rFonts w:hint="eastAsia" w:ascii="仿宋_GB2312" w:hAnsi="Times New Roman" w:eastAsia="仿宋_GB2312" w:cs="Times New Roman"/>
          <w:color w:val="auto"/>
          <w:sz w:val="32"/>
          <w:szCs w:val="32"/>
          <w:highlight w:val="none"/>
          <w:lang w:val="en-US" w:eastAsia="zh-CN"/>
        </w:rPr>
        <w:t>13个</w:t>
      </w:r>
      <w:r>
        <w:rPr>
          <w:rFonts w:hint="eastAsia" w:ascii="仿宋_GB2312" w:hAnsi="Times New Roman" w:eastAsia="仿宋_GB2312" w:cs="Times New Roman"/>
          <w:color w:val="auto"/>
          <w:sz w:val="32"/>
          <w:szCs w:val="32"/>
          <w:highlight w:val="none"/>
        </w:rPr>
        <w:t>专项预算项目绩效自评得分为</w:t>
      </w:r>
      <w:r>
        <w:rPr>
          <w:rFonts w:hint="eastAsia" w:ascii="仿宋_GB2312" w:hAnsi="Times New Roman" w:eastAsia="仿宋_GB2312" w:cs="Times New Roman"/>
          <w:color w:val="auto"/>
          <w:sz w:val="32"/>
          <w:szCs w:val="32"/>
          <w:highlight w:val="none"/>
          <w:lang w:val="en-US" w:eastAsia="zh-CN"/>
        </w:rPr>
        <w:t>100</w:t>
      </w:r>
      <w:r>
        <w:rPr>
          <w:rFonts w:hint="eastAsia" w:ascii="仿宋_GB2312" w:hAnsi="Times New Roman" w:eastAsia="仿宋_GB2312" w:cs="Times New Roman"/>
          <w:color w:val="auto"/>
          <w:sz w:val="32"/>
          <w:szCs w:val="32"/>
          <w:highlight w:val="none"/>
        </w:rPr>
        <w:t>分，绩效自评综述：其中粮食质量安全检验监测能力提升项目</w:t>
      </w:r>
      <w:r>
        <w:rPr>
          <w:rFonts w:hint="eastAsia" w:ascii="仿宋_GB2312" w:hAnsi="Times New Roman" w:eastAsia="仿宋_GB2312" w:cs="Times New Roman"/>
          <w:color w:val="auto"/>
          <w:sz w:val="32"/>
          <w:szCs w:val="32"/>
          <w:highlight w:val="none"/>
          <w:lang w:eastAsia="zh-CN"/>
        </w:rPr>
        <w:t>（商品粮大市奖励资金）</w:t>
      </w:r>
      <w:r>
        <w:rPr>
          <w:rFonts w:hint="eastAsia" w:ascii="仿宋_GB2312" w:hAnsi="Times New Roman" w:eastAsia="仿宋_GB2312" w:cs="Times New Roman"/>
          <w:color w:val="auto"/>
          <w:sz w:val="32"/>
          <w:szCs w:val="32"/>
          <w:highlight w:val="none"/>
        </w:rPr>
        <w:t>自评得分</w:t>
      </w:r>
      <w:r>
        <w:rPr>
          <w:rFonts w:hint="eastAsia" w:ascii="仿宋_GB2312" w:hAnsi="Times New Roman" w:eastAsia="仿宋_GB2312" w:cs="Times New Roman"/>
          <w:color w:val="auto"/>
          <w:sz w:val="32"/>
          <w:szCs w:val="32"/>
          <w:highlight w:val="none"/>
          <w:lang w:val="en-US" w:eastAsia="zh-CN"/>
        </w:rPr>
        <w:t>100</w:t>
      </w:r>
      <w:r>
        <w:rPr>
          <w:rFonts w:hint="eastAsia" w:ascii="仿宋_GB2312" w:hAnsi="Times New Roman" w:eastAsia="仿宋_GB2312" w:cs="Times New Roman"/>
          <w:color w:val="auto"/>
          <w:sz w:val="32"/>
          <w:szCs w:val="32"/>
          <w:highlight w:val="none"/>
        </w:rPr>
        <w:t>分、</w:t>
      </w:r>
      <w:r>
        <w:rPr>
          <w:rFonts w:hint="eastAsia" w:ascii="仿宋_GB2312" w:hAnsi="Times New Roman" w:eastAsia="仿宋_GB2312" w:cs="Times New Roman"/>
          <w:color w:val="auto"/>
          <w:sz w:val="32"/>
          <w:szCs w:val="32"/>
          <w:highlight w:val="none"/>
          <w:lang w:val="en-US" w:eastAsia="zh-CN"/>
        </w:rPr>
        <w:t>2023</w:t>
      </w:r>
      <w:r>
        <w:rPr>
          <w:rFonts w:hint="eastAsia" w:ascii="仿宋_GB2312" w:hAnsi="Times New Roman" w:eastAsia="仿宋_GB2312" w:cs="Times New Roman"/>
          <w:color w:val="auto"/>
          <w:sz w:val="32"/>
          <w:szCs w:val="32"/>
          <w:highlight w:val="none"/>
        </w:rPr>
        <w:t>救灾物资采购自评得分100分、清洁能源产业专班自评得分100分</w:t>
      </w:r>
      <w:r>
        <w:rPr>
          <w:rFonts w:hint="eastAsia" w:ascii="仿宋_GB2312" w:hAnsi="Times New Roman" w:eastAsia="仿宋_GB2312" w:cs="Times New Roman"/>
          <w:color w:val="auto"/>
          <w:sz w:val="32"/>
          <w:szCs w:val="32"/>
          <w:highlight w:val="none"/>
          <w:lang w:eastAsia="zh-CN"/>
        </w:rPr>
        <w:t>、广元市推进“数字政府”建设专题培训会</w:t>
      </w:r>
      <w:r>
        <w:rPr>
          <w:rFonts w:hint="eastAsia" w:ascii="仿宋_GB2312" w:hAnsi="Times New Roman" w:eastAsia="仿宋_GB2312" w:cs="Times New Roman"/>
          <w:color w:val="auto"/>
          <w:sz w:val="32"/>
          <w:szCs w:val="32"/>
          <w:highlight w:val="none"/>
        </w:rPr>
        <w:t>自评得分</w:t>
      </w:r>
      <w:r>
        <w:rPr>
          <w:rFonts w:hint="eastAsia" w:ascii="仿宋_GB2312" w:hAnsi="Times New Roman" w:eastAsia="仿宋_GB2312" w:cs="Times New Roman"/>
          <w:color w:val="auto"/>
          <w:sz w:val="32"/>
          <w:szCs w:val="32"/>
          <w:highlight w:val="none"/>
          <w:lang w:val="en-US" w:eastAsia="zh-CN"/>
        </w:rPr>
        <w:t>100分、2023年涉改乡镇干部周转房项目（预算内基金第批）</w:t>
      </w:r>
      <w:r>
        <w:rPr>
          <w:rFonts w:hint="eastAsia" w:ascii="仿宋_GB2312" w:hAnsi="Times New Roman" w:eastAsia="仿宋_GB2312" w:cs="Times New Roman"/>
          <w:color w:val="auto"/>
          <w:sz w:val="32"/>
          <w:szCs w:val="32"/>
          <w:highlight w:val="none"/>
        </w:rPr>
        <w:t>自评得分</w:t>
      </w:r>
      <w:r>
        <w:rPr>
          <w:rFonts w:hint="eastAsia" w:ascii="仿宋_GB2312" w:hAnsi="Times New Roman" w:eastAsia="仿宋_GB2312" w:cs="Times New Roman"/>
          <w:color w:val="auto"/>
          <w:sz w:val="32"/>
          <w:szCs w:val="32"/>
          <w:highlight w:val="none"/>
          <w:lang w:val="en-US" w:eastAsia="zh-CN"/>
        </w:rPr>
        <w:t>100分、2023年前期工作激励资金（预算内基金第批）</w:t>
      </w:r>
      <w:r>
        <w:rPr>
          <w:rFonts w:hint="eastAsia" w:ascii="仿宋_GB2312" w:hAnsi="Times New Roman" w:eastAsia="仿宋_GB2312" w:cs="Times New Roman"/>
          <w:color w:val="auto"/>
          <w:sz w:val="32"/>
          <w:szCs w:val="32"/>
          <w:highlight w:val="none"/>
        </w:rPr>
        <w:t>自评得分100分</w:t>
      </w:r>
      <w:r>
        <w:rPr>
          <w:rFonts w:hint="eastAsia" w:ascii="仿宋_GB2312" w:hAnsi="Times New Roman" w:eastAsia="仿宋_GB2312" w:cs="Times New Roman"/>
          <w:color w:val="auto"/>
          <w:sz w:val="32"/>
          <w:szCs w:val="32"/>
          <w:highlight w:val="none"/>
          <w:lang w:eastAsia="zh-CN"/>
        </w:rPr>
        <w:t>、县域经济学会年度会费、服务费</w:t>
      </w:r>
      <w:r>
        <w:rPr>
          <w:rFonts w:hint="eastAsia" w:ascii="仿宋_GB2312" w:hAnsi="Times New Roman" w:eastAsia="仿宋_GB2312" w:cs="Times New Roman"/>
          <w:color w:val="auto"/>
          <w:sz w:val="32"/>
          <w:szCs w:val="32"/>
          <w:highlight w:val="none"/>
        </w:rPr>
        <w:t>自评得分100分</w:t>
      </w:r>
      <w:r>
        <w:rPr>
          <w:rFonts w:hint="eastAsia" w:ascii="仿宋_GB2312" w:hAnsi="Times New Roman" w:eastAsia="仿宋_GB2312" w:cs="Times New Roman"/>
          <w:color w:val="auto"/>
          <w:sz w:val="32"/>
          <w:szCs w:val="32"/>
          <w:highlight w:val="none"/>
          <w:lang w:eastAsia="zh-CN"/>
        </w:rPr>
        <w:t>、广元市社会信用体系建设咨询服务项目（广元市创建全国社会信用体系建设示范区第三方综合咨询服务费）</w:t>
      </w:r>
      <w:r>
        <w:rPr>
          <w:rFonts w:hint="eastAsia" w:ascii="仿宋_GB2312" w:hAnsi="Times New Roman" w:eastAsia="仿宋_GB2312" w:cs="Times New Roman"/>
          <w:color w:val="auto"/>
          <w:sz w:val="32"/>
          <w:szCs w:val="32"/>
          <w:highlight w:val="none"/>
        </w:rPr>
        <w:t>自评得分100分</w:t>
      </w:r>
      <w:r>
        <w:rPr>
          <w:rFonts w:hint="eastAsia" w:ascii="仿宋_GB2312" w:hAnsi="Times New Roman" w:eastAsia="仿宋_GB2312" w:cs="Times New Roman"/>
          <w:color w:val="auto"/>
          <w:sz w:val="32"/>
          <w:szCs w:val="32"/>
          <w:highlight w:val="none"/>
          <w:lang w:eastAsia="zh-CN"/>
        </w:rPr>
        <w:t>、2023年度公共信用平台建设项目</w:t>
      </w:r>
      <w:r>
        <w:rPr>
          <w:rFonts w:hint="eastAsia" w:ascii="仿宋_GB2312" w:hAnsi="Times New Roman" w:eastAsia="仿宋_GB2312" w:cs="Times New Roman"/>
          <w:color w:val="auto"/>
          <w:sz w:val="32"/>
          <w:szCs w:val="32"/>
          <w:highlight w:val="none"/>
        </w:rPr>
        <w:t>自评得分100分</w:t>
      </w:r>
      <w:r>
        <w:rPr>
          <w:rFonts w:hint="eastAsia" w:ascii="仿宋_GB2312" w:hAnsi="Times New Roman" w:eastAsia="仿宋_GB2312" w:cs="Times New Roman"/>
          <w:color w:val="auto"/>
          <w:sz w:val="32"/>
          <w:szCs w:val="32"/>
          <w:highlight w:val="none"/>
          <w:lang w:eastAsia="zh-CN"/>
        </w:rPr>
        <w:t>、广元市现代物流产业培育和对外推荐活动经费</w:t>
      </w:r>
      <w:r>
        <w:rPr>
          <w:rFonts w:hint="eastAsia" w:ascii="仿宋_GB2312" w:hAnsi="Times New Roman" w:eastAsia="仿宋_GB2312" w:cs="Times New Roman"/>
          <w:color w:val="auto"/>
          <w:sz w:val="32"/>
          <w:szCs w:val="32"/>
          <w:highlight w:val="none"/>
        </w:rPr>
        <w:t>自评得分100分</w:t>
      </w:r>
      <w:r>
        <w:rPr>
          <w:rFonts w:hint="eastAsia" w:ascii="仿宋_GB2312" w:hAnsi="Times New Roman" w:eastAsia="仿宋_GB2312" w:cs="Times New Roman"/>
          <w:color w:val="auto"/>
          <w:sz w:val="32"/>
          <w:szCs w:val="32"/>
          <w:highlight w:val="none"/>
          <w:lang w:eastAsia="zh-CN"/>
        </w:rPr>
        <w:t>、广元市现代物流产业培育和对外推荐活动经费</w:t>
      </w:r>
      <w:r>
        <w:rPr>
          <w:rFonts w:hint="eastAsia" w:ascii="仿宋_GB2312" w:hAnsi="Times New Roman" w:eastAsia="仿宋_GB2312" w:cs="Times New Roman"/>
          <w:color w:val="auto"/>
          <w:sz w:val="32"/>
          <w:szCs w:val="32"/>
          <w:highlight w:val="none"/>
        </w:rPr>
        <w:t>自评得分100分</w:t>
      </w:r>
      <w:r>
        <w:rPr>
          <w:rFonts w:hint="eastAsia" w:ascii="仿宋_GB2312" w:hAnsi="Times New Roman" w:eastAsia="仿宋_GB2312" w:cs="Times New Roman"/>
          <w:color w:val="auto"/>
          <w:sz w:val="32"/>
          <w:szCs w:val="32"/>
          <w:highlight w:val="none"/>
          <w:lang w:eastAsia="zh-CN"/>
        </w:rPr>
        <w:t>、四川省生态产品价值实现机制试点经验交流现场会及调研</w:t>
      </w:r>
      <w:r>
        <w:rPr>
          <w:rFonts w:hint="eastAsia" w:ascii="仿宋_GB2312" w:hAnsi="Times New Roman" w:eastAsia="仿宋_GB2312" w:cs="Times New Roman"/>
          <w:color w:val="auto"/>
          <w:sz w:val="32"/>
          <w:szCs w:val="32"/>
          <w:highlight w:val="none"/>
        </w:rPr>
        <w:t>自评得分100分</w:t>
      </w:r>
      <w:r>
        <w:rPr>
          <w:rFonts w:hint="eastAsia" w:ascii="仿宋_GB2312" w:hAnsi="Times New Roman" w:eastAsia="仿宋_GB2312" w:cs="Times New Roman"/>
          <w:color w:val="auto"/>
          <w:sz w:val="32"/>
          <w:szCs w:val="32"/>
          <w:highlight w:val="none"/>
          <w:lang w:eastAsia="zh-CN"/>
        </w:rPr>
        <w:t>、成渝地区粮食安全保障基地（广元）实施方案</w:t>
      </w:r>
      <w:r>
        <w:rPr>
          <w:rFonts w:hint="eastAsia" w:ascii="仿宋_GB2312" w:hAnsi="Times New Roman" w:eastAsia="仿宋_GB2312" w:cs="Times New Roman"/>
          <w:color w:val="auto"/>
          <w:sz w:val="32"/>
          <w:szCs w:val="32"/>
          <w:highlight w:val="none"/>
        </w:rPr>
        <w:t>自评得分100分。绩效自评报告详见附件。</w:t>
      </w:r>
    </w:p>
    <w:p w14:paraId="7702B28B">
      <w:pPr>
        <w:widowControl/>
        <w:jc w:val="left"/>
        <w:rPr>
          <w:rFonts w:ascii="仿宋_GB2312" w:eastAsia="仿宋_GB2312"/>
          <w:b/>
          <w:color w:val="auto"/>
          <w:sz w:val="32"/>
          <w:szCs w:val="32"/>
          <w:highlight w:val="none"/>
        </w:rPr>
      </w:pPr>
      <w:r>
        <w:rPr>
          <w:rFonts w:ascii="仿宋_GB2312" w:eastAsia="仿宋_GB2312"/>
          <w:b/>
          <w:color w:val="auto"/>
          <w:sz w:val="32"/>
          <w:szCs w:val="32"/>
          <w:highlight w:val="none"/>
        </w:rPr>
        <w:br w:type="page"/>
      </w:r>
    </w:p>
    <w:p w14:paraId="1B172A3D">
      <w:pPr>
        <w:numPr>
          <w:ilvl w:val="0"/>
          <w:numId w:val="4"/>
        </w:numPr>
        <w:spacing w:line="600" w:lineRule="exact"/>
        <w:ind w:firstLine="660" w:firstLineChars="150"/>
        <w:jc w:val="center"/>
        <w:outlineLvl w:val="0"/>
        <w:rPr>
          <w:rStyle w:val="25"/>
          <w:rFonts w:ascii="黑体" w:hAnsi="黑体" w:eastAsia="黑体"/>
          <w:b w:val="0"/>
          <w:color w:val="auto"/>
          <w:highlight w:val="none"/>
        </w:rPr>
      </w:pPr>
      <w:bookmarkStart w:id="104" w:name="_Toc15396613"/>
      <w:bookmarkStart w:id="105" w:name="_Toc15377225"/>
      <w:bookmarkStart w:id="106" w:name="_Toc1052"/>
      <w:bookmarkStart w:id="107" w:name="_Toc23419"/>
      <w:r>
        <w:rPr>
          <w:rFonts w:hint="eastAsia" w:ascii="黑体" w:hAnsi="黑体" w:eastAsia="黑体"/>
          <w:color w:val="auto"/>
          <w:sz w:val="44"/>
          <w:szCs w:val="44"/>
          <w:highlight w:val="none"/>
        </w:rPr>
        <w:t>名</w:t>
      </w:r>
      <w:r>
        <w:rPr>
          <w:rStyle w:val="25"/>
          <w:rFonts w:hint="eastAsia" w:ascii="黑体" w:hAnsi="黑体" w:eastAsia="黑体"/>
          <w:b w:val="0"/>
          <w:color w:val="auto"/>
          <w:highlight w:val="none"/>
        </w:rPr>
        <w:t>词解释</w:t>
      </w:r>
      <w:bookmarkEnd w:id="104"/>
      <w:bookmarkEnd w:id="105"/>
      <w:bookmarkEnd w:id="106"/>
      <w:bookmarkEnd w:id="107"/>
    </w:p>
    <w:p w14:paraId="1F114AFC">
      <w:pPr>
        <w:spacing w:line="600" w:lineRule="exact"/>
        <w:jc w:val="left"/>
        <w:rPr>
          <w:rFonts w:ascii="宋体"/>
          <w:b/>
          <w:color w:val="auto"/>
          <w:sz w:val="44"/>
          <w:szCs w:val="44"/>
          <w:highlight w:val="none"/>
        </w:rPr>
      </w:pPr>
    </w:p>
    <w:p w14:paraId="1009BB04">
      <w:pPr>
        <w:pStyle w:val="36"/>
        <w:numPr>
          <w:ilvl w:val="0"/>
          <w:numId w:val="5"/>
        </w:numPr>
        <w:spacing w:line="576" w:lineRule="exact"/>
        <w:ind w:firstLine="640" w:firstLineChars="200"/>
        <w:jc w:val="both"/>
        <w:rPr>
          <w:rFonts w:hint="eastAsia" w:ascii="仿宋_GB2312" w:eastAsia="仿宋_GB2312"/>
          <w:sz w:val="32"/>
          <w:szCs w:val="32"/>
        </w:rPr>
      </w:pPr>
      <w:r>
        <w:rPr>
          <w:rFonts w:hint="eastAsia" w:ascii="仿宋_GB2312" w:eastAsia="仿宋_GB2312"/>
          <w:sz w:val="32"/>
          <w:szCs w:val="32"/>
        </w:rPr>
        <w:t>财政拨款收入：指单位从同级财政部门取得的财政预算资金。</w:t>
      </w:r>
    </w:p>
    <w:p w14:paraId="7031A512">
      <w:pPr>
        <w:pStyle w:val="36"/>
        <w:numPr>
          <w:ilvl w:val="0"/>
          <w:numId w:val="5"/>
        </w:numPr>
        <w:spacing w:line="576" w:lineRule="exact"/>
        <w:ind w:firstLine="640" w:firstLineChars="200"/>
        <w:jc w:val="both"/>
        <w:rPr>
          <w:rFonts w:hint="eastAsia" w:ascii="仿宋_GB2312" w:eastAsia="仿宋_GB2312"/>
          <w:sz w:val="32"/>
          <w:szCs w:val="32"/>
        </w:rPr>
      </w:pPr>
      <w:r>
        <w:rPr>
          <w:rFonts w:hint="eastAsia" w:ascii="仿宋_GB2312" w:eastAsia="仿宋_GB2312"/>
          <w:sz w:val="32"/>
          <w:szCs w:val="32"/>
        </w:rPr>
        <w:t>其他收入：指单位取得的除上述收入以外的各项收入。</w:t>
      </w:r>
    </w:p>
    <w:p w14:paraId="1BC0B14B">
      <w:pPr>
        <w:pStyle w:val="36"/>
        <w:numPr>
          <w:ilvl w:val="0"/>
          <w:numId w:val="5"/>
        </w:numPr>
        <w:spacing w:line="576" w:lineRule="exact"/>
        <w:ind w:firstLine="640" w:firstLineChars="200"/>
        <w:jc w:val="both"/>
        <w:rPr>
          <w:rFonts w:hint="eastAsia" w:ascii="仿宋_GB2312" w:eastAsia="仿宋_GB2312"/>
          <w:sz w:val="32"/>
          <w:szCs w:val="32"/>
        </w:rPr>
      </w:pPr>
      <w:r>
        <w:rPr>
          <w:rFonts w:hint="eastAsia" w:ascii="仿宋_GB2312" w:eastAsia="仿宋_GB2312"/>
          <w:sz w:val="32"/>
          <w:szCs w:val="32"/>
        </w:rPr>
        <w:t>年初结转和结余：指以前年度尚未完成、结转到本年按有关规定继续使用的资金。</w:t>
      </w:r>
    </w:p>
    <w:p w14:paraId="71CAB71E">
      <w:pPr>
        <w:pStyle w:val="36"/>
        <w:numPr>
          <w:ilvl w:val="0"/>
          <w:numId w:val="5"/>
        </w:numPr>
        <w:spacing w:line="576" w:lineRule="exact"/>
        <w:ind w:firstLine="640" w:firstLineChars="200"/>
        <w:jc w:val="both"/>
        <w:rPr>
          <w:rFonts w:hint="eastAsia" w:ascii="仿宋_GB2312" w:hAnsi="仿宋" w:eastAsia="仿宋_GB2312"/>
          <w:sz w:val="32"/>
          <w:szCs w:val="32"/>
        </w:rPr>
      </w:pPr>
      <w:r>
        <w:rPr>
          <w:rFonts w:hint="eastAsia" w:ascii="仿宋_GB2312" w:eastAsia="仿宋_GB2312"/>
          <w:sz w:val="32"/>
          <w:szCs w:val="32"/>
        </w:rPr>
        <w:t>年末结转和结余：指单位按有关规定结转到下年或以后年度继续使用的资金。</w:t>
      </w:r>
    </w:p>
    <w:p w14:paraId="233FFC8D">
      <w:pPr>
        <w:pStyle w:val="36"/>
        <w:numPr>
          <w:ilvl w:val="0"/>
          <w:numId w:val="5"/>
        </w:numPr>
        <w:spacing w:line="576" w:lineRule="exact"/>
        <w:ind w:firstLine="640" w:firstLineChars="200"/>
        <w:jc w:val="both"/>
        <w:rPr>
          <w:rFonts w:hint="eastAsia" w:ascii="仿宋_GB2312" w:hAnsi="仿宋" w:eastAsia="仿宋_GB2312"/>
          <w:sz w:val="32"/>
          <w:szCs w:val="32"/>
        </w:rPr>
      </w:pPr>
      <w:r>
        <w:rPr>
          <w:rFonts w:hint="eastAsia" w:ascii="仿宋_GB2312" w:hAnsi="仿宋" w:eastAsia="仿宋_GB2312"/>
          <w:sz w:val="32"/>
          <w:szCs w:val="32"/>
        </w:rPr>
        <w:t>一般公共服务（类）一般公共服务（类）发展与改革事务（款）行政运行（项）反映的本单位（包括实行公务员管理的事业单位）的基本支出。</w:t>
      </w:r>
    </w:p>
    <w:p w14:paraId="6EA8B4D6">
      <w:pPr>
        <w:pStyle w:val="36"/>
        <w:numPr>
          <w:ilvl w:val="0"/>
          <w:numId w:val="5"/>
        </w:numPr>
        <w:spacing w:line="576" w:lineRule="exact"/>
        <w:ind w:firstLine="640" w:firstLineChars="200"/>
        <w:jc w:val="both"/>
        <w:rPr>
          <w:rFonts w:hint="eastAsia" w:ascii="仿宋_GB2312" w:eastAsia="仿宋_GB2312"/>
          <w:color w:val="auto"/>
          <w:sz w:val="32"/>
          <w:szCs w:val="32"/>
        </w:rPr>
      </w:pPr>
      <w:r>
        <w:rPr>
          <w:rFonts w:hint="eastAsia" w:ascii="仿宋_GB2312" w:hAnsi="仿宋" w:eastAsia="仿宋_GB2312"/>
          <w:sz w:val="32"/>
          <w:szCs w:val="32"/>
        </w:rPr>
        <w:t>一般公共服务（类）发展与改革事务（款）一般行政管理事务（项）反映的本单位（包括实行公务员管理的事业单位）未单独设置项级科目的其他项目支出。</w:t>
      </w:r>
    </w:p>
    <w:p w14:paraId="71C51C81">
      <w:pPr>
        <w:pStyle w:val="36"/>
        <w:numPr>
          <w:ilvl w:val="0"/>
          <w:numId w:val="5"/>
        </w:numPr>
        <w:spacing w:line="576" w:lineRule="exact"/>
        <w:ind w:firstLine="640" w:firstLineChars="200"/>
        <w:jc w:val="both"/>
        <w:rPr>
          <w:rFonts w:hint="eastAsia" w:ascii="仿宋_GB2312" w:eastAsia="仿宋_GB2312"/>
          <w:color w:val="auto"/>
          <w:sz w:val="32"/>
          <w:szCs w:val="32"/>
        </w:rPr>
      </w:pPr>
      <w:r>
        <w:rPr>
          <w:rFonts w:hint="eastAsia" w:ascii="仿宋_GB2312" w:eastAsia="仿宋_GB2312"/>
          <w:color w:val="auto"/>
          <w:sz w:val="32"/>
          <w:szCs w:val="32"/>
        </w:rPr>
        <w:t>一般公共服务（类）发展与改革事务（款）</w:t>
      </w:r>
      <w:r>
        <w:rPr>
          <w:rFonts w:hint="eastAsia" w:ascii="仿宋_GB2312" w:eastAsia="仿宋_GB2312"/>
          <w:color w:val="auto"/>
          <w:sz w:val="32"/>
          <w:szCs w:val="32"/>
          <w:lang w:eastAsia="zh-CN"/>
        </w:rPr>
        <w:t>事业运行</w:t>
      </w:r>
      <w:r>
        <w:rPr>
          <w:rFonts w:hint="eastAsia" w:ascii="仿宋_GB2312" w:eastAsia="仿宋_GB2312"/>
          <w:color w:val="auto"/>
          <w:sz w:val="32"/>
          <w:szCs w:val="32"/>
        </w:rPr>
        <w:t>（项）反映的本单位</w:t>
      </w:r>
      <w:r>
        <w:rPr>
          <w:rFonts w:hint="eastAsia" w:ascii="仿宋_GB2312" w:eastAsia="仿宋_GB2312"/>
          <w:color w:val="auto"/>
          <w:sz w:val="32"/>
          <w:szCs w:val="32"/>
          <w:lang w:eastAsia="zh-CN"/>
        </w:rPr>
        <w:t>事业人员经费支出</w:t>
      </w:r>
      <w:r>
        <w:rPr>
          <w:rFonts w:hint="eastAsia" w:ascii="仿宋_GB2312" w:eastAsia="仿宋_GB2312"/>
          <w:color w:val="auto"/>
          <w:sz w:val="32"/>
          <w:szCs w:val="32"/>
        </w:rPr>
        <w:t>。</w:t>
      </w:r>
    </w:p>
    <w:p w14:paraId="337FEA8F">
      <w:pPr>
        <w:pStyle w:val="36"/>
        <w:numPr>
          <w:ilvl w:val="0"/>
          <w:numId w:val="5"/>
        </w:numPr>
        <w:spacing w:line="576" w:lineRule="exact"/>
        <w:ind w:firstLine="640" w:firstLineChars="200"/>
        <w:jc w:val="both"/>
        <w:rPr>
          <w:rFonts w:hint="eastAsia" w:ascii="仿宋_GB2312" w:hAnsi="仿宋" w:eastAsia="仿宋_GB2312"/>
          <w:sz w:val="32"/>
          <w:szCs w:val="32"/>
        </w:rPr>
      </w:pPr>
      <w:r>
        <w:rPr>
          <w:rFonts w:hint="eastAsia" w:ascii="仿宋_GB2312" w:hAnsi="仿宋" w:eastAsia="仿宋_GB2312"/>
          <w:sz w:val="32"/>
          <w:szCs w:val="32"/>
        </w:rPr>
        <w:t>一般公共服务（类）发展与改革事务（款）其他发展与改革事务支出（项）反映除上述项目以外的其他发展与改革事务支出。</w:t>
      </w:r>
    </w:p>
    <w:p w14:paraId="0C20832C">
      <w:pPr>
        <w:pStyle w:val="36"/>
        <w:numPr>
          <w:ilvl w:val="0"/>
          <w:numId w:val="0"/>
        </w:numPr>
        <w:spacing w:line="576" w:lineRule="exact"/>
        <w:ind w:firstLine="640" w:firstLineChars="200"/>
        <w:jc w:val="both"/>
        <w:rPr>
          <w:rFonts w:hint="eastAsia" w:ascii="仿宋_GB2312" w:eastAsia="仿宋_GB2312"/>
          <w:color w:val="auto"/>
          <w:sz w:val="32"/>
          <w:szCs w:val="32"/>
        </w:rPr>
      </w:pPr>
      <w:r>
        <w:rPr>
          <w:rFonts w:hint="eastAsia" w:ascii="仿宋_GB2312" w:eastAsia="仿宋_GB2312"/>
          <w:color w:val="auto"/>
          <w:sz w:val="32"/>
          <w:szCs w:val="32"/>
          <w:lang w:val="en-US" w:eastAsia="zh-CN"/>
        </w:rPr>
        <w:t>10.</w:t>
      </w:r>
      <w:r>
        <w:rPr>
          <w:rFonts w:hint="eastAsia" w:ascii="仿宋_GB2312" w:eastAsia="仿宋_GB2312"/>
          <w:color w:val="auto"/>
          <w:sz w:val="32"/>
          <w:szCs w:val="32"/>
        </w:rPr>
        <w:t>社会保障和就业</w:t>
      </w:r>
      <w:r>
        <w:rPr>
          <w:rFonts w:hint="eastAsia" w:ascii="仿宋_GB2312" w:eastAsia="仿宋_GB2312"/>
          <w:color w:val="auto"/>
          <w:sz w:val="32"/>
          <w:szCs w:val="32"/>
          <w:lang w:val="en-US" w:eastAsia="zh-CN"/>
        </w:rPr>
        <w:t>支出</w:t>
      </w:r>
      <w:r>
        <w:rPr>
          <w:rFonts w:hint="eastAsia" w:ascii="仿宋_GB2312" w:eastAsia="仿宋_GB2312"/>
          <w:color w:val="auto"/>
          <w:sz w:val="32"/>
          <w:szCs w:val="32"/>
        </w:rPr>
        <w:t>（类）行政事业单位养老</w:t>
      </w:r>
      <w:r>
        <w:rPr>
          <w:rFonts w:hint="eastAsia" w:ascii="仿宋_GB2312" w:eastAsia="仿宋_GB2312"/>
          <w:color w:val="auto"/>
          <w:sz w:val="32"/>
          <w:szCs w:val="32"/>
          <w:lang w:val="en-US" w:eastAsia="zh-CN"/>
        </w:rPr>
        <w:t>支出</w:t>
      </w:r>
      <w:r>
        <w:rPr>
          <w:rFonts w:hint="eastAsia" w:ascii="仿宋_GB2312" w:eastAsia="仿宋_GB2312"/>
          <w:color w:val="auto"/>
          <w:sz w:val="32"/>
          <w:szCs w:val="32"/>
        </w:rPr>
        <w:t>（款）行政单位离退休（项）指本单位离退休公用经费等方面的支出。</w:t>
      </w:r>
    </w:p>
    <w:p w14:paraId="168F3ECE">
      <w:pPr>
        <w:pStyle w:val="36"/>
        <w:numPr>
          <w:ilvl w:val="0"/>
          <w:numId w:val="0"/>
        </w:numPr>
        <w:spacing w:line="576" w:lineRule="exact"/>
        <w:ind w:firstLine="640" w:firstLineChars="200"/>
        <w:jc w:val="both"/>
        <w:rPr>
          <w:rFonts w:hint="eastAsia" w:ascii="仿宋_GB2312" w:hAnsi="仿宋" w:eastAsia="仿宋_GB2312"/>
          <w:sz w:val="32"/>
          <w:szCs w:val="32"/>
        </w:rPr>
      </w:pPr>
      <w:r>
        <w:rPr>
          <w:rFonts w:hint="eastAsia" w:ascii="仿宋_GB2312" w:hAnsi="仿宋" w:eastAsia="仿宋_GB2312"/>
          <w:sz w:val="32"/>
          <w:szCs w:val="32"/>
          <w:lang w:val="en-US" w:eastAsia="zh-CN"/>
        </w:rPr>
        <w:t>11.</w:t>
      </w:r>
      <w:r>
        <w:rPr>
          <w:rFonts w:hint="eastAsia" w:ascii="仿宋_GB2312" w:hAnsi="仿宋" w:eastAsia="仿宋_GB2312"/>
          <w:sz w:val="32"/>
          <w:szCs w:val="32"/>
        </w:rPr>
        <w:t>社会保障和就业</w:t>
      </w:r>
      <w:r>
        <w:rPr>
          <w:rFonts w:hint="eastAsia" w:ascii="仿宋_GB2312" w:hAnsi="仿宋" w:eastAsia="仿宋_GB2312"/>
          <w:sz w:val="32"/>
          <w:szCs w:val="32"/>
          <w:lang w:val="en-US" w:eastAsia="zh-CN"/>
        </w:rPr>
        <w:t>支出</w:t>
      </w:r>
      <w:r>
        <w:rPr>
          <w:rFonts w:hint="eastAsia" w:ascii="仿宋_GB2312" w:hAnsi="仿宋" w:eastAsia="仿宋_GB2312"/>
          <w:sz w:val="32"/>
          <w:szCs w:val="32"/>
        </w:rPr>
        <w:t>（类）行政事业单位</w:t>
      </w:r>
      <w:r>
        <w:rPr>
          <w:rFonts w:hint="eastAsia" w:ascii="仿宋_GB2312" w:hAnsi="仿宋" w:eastAsia="仿宋_GB2312"/>
          <w:sz w:val="32"/>
          <w:szCs w:val="32"/>
          <w:lang w:val="en-US" w:eastAsia="zh-CN"/>
        </w:rPr>
        <w:t>养老支出</w:t>
      </w:r>
      <w:r>
        <w:rPr>
          <w:rFonts w:hint="eastAsia" w:ascii="仿宋_GB2312" w:hAnsi="仿宋" w:eastAsia="仿宋_GB2312"/>
          <w:sz w:val="32"/>
          <w:szCs w:val="32"/>
        </w:rPr>
        <w:t>（款）机关事业单位基本养老保险缴费支出（项）反映机关事业单位实施养老保险制度由单位缴纳的基本养老保险费支出。</w:t>
      </w:r>
    </w:p>
    <w:p w14:paraId="47968E37">
      <w:pPr>
        <w:pStyle w:val="36"/>
        <w:numPr>
          <w:ilvl w:val="0"/>
          <w:numId w:val="0"/>
        </w:numPr>
        <w:spacing w:line="576" w:lineRule="exact"/>
        <w:ind w:firstLine="640" w:firstLineChars="200"/>
        <w:jc w:val="both"/>
        <w:rPr>
          <w:rFonts w:hint="eastAsia" w:ascii="仿宋_GB2312" w:hAnsi="仿宋" w:eastAsia="仿宋_GB2312"/>
          <w:sz w:val="32"/>
          <w:szCs w:val="32"/>
        </w:rPr>
      </w:pPr>
      <w:r>
        <w:rPr>
          <w:rFonts w:hint="eastAsia" w:ascii="仿宋_GB2312" w:eastAsia="仿宋_GB2312"/>
          <w:color w:val="auto"/>
          <w:sz w:val="32"/>
          <w:szCs w:val="32"/>
          <w:lang w:val="en-US" w:eastAsia="zh-CN"/>
        </w:rPr>
        <w:t>12.社会保障和就业支出（类）行政事业单位养老支出（款）机关事业单位职业年金缴费支出（项）指机关退休人中职业年金纪实支出。</w:t>
      </w:r>
    </w:p>
    <w:p w14:paraId="657E6426">
      <w:pPr>
        <w:pStyle w:val="36"/>
        <w:numPr>
          <w:ilvl w:val="0"/>
          <w:numId w:val="0"/>
        </w:numPr>
        <w:spacing w:line="576" w:lineRule="exact"/>
        <w:ind w:firstLine="640" w:firstLineChars="200"/>
        <w:jc w:val="both"/>
        <w:rPr>
          <w:rFonts w:hint="eastAsia" w:ascii="仿宋_GB2312" w:eastAsia="仿宋_GB2312"/>
          <w:color w:val="auto"/>
          <w:sz w:val="32"/>
          <w:szCs w:val="32"/>
        </w:rPr>
      </w:pPr>
      <w:r>
        <w:rPr>
          <w:rFonts w:hint="eastAsia" w:ascii="仿宋_GB2312" w:hAnsi="仿宋" w:eastAsia="仿宋_GB2312"/>
          <w:sz w:val="32"/>
          <w:szCs w:val="32"/>
          <w:lang w:val="en-US" w:eastAsia="zh-CN"/>
        </w:rPr>
        <w:t>13.</w:t>
      </w:r>
      <w:r>
        <w:rPr>
          <w:rFonts w:hint="eastAsia" w:ascii="仿宋_GB2312" w:hAnsi="仿宋" w:eastAsia="仿宋_GB2312"/>
          <w:sz w:val="32"/>
          <w:szCs w:val="32"/>
        </w:rPr>
        <w:t>社会保障和就业支出（类）抚恤（款）死亡抚恤（项）指机关离退休人员死亡抚恤支出。</w:t>
      </w:r>
    </w:p>
    <w:p w14:paraId="73E18233">
      <w:pPr>
        <w:pStyle w:val="36"/>
        <w:numPr>
          <w:ilvl w:val="0"/>
          <w:numId w:val="0"/>
        </w:numPr>
        <w:spacing w:line="576" w:lineRule="exact"/>
        <w:ind w:firstLine="640" w:firstLineChars="200"/>
        <w:jc w:val="both"/>
        <w:rPr>
          <w:rFonts w:hint="eastAsia" w:ascii="仿宋_GB2312" w:eastAsia="仿宋_GB2312"/>
          <w:color w:val="auto"/>
          <w:sz w:val="32"/>
          <w:szCs w:val="32"/>
          <w:highlight w:val="none"/>
        </w:rPr>
      </w:pPr>
      <w:r>
        <w:rPr>
          <w:rFonts w:hint="eastAsia" w:ascii="仿宋_GB2312" w:eastAsia="仿宋_GB2312"/>
          <w:color w:val="auto"/>
          <w:sz w:val="32"/>
          <w:szCs w:val="32"/>
          <w:highlight w:val="none"/>
          <w:lang w:val="en-US" w:eastAsia="zh-CN"/>
        </w:rPr>
        <w:t>14.</w:t>
      </w:r>
      <w:r>
        <w:rPr>
          <w:rFonts w:hint="eastAsia" w:ascii="仿宋_GB2312" w:eastAsia="仿宋_GB2312"/>
          <w:color w:val="auto"/>
          <w:sz w:val="32"/>
          <w:szCs w:val="32"/>
          <w:highlight w:val="none"/>
        </w:rPr>
        <w:t>社会保障和就业支出（类）其他社会保障和就业支出（款）其他社会保障和就业支出（项）</w:t>
      </w:r>
      <w:r>
        <w:rPr>
          <w:rFonts w:hint="eastAsia" w:ascii="仿宋_GB2312" w:eastAsia="仿宋_GB2312"/>
          <w:color w:val="auto"/>
          <w:sz w:val="32"/>
          <w:szCs w:val="32"/>
          <w:highlight w:val="none"/>
          <w:lang w:val="en-US" w:eastAsia="zh-CN"/>
        </w:rPr>
        <w:t>指</w:t>
      </w:r>
      <w:r>
        <w:rPr>
          <w:rFonts w:hint="eastAsia" w:ascii="仿宋_GB2312" w:eastAsia="仿宋_GB2312"/>
          <w:color w:val="auto"/>
          <w:sz w:val="32"/>
          <w:szCs w:val="32"/>
          <w:highlight w:val="none"/>
        </w:rPr>
        <w:t>除上述项目以外其他用于社会保障和就业方面的支出。</w:t>
      </w:r>
    </w:p>
    <w:p w14:paraId="6FC1425B">
      <w:pPr>
        <w:pStyle w:val="36"/>
        <w:numPr>
          <w:ilvl w:val="0"/>
          <w:numId w:val="0"/>
        </w:numPr>
        <w:spacing w:line="576" w:lineRule="exact"/>
        <w:ind w:firstLine="640" w:firstLineChars="200"/>
        <w:jc w:val="both"/>
        <w:rPr>
          <w:rFonts w:hint="eastAsia" w:ascii="仿宋_GB2312" w:eastAsia="仿宋_GB2312"/>
          <w:color w:val="auto"/>
          <w:sz w:val="32"/>
          <w:szCs w:val="32"/>
        </w:rPr>
      </w:pPr>
      <w:r>
        <w:rPr>
          <w:rFonts w:hint="eastAsia" w:ascii="仿宋_GB2312" w:eastAsia="仿宋_GB2312"/>
          <w:color w:val="auto"/>
          <w:sz w:val="32"/>
          <w:szCs w:val="32"/>
          <w:highlight w:val="none"/>
          <w:lang w:val="en-US" w:eastAsia="zh-CN"/>
        </w:rPr>
        <w:t>15</w:t>
      </w:r>
      <w:r>
        <w:rPr>
          <w:rFonts w:hint="eastAsia" w:ascii="仿宋_GB2312" w:hAnsi="仿宋" w:eastAsia="仿宋_GB2312"/>
          <w:sz w:val="32"/>
          <w:szCs w:val="32"/>
        </w:rPr>
        <w:t>卫生</w:t>
      </w:r>
      <w:r>
        <w:rPr>
          <w:rFonts w:hint="eastAsia" w:ascii="仿宋_GB2312" w:hAnsi="仿宋" w:eastAsia="仿宋_GB2312"/>
          <w:sz w:val="32"/>
          <w:szCs w:val="32"/>
          <w:lang w:val="en-US" w:eastAsia="zh-CN"/>
        </w:rPr>
        <w:t>健康支出</w:t>
      </w:r>
      <w:r>
        <w:rPr>
          <w:rFonts w:hint="eastAsia" w:ascii="仿宋_GB2312" w:hAnsi="仿宋" w:eastAsia="仿宋_GB2312"/>
          <w:sz w:val="32"/>
          <w:szCs w:val="32"/>
        </w:rPr>
        <w:t>（类）行政事业单位医疗（款）行政单位医疗（项）反映财政部门集中安排的行政单位基本医疗保险缴费经费。</w:t>
      </w:r>
    </w:p>
    <w:p w14:paraId="1912231A">
      <w:pPr>
        <w:pStyle w:val="36"/>
        <w:numPr>
          <w:ilvl w:val="0"/>
          <w:numId w:val="0"/>
        </w:numPr>
        <w:spacing w:line="576" w:lineRule="exact"/>
        <w:ind w:firstLine="640" w:firstLineChars="200"/>
        <w:jc w:val="both"/>
        <w:rPr>
          <w:rFonts w:hint="eastAsia" w:ascii="仿宋_GB2312" w:eastAsia="仿宋_GB2312"/>
          <w:color w:val="auto"/>
          <w:sz w:val="32"/>
          <w:szCs w:val="32"/>
        </w:rPr>
      </w:pPr>
      <w:r>
        <w:rPr>
          <w:rFonts w:hint="eastAsia" w:ascii="仿宋_GB2312" w:eastAsia="仿宋_GB2312"/>
          <w:color w:val="auto"/>
          <w:sz w:val="32"/>
          <w:szCs w:val="32"/>
          <w:lang w:val="en-US" w:eastAsia="zh-CN"/>
        </w:rPr>
        <w:t>16.</w:t>
      </w:r>
      <w:r>
        <w:rPr>
          <w:rFonts w:hint="eastAsia" w:ascii="仿宋_GB2312" w:eastAsia="仿宋_GB2312"/>
          <w:color w:val="auto"/>
          <w:sz w:val="32"/>
          <w:szCs w:val="32"/>
        </w:rPr>
        <w:t>卫生健康支出（类）行政事业单位医疗（款）</w:t>
      </w:r>
      <w:r>
        <w:rPr>
          <w:rFonts w:hint="eastAsia" w:ascii="仿宋_GB2312" w:eastAsia="仿宋_GB2312"/>
          <w:color w:val="auto"/>
          <w:sz w:val="32"/>
          <w:szCs w:val="32"/>
          <w:lang w:val="en-US" w:eastAsia="zh-CN"/>
        </w:rPr>
        <w:t>事业</w:t>
      </w:r>
      <w:r>
        <w:rPr>
          <w:rFonts w:hint="eastAsia" w:ascii="仿宋_GB2312" w:eastAsia="仿宋_GB2312"/>
          <w:color w:val="auto"/>
          <w:sz w:val="32"/>
          <w:szCs w:val="32"/>
        </w:rPr>
        <w:t>单位医疗（项）反映财政部门集中安排的</w:t>
      </w:r>
      <w:r>
        <w:rPr>
          <w:rFonts w:hint="eastAsia" w:ascii="仿宋_GB2312" w:eastAsia="仿宋_GB2312"/>
          <w:color w:val="auto"/>
          <w:sz w:val="32"/>
          <w:szCs w:val="32"/>
          <w:lang w:val="en-US" w:eastAsia="zh-CN"/>
        </w:rPr>
        <w:t>事业</w:t>
      </w:r>
      <w:r>
        <w:rPr>
          <w:rFonts w:hint="eastAsia" w:ascii="仿宋_GB2312" w:eastAsia="仿宋_GB2312"/>
          <w:color w:val="auto"/>
          <w:sz w:val="32"/>
          <w:szCs w:val="32"/>
        </w:rPr>
        <w:t>单位基本医疗保险缴费经费。</w:t>
      </w:r>
    </w:p>
    <w:p w14:paraId="72A119E4">
      <w:pPr>
        <w:pStyle w:val="36"/>
        <w:numPr>
          <w:ilvl w:val="0"/>
          <w:numId w:val="0"/>
        </w:numPr>
        <w:spacing w:line="576" w:lineRule="exact"/>
        <w:ind w:firstLine="640" w:firstLineChars="200"/>
        <w:jc w:val="both"/>
        <w:rPr>
          <w:rFonts w:hint="eastAsia" w:ascii="仿宋_GB2312" w:hAnsi="仿宋" w:eastAsia="仿宋_GB2312"/>
          <w:sz w:val="32"/>
          <w:szCs w:val="32"/>
        </w:rPr>
      </w:pPr>
      <w:r>
        <w:rPr>
          <w:rFonts w:hint="eastAsia" w:ascii="仿宋_GB2312" w:hAnsi="仿宋" w:eastAsia="仿宋_GB2312"/>
          <w:sz w:val="32"/>
          <w:szCs w:val="32"/>
          <w:lang w:val="en-US" w:eastAsia="zh-CN"/>
        </w:rPr>
        <w:t>17.</w:t>
      </w:r>
      <w:r>
        <w:rPr>
          <w:rFonts w:hint="eastAsia" w:ascii="仿宋_GB2312" w:hAnsi="仿宋" w:eastAsia="仿宋_GB2312"/>
          <w:sz w:val="32"/>
          <w:szCs w:val="32"/>
        </w:rPr>
        <w:t>住房保障</w:t>
      </w:r>
      <w:r>
        <w:rPr>
          <w:rFonts w:hint="eastAsia" w:ascii="仿宋_GB2312" w:hAnsi="仿宋" w:eastAsia="仿宋_GB2312"/>
          <w:sz w:val="32"/>
          <w:szCs w:val="32"/>
          <w:lang w:val="en-US" w:eastAsia="zh-CN"/>
        </w:rPr>
        <w:t>支出</w:t>
      </w:r>
      <w:r>
        <w:rPr>
          <w:rFonts w:hint="eastAsia" w:ascii="仿宋_GB2312" w:hAnsi="仿宋" w:eastAsia="仿宋_GB2312"/>
          <w:sz w:val="32"/>
          <w:szCs w:val="32"/>
        </w:rPr>
        <w:t>（类）住房改革支出（款）住房公积金（项）反映本单位按人力资源和社会保障部、财政部规定的基本工资和津贴</w:t>
      </w:r>
      <w:r>
        <w:rPr>
          <w:rFonts w:hint="eastAsia" w:ascii="仿宋_GB2312" w:hAnsi="仿宋" w:eastAsia="仿宋_GB2312"/>
          <w:sz w:val="32"/>
          <w:szCs w:val="32"/>
          <w:lang w:eastAsia="zh-CN"/>
        </w:rPr>
        <w:t>补贴</w:t>
      </w:r>
      <w:r>
        <w:rPr>
          <w:rFonts w:hint="eastAsia" w:ascii="仿宋_GB2312" w:hAnsi="仿宋" w:eastAsia="仿宋_GB2312"/>
          <w:sz w:val="32"/>
          <w:szCs w:val="32"/>
        </w:rPr>
        <w:t>及规定比例为职工缴纳的住房公积金。</w:t>
      </w:r>
    </w:p>
    <w:p w14:paraId="715EBA68">
      <w:pPr>
        <w:pStyle w:val="36"/>
        <w:numPr>
          <w:ilvl w:val="0"/>
          <w:numId w:val="0"/>
        </w:numPr>
        <w:spacing w:line="576" w:lineRule="exact"/>
        <w:ind w:firstLine="640" w:firstLineChars="200"/>
        <w:jc w:val="both"/>
        <w:rPr>
          <w:rFonts w:hint="eastAsia" w:ascii="仿宋_GB2312" w:eastAsia="仿宋_GB2312"/>
          <w:color w:val="auto"/>
          <w:sz w:val="32"/>
          <w:szCs w:val="32"/>
        </w:rPr>
      </w:pPr>
      <w:r>
        <w:rPr>
          <w:rFonts w:hint="eastAsia" w:ascii="仿宋_GB2312" w:eastAsia="仿宋_GB2312"/>
          <w:color w:val="auto"/>
          <w:sz w:val="32"/>
          <w:szCs w:val="32"/>
          <w:lang w:val="en-US" w:eastAsia="zh-CN"/>
        </w:rPr>
        <w:t>18.</w:t>
      </w:r>
      <w:r>
        <w:rPr>
          <w:rFonts w:hint="eastAsia" w:ascii="仿宋_GB2312" w:eastAsia="仿宋_GB2312"/>
          <w:color w:val="auto"/>
          <w:sz w:val="32"/>
          <w:szCs w:val="32"/>
        </w:rPr>
        <w:t>住房保障支出（类）住房改革支出（款）购房补贴（项）指机关高层次人才引进住房补贴支出。</w:t>
      </w:r>
    </w:p>
    <w:p w14:paraId="54FA7449">
      <w:pPr>
        <w:pStyle w:val="36"/>
        <w:numPr>
          <w:ilvl w:val="0"/>
          <w:numId w:val="0"/>
        </w:numPr>
        <w:spacing w:line="576" w:lineRule="exact"/>
        <w:ind w:firstLine="640" w:firstLineChars="200"/>
        <w:jc w:val="both"/>
        <w:rPr>
          <w:rFonts w:hint="eastAsia" w:ascii="仿宋_GB2312" w:hAnsi="仿宋" w:eastAsia="仿宋_GB2312"/>
          <w:sz w:val="32"/>
          <w:szCs w:val="32"/>
        </w:rPr>
      </w:pPr>
      <w:r>
        <w:rPr>
          <w:rFonts w:hint="eastAsia" w:ascii="仿宋_GB2312" w:eastAsia="仿宋_GB2312"/>
          <w:color w:val="auto"/>
          <w:sz w:val="32"/>
          <w:szCs w:val="32"/>
          <w:lang w:val="en-US" w:eastAsia="zh-CN"/>
        </w:rPr>
        <w:t>19.</w:t>
      </w:r>
      <w:r>
        <w:rPr>
          <w:rFonts w:hint="eastAsia" w:ascii="仿宋_GB2312" w:hAnsi="仿宋" w:eastAsia="仿宋_GB2312"/>
          <w:sz w:val="32"/>
          <w:szCs w:val="32"/>
        </w:rPr>
        <w:t>粮油物资储备支出（类）粮油</w:t>
      </w:r>
      <w:r>
        <w:rPr>
          <w:rFonts w:hint="eastAsia" w:ascii="仿宋_GB2312" w:hAnsi="仿宋" w:eastAsia="仿宋_GB2312"/>
          <w:sz w:val="32"/>
          <w:szCs w:val="32"/>
          <w:lang w:eastAsia="zh-CN"/>
        </w:rPr>
        <w:t>物资</w:t>
      </w:r>
      <w:r>
        <w:rPr>
          <w:rFonts w:hint="eastAsia" w:ascii="仿宋_GB2312" w:hAnsi="仿宋" w:eastAsia="仿宋_GB2312"/>
          <w:sz w:val="32"/>
          <w:szCs w:val="32"/>
        </w:rPr>
        <w:t>事务（款）事业运行（项）反映事业单位的基本支出。</w:t>
      </w:r>
    </w:p>
    <w:p w14:paraId="4D098D58">
      <w:pPr>
        <w:pStyle w:val="36"/>
        <w:numPr>
          <w:ilvl w:val="0"/>
          <w:numId w:val="0"/>
        </w:numPr>
        <w:spacing w:line="576" w:lineRule="exact"/>
        <w:ind w:firstLine="640" w:firstLineChars="200"/>
        <w:jc w:val="both"/>
        <w:rPr>
          <w:rFonts w:hint="eastAsia" w:ascii="仿宋_GB2312" w:eastAsia="仿宋_GB2312"/>
          <w:sz w:val="32"/>
          <w:szCs w:val="32"/>
        </w:rPr>
      </w:pPr>
      <w:r>
        <w:rPr>
          <w:rFonts w:hint="eastAsia" w:ascii="仿宋_GB2312" w:hAnsi="仿宋" w:eastAsia="仿宋_GB2312"/>
          <w:sz w:val="32"/>
          <w:szCs w:val="32"/>
          <w:lang w:val="en-US" w:eastAsia="zh-CN"/>
        </w:rPr>
        <w:t>20.</w:t>
      </w:r>
      <w:r>
        <w:rPr>
          <w:rFonts w:hint="eastAsia" w:ascii="仿宋_GB2312" w:hAnsi="仿宋" w:eastAsia="仿宋_GB2312"/>
          <w:sz w:val="32"/>
          <w:szCs w:val="32"/>
        </w:rPr>
        <w:t>粮油物资储备支出（类）粮油</w:t>
      </w:r>
      <w:r>
        <w:rPr>
          <w:rFonts w:hint="eastAsia" w:ascii="仿宋_GB2312" w:hAnsi="仿宋" w:eastAsia="仿宋_GB2312"/>
          <w:sz w:val="32"/>
          <w:szCs w:val="32"/>
          <w:lang w:eastAsia="zh-CN"/>
        </w:rPr>
        <w:t>物资</w:t>
      </w:r>
      <w:r>
        <w:rPr>
          <w:rFonts w:hint="eastAsia" w:ascii="仿宋_GB2312" w:hAnsi="仿宋" w:eastAsia="仿宋_GB2312"/>
          <w:sz w:val="32"/>
          <w:szCs w:val="32"/>
        </w:rPr>
        <w:t>事务（款）专项业务活动（项）反映粮食体制改革、制度研究、军粮供应等专项业务活动。</w:t>
      </w:r>
    </w:p>
    <w:p w14:paraId="0D4FD406">
      <w:pPr>
        <w:pStyle w:val="36"/>
        <w:numPr>
          <w:ilvl w:val="0"/>
          <w:numId w:val="0"/>
        </w:numPr>
        <w:spacing w:line="576" w:lineRule="exact"/>
        <w:ind w:firstLine="640" w:firstLineChars="200"/>
        <w:jc w:val="both"/>
        <w:rPr>
          <w:rFonts w:hint="eastAsia" w:ascii="仿宋_GB2312" w:eastAsia="仿宋_GB2312"/>
          <w:sz w:val="32"/>
          <w:szCs w:val="32"/>
          <w:highlight w:val="none"/>
        </w:rPr>
      </w:pPr>
      <w:r>
        <w:rPr>
          <w:rFonts w:hint="eastAsia" w:ascii="仿宋_GB2312" w:eastAsia="仿宋_GB2312"/>
          <w:sz w:val="32"/>
          <w:szCs w:val="32"/>
          <w:lang w:val="en-US" w:eastAsia="zh-CN"/>
        </w:rPr>
        <w:t>21.</w:t>
      </w:r>
      <w:r>
        <w:rPr>
          <w:rFonts w:hint="eastAsia" w:ascii="仿宋_GB2312" w:eastAsia="仿宋_GB2312"/>
          <w:sz w:val="32"/>
          <w:szCs w:val="32"/>
        </w:rPr>
        <w:t>粮油物资储备支出（类）粮油物资事务（款）物资保管保养（项）是用于救灾物资仓库守库、装卸、翻晒、保</w:t>
      </w:r>
      <w:r>
        <w:rPr>
          <w:rFonts w:hint="eastAsia" w:ascii="仿宋_GB2312" w:eastAsia="仿宋_GB2312"/>
          <w:sz w:val="32"/>
          <w:szCs w:val="32"/>
          <w:highlight w:val="none"/>
        </w:rPr>
        <w:t>养、运输方面的支出。</w:t>
      </w:r>
    </w:p>
    <w:p w14:paraId="4F86BDDC">
      <w:pPr>
        <w:pStyle w:val="36"/>
        <w:numPr>
          <w:ilvl w:val="0"/>
          <w:numId w:val="0"/>
        </w:numPr>
        <w:spacing w:line="576" w:lineRule="exact"/>
        <w:ind w:firstLine="640" w:firstLineChars="200"/>
        <w:jc w:val="both"/>
        <w:rPr>
          <w:rFonts w:hint="eastAsia" w:ascii="仿宋_GB2312" w:hAnsi="仿宋" w:eastAsia="仿宋_GB2312"/>
          <w:sz w:val="32"/>
          <w:szCs w:val="32"/>
        </w:rPr>
      </w:pPr>
      <w:r>
        <w:rPr>
          <w:rFonts w:hint="eastAsia" w:ascii="仿宋_GB2312" w:hAnsi="仿宋" w:eastAsia="仿宋_GB2312"/>
          <w:sz w:val="32"/>
          <w:szCs w:val="32"/>
          <w:lang w:val="en-US" w:eastAsia="zh-CN"/>
        </w:rPr>
        <w:t>22.</w:t>
      </w:r>
      <w:r>
        <w:rPr>
          <w:rFonts w:hint="eastAsia" w:ascii="仿宋_GB2312" w:hAnsi="仿宋" w:eastAsia="仿宋_GB2312"/>
          <w:sz w:val="32"/>
          <w:szCs w:val="32"/>
        </w:rPr>
        <w:t>粮油物资储备支出（类）粮油</w:t>
      </w:r>
      <w:r>
        <w:rPr>
          <w:rFonts w:hint="eastAsia" w:ascii="仿宋_GB2312" w:hAnsi="仿宋" w:eastAsia="仿宋_GB2312"/>
          <w:sz w:val="32"/>
          <w:szCs w:val="32"/>
          <w:lang w:eastAsia="zh-CN"/>
        </w:rPr>
        <w:t>物资</w:t>
      </w:r>
      <w:r>
        <w:rPr>
          <w:rFonts w:hint="eastAsia" w:ascii="仿宋_GB2312" w:hAnsi="仿宋" w:eastAsia="仿宋_GB2312"/>
          <w:sz w:val="32"/>
          <w:szCs w:val="32"/>
        </w:rPr>
        <w:t>事务（款）其他粮油</w:t>
      </w:r>
      <w:r>
        <w:rPr>
          <w:rFonts w:hint="eastAsia" w:ascii="仿宋_GB2312" w:hAnsi="仿宋" w:eastAsia="仿宋_GB2312"/>
          <w:sz w:val="32"/>
          <w:szCs w:val="32"/>
          <w:lang w:eastAsia="zh-CN"/>
        </w:rPr>
        <w:t>物资</w:t>
      </w:r>
      <w:r>
        <w:rPr>
          <w:rFonts w:hint="eastAsia" w:ascii="仿宋_GB2312" w:hAnsi="仿宋" w:eastAsia="仿宋_GB2312"/>
          <w:sz w:val="32"/>
          <w:szCs w:val="32"/>
        </w:rPr>
        <w:t>事务支出（项）反映除上述项目以外其他用于粮油</w:t>
      </w:r>
      <w:r>
        <w:rPr>
          <w:rFonts w:hint="eastAsia" w:ascii="仿宋_GB2312" w:hAnsi="仿宋" w:eastAsia="仿宋_GB2312"/>
          <w:sz w:val="32"/>
          <w:szCs w:val="32"/>
          <w:lang w:eastAsia="zh-CN"/>
        </w:rPr>
        <w:t>物资</w:t>
      </w:r>
      <w:r>
        <w:rPr>
          <w:rFonts w:hint="eastAsia" w:ascii="仿宋_GB2312" w:hAnsi="仿宋" w:eastAsia="仿宋_GB2312"/>
          <w:sz w:val="32"/>
          <w:szCs w:val="32"/>
        </w:rPr>
        <w:t>事务方面的支出。</w:t>
      </w:r>
    </w:p>
    <w:p w14:paraId="7F2E4C26">
      <w:pPr>
        <w:pStyle w:val="36"/>
        <w:numPr>
          <w:ilvl w:val="0"/>
          <w:numId w:val="0"/>
        </w:numPr>
        <w:spacing w:line="576" w:lineRule="exact"/>
        <w:ind w:firstLine="640" w:firstLineChars="200"/>
        <w:jc w:val="both"/>
        <w:rPr>
          <w:rFonts w:hint="eastAsia" w:ascii="仿宋_GB2312" w:eastAsia="仿宋_GB2312"/>
          <w:sz w:val="32"/>
          <w:szCs w:val="32"/>
        </w:rPr>
      </w:pPr>
      <w:r>
        <w:rPr>
          <w:rFonts w:hint="eastAsia" w:ascii="仿宋_GB2312" w:eastAsia="仿宋_GB2312"/>
          <w:sz w:val="32"/>
          <w:szCs w:val="32"/>
          <w:lang w:val="en-US" w:eastAsia="zh-CN"/>
        </w:rPr>
        <w:t>24.</w:t>
      </w:r>
      <w:r>
        <w:rPr>
          <w:rFonts w:hint="eastAsia" w:ascii="仿宋_GB2312" w:eastAsia="仿宋_GB2312"/>
          <w:sz w:val="32"/>
          <w:szCs w:val="32"/>
        </w:rPr>
        <w:t>粮油物资储备支出（类）重要商品储备（款）应急物资储备（项）</w:t>
      </w:r>
      <w:r>
        <w:rPr>
          <w:rFonts w:hint="eastAsia" w:ascii="仿宋_GB2312" w:eastAsia="仿宋_GB2312"/>
          <w:sz w:val="32"/>
          <w:szCs w:val="32"/>
          <w:lang w:eastAsia="zh-CN"/>
        </w:rPr>
        <w:t>指采购救灾物资储备支出。</w:t>
      </w:r>
    </w:p>
    <w:p w14:paraId="6CFB6759">
      <w:pPr>
        <w:pStyle w:val="36"/>
        <w:numPr>
          <w:ilvl w:val="0"/>
          <w:numId w:val="0"/>
        </w:numPr>
        <w:spacing w:line="576" w:lineRule="exact"/>
        <w:ind w:firstLine="640" w:firstLineChars="200"/>
        <w:jc w:val="both"/>
        <w:rPr>
          <w:rFonts w:hint="eastAsia" w:ascii="仿宋_GB2312" w:eastAsia="仿宋_GB2312"/>
          <w:sz w:val="32"/>
          <w:szCs w:val="32"/>
        </w:rPr>
      </w:pPr>
      <w:r>
        <w:rPr>
          <w:rFonts w:hint="eastAsia" w:ascii="仿宋_GB2312" w:eastAsia="仿宋_GB2312"/>
          <w:sz w:val="32"/>
          <w:szCs w:val="32"/>
          <w:lang w:val="en-US" w:eastAsia="zh-CN"/>
        </w:rPr>
        <w:t>25.</w:t>
      </w:r>
      <w:r>
        <w:rPr>
          <w:rFonts w:hint="eastAsia" w:ascii="仿宋_GB2312" w:eastAsia="仿宋_GB2312"/>
          <w:sz w:val="32"/>
          <w:szCs w:val="32"/>
        </w:rPr>
        <w:t>其他支出（类）其他支出（款）其他支出（项</w:t>
      </w:r>
      <w:r>
        <w:rPr>
          <w:rFonts w:hint="eastAsia" w:ascii="仿宋_GB2312" w:eastAsia="仿宋_GB2312"/>
          <w:sz w:val="32"/>
          <w:szCs w:val="32"/>
          <w:lang w:eastAsia="zh-CN"/>
        </w:rPr>
        <w:t>）指</w:t>
      </w:r>
      <w:r>
        <w:rPr>
          <w:rFonts w:hint="eastAsia" w:ascii="仿宋_GB2312" w:eastAsia="仿宋_GB2312"/>
          <w:sz w:val="32"/>
          <w:szCs w:val="32"/>
        </w:rPr>
        <w:t>本单位省预算内基本建设支出及2022年项目激励资金支出。</w:t>
      </w:r>
    </w:p>
    <w:p w14:paraId="12FA9820">
      <w:pPr>
        <w:pStyle w:val="36"/>
        <w:numPr>
          <w:ilvl w:val="0"/>
          <w:numId w:val="0"/>
        </w:numPr>
        <w:spacing w:line="576" w:lineRule="exact"/>
        <w:ind w:firstLine="640" w:firstLineChars="200"/>
        <w:jc w:val="both"/>
        <w:rPr>
          <w:rFonts w:hint="eastAsia" w:ascii="仿宋_GB2312" w:hAnsi="仿宋" w:eastAsia="仿宋_GB2312"/>
          <w:sz w:val="32"/>
          <w:szCs w:val="32"/>
        </w:rPr>
      </w:pPr>
      <w:r>
        <w:rPr>
          <w:rFonts w:hint="eastAsia" w:ascii="仿宋_GB2312" w:hAnsi="仿宋" w:eastAsia="仿宋_GB2312"/>
          <w:sz w:val="32"/>
          <w:szCs w:val="32"/>
          <w:lang w:val="en-US" w:eastAsia="zh-CN"/>
        </w:rPr>
        <w:t>26.</w:t>
      </w:r>
      <w:r>
        <w:rPr>
          <w:rFonts w:hint="eastAsia" w:ascii="仿宋_GB2312" w:hAnsi="仿宋" w:eastAsia="仿宋_GB2312"/>
          <w:sz w:val="32"/>
          <w:szCs w:val="32"/>
        </w:rPr>
        <w:t>基本支出：指为保障机构正常运转、完成日常工作任务而发生的人员支出和公用支出。</w:t>
      </w:r>
    </w:p>
    <w:p w14:paraId="6124CB66">
      <w:pPr>
        <w:pStyle w:val="36"/>
        <w:numPr>
          <w:ilvl w:val="0"/>
          <w:numId w:val="0"/>
        </w:numPr>
        <w:spacing w:line="576" w:lineRule="exact"/>
        <w:ind w:firstLine="640" w:firstLineChars="200"/>
        <w:jc w:val="both"/>
        <w:rPr>
          <w:rFonts w:hint="eastAsia" w:ascii="仿宋_GB2312" w:hAnsi="仿宋" w:eastAsia="仿宋_GB2312"/>
          <w:color w:val="auto"/>
          <w:sz w:val="32"/>
          <w:szCs w:val="32"/>
        </w:rPr>
      </w:pPr>
      <w:r>
        <w:rPr>
          <w:rFonts w:hint="eastAsia" w:ascii="仿宋_GB2312" w:hAnsi="仿宋" w:eastAsia="仿宋_GB2312"/>
          <w:sz w:val="32"/>
          <w:szCs w:val="32"/>
          <w:lang w:val="en-US" w:eastAsia="zh-CN"/>
        </w:rPr>
        <w:t>27.</w:t>
      </w:r>
      <w:r>
        <w:rPr>
          <w:rFonts w:hint="eastAsia" w:ascii="仿宋_GB2312" w:hAnsi="仿宋" w:eastAsia="仿宋_GB2312"/>
          <w:sz w:val="32"/>
          <w:szCs w:val="32"/>
        </w:rPr>
        <w:t>项目支出：指在基本支出之外为完成特定行政任务和事业发展目标所发生的支出。</w:t>
      </w:r>
    </w:p>
    <w:p w14:paraId="6A36131F">
      <w:pPr>
        <w:pStyle w:val="36"/>
        <w:numPr>
          <w:ilvl w:val="0"/>
          <w:numId w:val="0"/>
        </w:numPr>
        <w:spacing w:line="576" w:lineRule="exact"/>
        <w:ind w:firstLine="640" w:firstLineChars="200"/>
        <w:jc w:val="both"/>
        <w:rPr>
          <w:rFonts w:hint="eastAsia" w:ascii="仿宋_GB2312" w:hAnsi="仿宋" w:eastAsia="仿宋_GB2312"/>
          <w:color w:val="auto"/>
          <w:sz w:val="32"/>
          <w:szCs w:val="32"/>
        </w:rPr>
      </w:pPr>
      <w:r>
        <w:rPr>
          <w:rFonts w:hint="eastAsia" w:ascii="仿宋_GB2312" w:hAnsi="仿宋" w:eastAsia="仿宋_GB2312"/>
          <w:color w:val="auto"/>
          <w:sz w:val="32"/>
          <w:szCs w:val="32"/>
          <w:lang w:val="en-US" w:eastAsia="zh-CN"/>
        </w:rPr>
        <w:t>28.</w:t>
      </w:r>
      <w:r>
        <w:rPr>
          <w:rFonts w:hint="eastAsia" w:ascii="仿宋_GB2312" w:hAnsi="仿宋" w:eastAsia="仿宋_GB2312"/>
          <w:color w:val="auto"/>
          <w:sz w:val="32"/>
          <w:szCs w:val="32"/>
        </w:rPr>
        <w:t>“三公”经费：指部门用财政拨款安排的因公出国（境）费、公务用车购置及运行费和公务接待费。其中，因公出国（境）费反映单位公务出国（境）的国际旅费、国外城市间交通费、住宿费、伙食费、培训费、公杂费等支出；公务用车购置及运行费反映单位公务用车车辆购置支出（含车辆购置税）及租用费、燃料费、维修费、过路过桥费、保险费等支出；公务接待费反映单位按规定开支的各类公务接待（含外宾接待）支出。</w:t>
      </w:r>
    </w:p>
    <w:p w14:paraId="18B7A46E">
      <w:pPr>
        <w:pStyle w:val="36"/>
        <w:numPr>
          <w:ilvl w:val="0"/>
          <w:numId w:val="0"/>
        </w:numPr>
        <w:spacing w:line="576" w:lineRule="exact"/>
        <w:ind w:firstLine="640" w:firstLineChars="200"/>
        <w:jc w:val="both"/>
        <w:rPr>
          <w:rFonts w:hint="eastAsia" w:ascii="仿宋_GB2312" w:hAnsi="仿宋" w:eastAsia="仿宋_GB2312"/>
          <w:color w:val="auto"/>
          <w:sz w:val="32"/>
          <w:szCs w:val="32"/>
        </w:rPr>
      </w:pPr>
      <w:r>
        <w:rPr>
          <w:rFonts w:hint="eastAsia" w:ascii="仿宋_GB2312" w:hAnsi="仿宋" w:eastAsia="仿宋_GB2312"/>
          <w:color w:val="auto"/>
          <w:sz w:val="32"/>
          <w:szCs w:val="32"/>
          <w:lang w:val="en-US" w:eastAsia="zh-CN"/>
        </w:rPr>
        <w:t>29.</w:t>
      </w:r>
      <w:r>
        <w:rPr>
          <w:rFonts w:hint="eastAsia" w:ascii="仿宋_GB2312" w:hAnsi="仿宋" w:eastAsia="仿宋_GB2312"/>
          <w:color w:val="auto"/>
          <w:sz w:val="32"/>
          <w:szCs w:val="32"/>
        </w:rPr>
        <w:t>机关运行经费：为保障行政单位（含参照公务员法管理的事业单位）运行用于购买货物和服务的各项资金，包括办公及印刷费、邮电费、差旅费、会议费、福利费、日常维修费、一般设备购置费、办公用房水电费、办公用房取暖费、办公用房物业管理费、公务用车运行维护费以及其他费用。</w:t>
      </w:r>
    </w:p>
    <w:p w14:paraId="347F3C2E">
      <w:pPr>
        <w:spacing w:line="600" w:lineRule="exact"/>
        <w:jc w:val="center"/>
        <w:outlineLvl w:val="9"/>
        <w:rPr>
          <w:rFonts w:hint="eastAsia" w:ascii="黑体" w:hAnsi="黑体" w:eastAsia="黑体"/>
          <w:color w:val="auto"/>
          <w:sz w:val="44"/>
          <w:szCs w:val="44"/>
          <w:highlight w:val="none"/>
        </w:rPr>
      </w:pPr>
      <w:bookmarkStart w:id="108" w:name="_Toc15377226"/>
      <w:r>
        <w:rPr>
          <w:rFonts w:ascii="宋体"/>
          <w:b/>
          <w:color w:val="auto"/>
          <w:sz w:val="44"/>
          <w:szCs w:val="44"/>
          <w:highlight w:val="none"/>
        </w:rPr>
        <w:br w:type="page"/>
      </w:r>
      <w:bookmarkStart w:id="109" w:name="_Toc15396618"/>
    </w:p>
    <w:p w14:paraId="647B315C">
      <w:pPr>
        <w:keepNext w:val="0"/>
        <w:keepLines w:val="0"/>
        <w:widowControl w:val="0"/>
        <w:suppressLineNumbers w:val="0"/>
        <w:adjustRightInd w:val="0"/>
        <w:snapToGrid w:val="0"/>
        <w:spacing w:before="0" w:beforeAutospacing="0" w:after="0" w:afterAutospacing="0" w:line="576" w:lineRule="exact"/>
        <w:ind w:left="0" w:right="0" w:firstLine="371"/>
        <w:jc w:val="center"/>
        <w:rPr>
          <w:rFonts w:hint="eastAsia" w:ascii="方正小标宋简体" w:hAnsi="方正小标宋简体" w:eastAsia="方正小标宋简体" w:cs="方正小标宋简体"/>
          <w:bCs/>
          <w:kern w:val="2"/>
          <w:sz w:val="44"/>
          <w:szCs w:val="44"/>
          <w:lang w:val="en-US" w:eastAsia="zh-CN" w:bidi="ar"/>
        </w:rPr>
      </w:pPr>
    </w:p>
    <w:p w14:paraId="59B8EB7D">
      <w:pPr>
        <w:spacing w:line="600" w:lineRule="exact"/>
        <w:jc w:val="center"/>
        <w:outlineLvl w:val="0"/>
        <w:rPr>
          <w:rStyle w:val="25"/>
          <w:rFonts w:hint="eastAsia" w:ascii="黑体" w:hAnsi="黑体" w:eastAsia="黑体"/>
          <w:b w:val="0"/>
          <w:color w:val="auto"/>
          <w:highlight w:val="none"/>
          <w:lang w:eastAsia="zh-CN"/>
        </w:rPr>
      </w:pPr>
      <w:bookmarkStart w:id="110" w:name="_Toc15396614"/>
      <w:bookmarkStart w:id="111" w:name="_Toc8343"/>
      <w:bookmarkStart w:id="112" w:name="_Toc10431"/>
      <w:r>
        <w:rPr>
          <w:rFonts w:hint="eastAsia" w:ascii="黑体" w:hAnsi="黑体" w:eastAsia="黑体"/>
          <w:color w:val="auto"/>
          <w:sz w:val="44"/>
          <w:szCs w:val="44"/>
          <w:highlight w:val="none"/>
        </w:rPr>
        <w:t>第</w:t>
      </w:r>
      <w:r>
        <w:rPr>
          <w:rStyle w:val="25"/>
          <w:rFonts w:hint="eastAsia" w:ascii="黑体" w:hAnsi="黑体" w:eastAsia="黑体"/>
          <w:b w:val="0"/>
          <w:color w:val="auto"/>
          <w:highlight w:val="none"/>
        </w:rPr>
        <w:t>四部分附件</w:t>
      </w:r>
      <w:bookmarkEnd w:id="110"/>
      <w:bookmarkEnd w:id="111"/>
      <w:bookmarkEnd w:id="112"/>
    </w:p>
    <w:p w14:paraId="091C67A3">
      <w:pPr>
        <w:pStyle w:val="41"/>
        <w:keepNext w:val="0"/>
        <w:keepLines w:val="0"/>
        <w:pageBreakBefore w:val="0"/>
        <w:widowControl w:val="0"/>
        <w:suppressAutoHyphens/>
        <w:kinsoku/>
        <w:wordWrap/>
        <w:overflowPunct/>
        <w:topLinePunct w:val="0"/>
        <w:autoSpaceDE/>
        <w:autoSpaceDN/>
        <w:bidi w:val="0"/>
        <w:spacing w:line="578" w:lineRule="exact"/>
        <w:ind w:left="0" w:leftChars="0"/>
        <w:jc w:val="left"/>
        <w:textAlignment w:val="auto"/>
        <w:rPr>
          <w:rFonts w:hint="eastAsia" w:ascii="黑体" w:hAnsi="黑体" w:eastAsia="黑体" w:cs="黑体"/>
          <w:color w:val="auto"/>
          <w:kern w:val="0"/>
          <w:sz w:val="32"/>
          <w:szCs w:val="32"/>
          <w:highlight w:val="none"/>
          <w:shd w:val="clear" w:color="auto" w:fill="FFFFFF"/>
          <w:lang w:val="en-US" w:eastAsia="zh-CN"/>
        </w:rPr>
      </w:pPr>
      <w:bookmarkStart w:id="113" w:name="_Toc6065"/>
      <w:bookmarkStart w:id="114" w:name="_Toc27080"/>
      <w:r>
        <w:rPr>
          <w:rFonts w:hint="eastAsia" w:ascii="黑体" w:hAnsi="黑体" w:eastAsia="黑体" w:cs="黑体"/>
          <w:color w:val="auto"/>
          <w:kern w:val="0"/>
          <w:sz w:val="32"/>
          <w:szCs w:val="32"/>
          <w:highlight w:val="none"/>
          <w:shd w:val="clear" w:color="auto" w:fill="FFFFFF"/>
          <w:lang w:val="zh-CN"/>
        </w:rPr>
        <w:t>附件</w:t>
      </w:r>
      <w:bookmarkEnd w:id="113"/>
      <w:bookmarkEnd w:id="114"/>
      <w:r>
        <w:rPr>
          <w:rFonts w:hint="eastAsia" w:ascii="黑体" w:hAnsi="黑体" w:eastAsia="黑体" w:cs="黑体"/>
          <w:color w:val="auto"/>
          <w:kern w:val="0"/>
          <w:sz w:val="32"/>
          <w:szCs w:val="32"/>
          <w:highlight w:val="none"/>
          <w:shd w:val="clear" w:color="auto" w:fill="FFFFFF"/>
          <w:lang w:val="en-US" w:eastAsia="zh-CN"/>
        </w:rPr>
        <w:t>1</w:t>
      </w:r>
    </w:p>
    <w:p w14:paraId="18ABBC15">
      <w:pPr>
        <w:keepNext w:val="0"/>
        <w:keepLines w:val="0"/>
        <w:widowControl w:val="0"/>
        <w:suppressLineNumbers w:val="0"/>
        <w:adjustRightInd w:val="0"/>
        <w:snapToGrid w:val="0"/>
        <w:spacing w:before="0" w:beforeAutospacing="0" w:after="0" w:afterAutospacing="0" w:line="576" w:lineRule="exact"/>
        <w:ind w:left="0" w:right="0" w:firstLine="371"/>
        <w:jc w:val="center"/>
        <w:rPr>
          <w:rFonts w:hint="eastAsia" w:ascii="方正小标宋简体" w:hAnsi="方正小标宋简体" w:eastAsia="方正小标宋简体" w:cs="方正小标宋简体"/>
          <w:bCs/>
          <w:kern w:val="2"/>
          <w:sz w:val="44"/>
          <w:szCs w:val="44"/>
          <w:lang w:val="en-US" w:eastAsia="zh-CN" w:bidi="ar"/>
        </w:rPr>
      </w:pPr>
    </w:p>
    <w:p w14:paraId="21F09738">
      <w:pPr>
        <w:adjustRightInd w:val="0"/>
        <w:snapToGrid w:val="0"/>
        <w:spacing w:line="576" w:lineRule="exact"/>
        <w:jc w:val="center"/>
        <w:rPr>
          <w:rFonts w:hint="eastAsia" w:ascii="方正小标宋简体" w:eastAsia="方正小标宋简体" w:cs="方正小标宋简体"/>
          <w:bCs/>
          <w:sz w:val="44"/>
          <w:szCs w:val="44"/>
        </w:rPr>
      </w:pPr>
      <w:r>
        <w:rPr>
          <w:rFonts w:hint="eastAsia" w:ascii="方正小标宋简体" w:eastAsia="方正小标宋简体" w:cs="方正小标宋简体"/>
          <w:bCs/>
          <w:sz w:val="44"/>
          <w:szCs w:val="44"/>
        </w:rPr>
        <w:t>广元市发展和改革委员会</w:t>
      </w:r>
    </w:p>
    <w:p w14:paraId="3CDE07AD">
      <w:pPr>
        <w:adjustRightInd w:val="0"/>
        <w:snapToGrid w:val="0"/>
        <w:spacing w:line="576" w:lineRule="exact"/>
        <w:jc w:val="center"/>
        <w:rPr>
          <w:rFonts w:hint="eastAsia" w:ascii="方正小标宋简体" w:eastAsia="方正小标宋简体" w:cs="方正小标宋简体"/>
          <w:bCs/>
          <w:sz w:val="44"/>
          <w:szCs w:val="44"/>
        </w:rPr>
      </w:pPr>
      <w:r>
        <w:rPr>
          <w:rFonts w:hint="eastAsia" w:ascii="方正小标宋简体" w:eastAsia="方正小标宋简体" w:cs="方正小标宋简体"/>
          <w:bCs/>
          <w:sz w:val="44"/>
          <w:szCs w:val="44"/>
        </w:rPr>
        <w:t>关于2024年部门整体支出绩效评价的函</w:t>
      </w:r>
    </w:p>
    <w:p w14:paraId="7C9C4814">
      <w:pPr>
        <w:spacing w:line="576" w:lineRule="exact"/>
        <w:rPr>
          <w:rFonts w:hint="eastAsia" w:ascii="仿宋_GB2312" w:hAnsi="Times New Roman" w:eastAsia="仿宋_GB2312" w:cs="Times New Roman"/>
          <w:sz w:val="32"/>
          <w:szCs w:val="32"/>
        </w:rPr>
      </w:pPr>
    </w:p>
    <w:p w14:paraId="4D651E8B">
      <w:pPr>
        <w:adjustRightInd w:val="0"/>
        <w:snapToGrid w:val="0"/>
        <w:spacing w:line="576" w:lineRule="exact"/>
        <w:ind w:firstLine="640" w:firstLineChars="200"/>
        <w:contextualSpacing/>
        <w:rPr>
          <w:rFonts w:hint="eastAsia" w:ascii="Times New Roman" w:hAnsi="Times New Roman" w:eastAsia="黑体" w:cs="Times New Roman"/>
          <w:color w:val="000000"/>
          <w:kern w:val="0"/>
          <w:sz w:val="32"/>
          <w:szCs w:val="32"/>
          <w:shd w:val="clear" w:color="auto" w:fill="FFFFFF"/>
          <w:lang w:val="zh-CN"/>
        </w:rPr>
      </w:pPr>
      <w:r>
        <w:rPr>
          <w:rFonts w:hint="eastAsia" w:ascii="Times New Roman" w:hAnsi="Times New Roman" w:eastAsia="黑体" w:cs="Times New Roman"/>
          <w:color w:val="000000"/>
          <w:kern w:val="0"/>
          <w:sz w:val="32"/>
          <w:szCs w:val="32"/>
          <w:shd w:val="clear" w:color="auto" w:fill="FFFFFF"/>
          <w:lang w:val="zh-CN"/>
        </w:rPr>
        <w:t>一、部门（单位）基本情况</w:t>
      </w:r>
    </w:p>
    <w:p w14:paraId="3E30AC38">
      <w:pPr>
        <w:adjustRightInd w:val="0"/>
        <w:snapToGrid w:val="0"/>
        <w:spacing w:line="576" w:lineRule="exact"/>
        <w:ind w:firstLine="640" w:firstLineChars="200"/>
        <w:contextualSpacing/>
        <w:rPr>
          <w:rFonts w:hint="eastAsia" w:ascii="Times New Roman" w:hAnsi="Times New Roman" w:eastAsia="楷体_GB2312" w:cs="Times New Roman"/>
          <w:color w:val="000000"/>
          <w:kern w:val="0"/>
          <w:sz w:val="32"/>
          <w:szCs w:val="32"/>
          <w:shd w:val="clear" w:color="auto" w:fill="FFFFFF"/>
          <w:lang w:val="zh-CN"/>
        </w:rPr>
      </w:pPr>
      <w:r>
        <w:rPr>
          <w:rFonts w:hint="eastAsia" w:ascii="Times New Roman" w:hAnsi="Times New Roman" w:eastAsia="楷体_GB2312" w:cs="Times New Roman"/>
          <w:color w:val="000000"/>
          <w:kern w:val="0"/>
          <w:sz w:val="32"/>
          <w:szCs w:val="32"/>
          <w:shd w:val="clear" w:color="auto" w:fill="FFFFFF"/>
          <w:lang w:val="zh-CN"/>
        </w:rPr>
        <w:t>（一）机构组成</w:t>
      </w:r>
    </w:p>
    <w:p w14:paraId="5478FFC2">
      <w:pPr>
        <w:spacing w:line="576" w:lineRule="exact"/>
        <w:ind w:firstLine="640" w:firstLineChars="200"/>
        <w:rPr>
          <w:rFonts w:hint="eastAsia" w:ascii="仿宋_GB2312" w:hAnsi="Times New Roman" w:eastAsia="仿宋_GB2312" w:cs="Times New Roman"/>
          <w:sz w:val="32"/>
          <w:szCs w:val="32"/>
          <w:lang w:val="zh-CN"/>
        </w:rPr>
      </w:pPr>
      <w:r>
        <w:rPr>
          <w:rFonts w:hint="eastAsia" w:ascii="仿宋_GB2312" w:hAnsi="Times New Roman" w:eastAsia="仿宋_GB2312" w:cs="Times New Roman"/>
          <w:sz w:val="32"/>
          <w:szCs w:val="32"/>
          <w:lang w:val="zh-CN"/>
        </w:rPr>
        <w:t>市发展改革委下属二级单位5个，包括市价格认证中心、市项目编研中心、市经济信息中心、市粮油质量监测站、市救灾物资管理中心，其中：行政单位0个，参照公务员法管理的事业单位0个，其他事业单位5个。</w:t>
      </w:r>
    </w:p>
    <w:p w14:paraId="1007C3B2">
      <w:pPr>
        <w:numPr>
          <w:ilvl w:val="0"/>
          <w:numId w:val="6"/>
        </w:numPr>
        <w:adjustRightInd w:val="0"/>
        <w:snapToGrid w:val="0"/>
        <w:spacing w:line="576" w:lineRule="exact"/>
        <w:ind w:firstLine="640" w:firstLineChars="200"/>
        <w:contextualSpacing/>
        <w:rPr>
          <w:rFonts w:ascii="Times New Roman" w:hAnsi="Times New Roman" w:eastAsia="楷体_GB2312" w:cs="Times New Roman"/>
          <w:color w:val="000000"/>
          <w:kern w:val="0"/>
          <w:sz w:val="32"/>
          <w:szCs w:val="32"/>
          <w:shd w:val="clear" w:color="auto" w:fill="FFFFFF"/>
          <w:lang w:val="zh-CN"/>
        </w:rPr>
      </w:pPr>
      <w:r>
        <w:rPr>
          <w:rFonts w:ascii="Times New Roman" w:hAnsi="Times New Roman" w:eastAsia="楷体_GB2312" w:cs="Times New Roman"/>
          <w:color w:val="000000"/>
          <w:kern w:val="0"/>
          <w:sz w:val="32"/>
          <w:szCs w:val="32"/>
          <w:shd w:val="clear" w:color="auto" w:fill="FFFFFF"/>
          <w:lang w:val="zh-CN"/>
        </w:rPr>
        <w:t>机构职能</w:t>
      </w:r>
    </w:p>
    <w:p w14:paraId="4FAEDBE9">
      <w:pPr>
        <w:spacing w:line="576" w:lineRule="exact"/>
        <w:ind w:firstLine="640" w:firstLineChars="200"/>
        <w:rPr>
          <w:rFonts w:hint="eastAsia" w:ascii="仿宋_GB2312" w:hAnsi="Times New Roman" w:eastAsia="仿宋_GB2312" w:cs="Times New Roman"/>
          <w:sz w:val="32"/>
          <w:szCs w:val="32"/>
        </w:rPr>
      </w:pPr>
      <w:r>
        <w:rPr>
          <w:rFonts w:hint="eastAsia" w:ascii="仿宋_GB2312" w:hAnsi="Times New Roman" w:eastAsia="仿宋_GB2312" w:cs="Times New Roman"/>
          <w:sz w:val="32"/>
          <w:szCs w:val="32"/>
          <w:lang w:val="zh-CN"/>
        </w:rPr>
        <w:t>1.贯彻实施国家有关国</w:t>
      </w:r>
      <w:r>
        <w:rPr>
          <w:rFonts w:hint="eastAsia" w:ascii="仿宋_GB2312" w:hAnsi="Times New Roman" w:eastAsia="仿宋_GB2312" w:cs="Times New Roman"/>
          <w:sz w:val="32"/>
          <w:szCs w:val="32"/>
        </w:rPr>
        <w:t>民经济和社会发展、经济体制改革、国家粮食流通和储备粮管理的方针、政策和法律、法规。拟订全市有关国民经济和社会发展、经济体制改革、粮食流通和储备粮管理的政策措施；拟订全市粮食流通体制改革方案并组织实施；提出发展现代粮食流通产业战略建议；负责本系统、本部门依法行政工作，落实行政执法责任制。</w:t>
      </w:r>
    </w:p>
    <w:p w14:paraId="13645E45">
      <w:pPr>
        <w:spacing w:line="576" w:lineRule="exact"/>
        <w:ind w:firstLine="640" w:firstLineChars="200"/>
        <w:rPr>
          <w:rFonts w:hint="eastAsia" w:ascii="仿宋_GB2312" w:hAnsi="Times New Roman" w:eastAsia="仿宋_GB2312" w:cs="Times New Roman"/>
          <w:sz w:val="32"/>
          <w:szCs w:val="32"/>
          <w:lang w:val="zh-CN"/>
        </w:rPr>
      </w:pPr>
      <w:r>
        <w:rPr>
          <w:rFonts w:hint="eastAsia" w:ascii="仿宋_GB2312" w:hAnsi="Times New Roman" w:eastAsia="仿宋_GB2312" w:cs="Times New Roman"/>
          <w:sz w:val="32"/>
          <w:szCs w:val="32"/>
          <w:lang w:val="zh-CN"/>
        </w:rPr>
        <w:t>2.负责拟订并组织实施全市国民经济和社会发展战略、中长期规划和年度计划，统筹协调全市经济社会发展，研究分析宏观经济形势，提出全市经济社会发展、经济结构优化、价格总水平调控目标和政策建议。受市政府委托向市人大提交国民经济和社会发展计划报告。</w:t>
      </w:r>
    </w:p>
    <w:p w14:paraId="0763C319">
      <w:pPr>
        <w:spacing w:line="576" w:lineRule="exact"/>
        <w:ind w:firstLine="640" w:firstLineChars="200"/>
        <w:rPr>
          <w:rFonts w:hint="eastAsia" w:ascii="仿宋_GB2312" w:hAnsi="Times New Roman" w:eastAsia="仿宋_GB2312" w:cs="Times New Roman"/>
          <w:sz w:val="32"/>
          <w:szCs w:val="32"/>
          <w:lang w:val="zh-CN"/>
        </w:rPr>
      </w:pPr>
      <w:r>
        <w:rPr>
          <w:rFonts w:hint="eastAsia" w:ascii="仿宋_GB2312" w:hAnsi="Times New Roman" w:eastAsia="仿宋_GB2312" w:cs="Times New Roman"/>
          <w:sz w:val="32"/>
          <w:szCs w:val="32"/>
          <w:lang w:val="zh-CN"/>
        </w:rPr>
        <w:t>3.负责监测宏观经济和社会发展态势，承担预测预警和信息引导的责任，研究宏观调控重大问题并提出政策建议，搞好总量平衡，综合协调经济社会发展中的重大问题。负责开发区的指导、协调和宏观管理。</w:t>
      </w:r>
    </w:p>
    <w:p w14:paraId="2E0F5E7C">
      <w:pPr>
        <w:spacing w:line="576" w:lineRule="exact"/>
        <w:ind w:firstLine="640" w:firstLineChars="200"/>
        <w:rPr>
          <w:rFonts w:hint="eastAsia" w:ascii="仿宋_GB2312" w:hAnsi="Times New Roman" w:eastAsia="仿宋_GB2312" w:cs="Times New Roman"/>
          <w:sz w:val="32"/>
          <w:szCs w:val="32"/>
          <w:lang w:val="zh-CN"/>
        </w:rPr>
      </w:pPr>
      <w:r>
        <w:rPr>
          <w:rFonts w:hint="eastAsia" w:ascii="仿宋_GB2312" w:hAnsi="Times New Roman" w:eastAsia="仿宋_GB2312" w:cs="Times New Roman"/>
          <w:sz w:val="32"/>
          <w:szCs w:val="32"/>
          <w:lang w:val="zh-CN"/>
        </w:rPr>
        <w:t>4.负责全市投资宏观管理。拟订全社会固定资产投资总规模和投资结构的调控目标、政策及措施，安排市级预算内基本建设资金，按规定权限审批、核准、备案或转报固定资产投资项目（企业技术改造项目除外）和资源开发利用、外资、境外投资项目。引导民间投资方向，研究提出利用外资和境外投资的规划、总量平衡和结构优化的目标和政策，指导和协调国外贷款项目实施。指导工程咨询业发展。</w:t>
      </w:r>
    </w:p>
    <w:p w14:paraId="0581989B">
      <w:pPr>
        <w:spacing w:line="576" w:lineRule="exact"/>
        <w:ind w:firstLine="640" w:firstLineChars="200"/>
        <w:rPr>
          <w:rFonts w:hint="eastAsia" w:ascii="仿宋_GB2312" w:hAnsi="Times New Roman" w:eastAsia="仿宋_GB2312" w:cs="Times New Roman"/>
          <w:sz w:val="32"/>
          <w:szCs w:val="32"/>
          <w:lang w:val="zh-CN"/>
        </w:rPr>
      </w:pPr>
      <w:r>
        <w:rPr>
          <w:rFonts w:hint="eastAsia" w:ascii="仿宋_GB2312" w:hAnsi="Times New Roman" w:eastAsia="仿宋_GB2312" w:cs="Times New Roman"/>
          <w:sz w:val="32"/>
          <w:szCs w:val="32"/>
          <w:lang w:val="zh-CN"/>
        </w:rPr>
        <w:t>5.推进经济结构战略性调整。组织拟订全市综合性产业政策，负责协调第一、二、三产业发展的重大问题，衔接平衡相关发展规划和重大政策，协调农业和农村经济社会发展的重大问题，衔接农村专项规划和政策。拟订重大产业发展规划，引导全市重大生产力合理布局，协调推进全市重大产业基地建设，会同有关部门拟订服务业、现代物流业发展战略、规划和重大政策。组织拟订高技术产业发展、产业技术进步的战略、规划和重大政策，指导全市自主创新体系建设发展。</w:t>
      </w:r>
    </w:p>
    <w:p w14:paraId="3BD23F20">
      <w:pPr>
        <w:spacing w:line="576" w:lineRule="exact"/>
        <w:ind w:firstLine="640" w:firstLineChars="200"/>
        <w:rPr>
          <w:rFonts w:hint="eastAsia" w:ascii="仿宋_GB2312" w:hAnsi="Times New Roman" w:eastAsia="仿宋_GB2312" w:cs="Times New Roman"/>
          <w:sz w:val="32"/>
          <w:szCs w:val="32"/>
          <w:lang w:val="zh-CN"/>
        </w:rPr>
      </w:pPr>
      <w:r>
        <w:rPr>
          <w:rFonts w:hint="eastAsia" w:ascii="仿宋_GB2312" w:hAnsi="Times New Roman" w:eastAsia="仿宋_GB2312" w:cs="Times New Roman"/>
          <w:sz w:val="32"/>
          <w:szCs w:val="32"/>
          <w:lang w:val="zh-CN"/>
        </w:rPr>
        <w:t>6.促进城乡区域协调发展。组织拟订区域协调发展战略、规划和重大政策，研究提出城镇发展战略和统筹城乡发展的重大政策，负责地区经济协作的统筹协调。</w:t>
      </w:r>
    </w:p>
    <w:p w14:paraId="6171B09E">
      <w:pPr>
        <w:spacing w:line="576" w:lineRule="exact"/>
        <w:ind w:firstLine="640" w:firstLineChars="200"/>
        <w:rPr>
          <w:rFonts w:hint="eastAsia" w:ascii="仿宋_GB2312" w:hAnsi="Times New Roman" w:eastAsia="仿宋_GB2312" w:cs="Times New Roman"/>
          <w:sz w:val="32"/>
          <w:szCs w:val="32"/>
          <w:lang w:val="zh-CN"/>
        </w:rPr>
      </w:pPr>
      <w:r>
        <w:rPr>
          <w:rFonts w:hint="eastAsia" w:ascii="仿宋_GB2312" w:hAnsi="Times New Roman" w:eastAsia="仿宋_GB2312" w:cs="Times New Roman"/>
          <w:sz w:val="32"/>
          <w:szCs w:val="32"/>
          <w:lang w:val="zh-CN"/>
        </w:rPr>
        <w:t>7.负责重要商品的总量平衡和宏观调控。研究分析市内外市场和对外贸易运行情况，编制重要农产品、工业品和原材料进出口总量计划并监督计划执行；会同有关部门管理粮食、棉花等重要物资和商品的市级储备工作，提出重要商品市场、生产要素市场的总体布局和发展规划。</w:t>
      </w:r>
    </w:p>
    <w:p w14:paraId="0294931B">
      <w:pPr>
        <w:spacing w:line="576" w:lineRule="exact"/>
        <w:ind w:firstLine="640" w:firstLineChars="200"/>
        <w:rPr>
          <w:rFonts w:hint="eastAsia" w:ascii="仿宋_GB2312" w:hAnsi="Times New Roman" w:eastAsia="仿宋_GB2312" w:cs="Times New Roman"/>
          <w:sz w:val="32"/>
          <w:szCs w:val="32"/>
          <w:lang w:val="zh-CN"/>
        </w:rPr>
      </w:pPr>
      <w:r>
        <w:rPr>
          <w:rFonts w:hint="eastAsia" w:ascii="仿宋_GB2312" w:hAnsi="Times New Roman" w:eastAsia="仿宋_GB2312" w:cs="Times New Roman"/>
          <w:sz w:val="32"/>
          <w:szCs w:val="32"/>
          <w:lang w:val="zh-CN"/>
        </w:rPr>
        <w:t>8.负责汇总和分析全市财政、金融等方面的情况，参与制定财政、金融、土地政策，综合分析政策执行效果，负责全市全口径外债的总量控制、结构优化和监测工作，提出多渠道融资的政策建议，综合协调财政、金融、价格和产业政策等经济杠杆，保证全市国民经济和发展规划的实施。</w:t>
      </w:r>
    </w:p>
    <w:p w14:paraId="7231C595">
      <w:pPr>
        <w:spacing w:line="576" w:lineRule="exact"/>
        <w:ind w:firstLine="640" w:firstLineChars="200"/>
        <w:rPr>
          <w:rFonts w:hint="eastAsia" w:ascii="仿宋_GB2312" w:hAnsi="Times New Roman" w:eastAsia="仿宋_GB2312" w:cs="Times New Roman"/>
          <w:sz w:val="32"/>
          <w:szCs w:val="32"/>
          <w:lang w:val="zh-CN"/>
        </w:rPr>
      </w:pPr>
      <w:r>
        <w:rPr>
          <w:rFonts w:hint="eastAsia" w:ascii="仿宋_GB2312" w:hAnsi="Times New Roman" w:eastAsia="仿宋_GB2312" w:cs="Times New Roman"/>
          <w:sz w:val="32"/>
          <w:szCs w:val="32"/>
          <w:lang w:val="zh-CN"/>
        </w:rPr>
        <w:t>9.负责全市社会发展与国民经济发展的政策衔接。组织拟订社会发展战略、总体规划和年度计划，承担研究拟订和组织实施全市人口发展战略规划、中长期规划、年度计划及人口政策，参与拟订科学技术、教育、文化、卫生、民政等发展政策，推进社会事业建设。研究提出促进就业、调整收入分配、完善社会保障与经济协调发展的政策建议，协调社会事业发展和政策中的重大问题及政策。</w:t>
      </w:r>
    </w:p>
    <w:p w14:paraId="18540FA1">
      <w:pPr>
        <w:spacing w:line="576" w:lineRule="exact"/>
        <w:ind w:firstLine="640" w:firstLineChars="200"/>
        <w:rPr>
          <w:rFonts w:hint="eastAsia" w:ascii="仿宋_GB2312" w:hAnsi="Times New Roman" w:eastAsia="仿宋_GB2312" w:cs="Times New Roman"/>
          <w:sz w:val="32"/>
          <w:szCs w:val="32"/>
          <w:lang w:val="zh-CN"/>
        </w:rPr>
      </w:pPr>
      <w:r>
        <w:rPr>
          <w:rFonts w:hint="eastAsia" w:ascii="仿宋_GB2312" w:hAnsi="Times New Roman" w:eastAsia="仿宋_GB2312" w:cs="Times New Roman"/>
          <w:sz w:val="32"/>
          <w:szCs w:val="32"/>
          <w:lang w:val="zh-CN"/>
        </w:rPr>
        <w:t>10.拟订全市能源发展战略、总体规划、行业规划和产业政策并组织实施，研究提出促进能源发展、提高能源保障、优化能源结构、推进能源节约的措施方法，拟订全市能源相关体制改革的实施方案。负责全市能源行业管理，协调全市能源建设的重大问题，指导能源科技进步工作，推广应用新产品、新技术、新设备。负责电动汽车充电设施发展的相关工作，根据电动汽车的发展规划和产业政策，牵头拟订电动汽车充电设施的发展规划和扶持政策。</w:t>
      </w:r>
    </w:p>
    <w:p w14:paraId="7ABA7EA6">
      <w:pPr>
        <w:spacing w:line="576" w:lineRule="exact"/>
        <w:ind w:firstLine="640" w:firstLineChars="200"/>
        <w:rPr>
          <w:rFonts w:hint="eastAsia" w:ascii="仿宋_GB2312" w:hAnsi="Times New Roman" w:eastAsia="仿宋_GB2312" w:cs="Times New Roman"/>
          <w:sz w:val="32"/>
          <w:szCs w:val="32"/>
          <w:lang w:val="zh-CN"/>
        </w:rPr>
      </w:pPr>
      <w:r>
        <w:rPr>
          <w:rFonts w:hint="eastAsia" w:ascii="仿宋_GB2312" w:hAnsi="Times New Roman" w:eastAsia="仿宋_GB2312" w:cs="Times New Roman"/>
          <w:sz w:val="32"/>
          <w:szCs w:val="32"/>
          <w:lang w:val="zh-CN"/>
        </w:rPr>
        <w:t>11.推进可持续发展，协调节能环保产业发展有关工作；组织拟订并协调实施全市发展循环经济、能源资源节约和综合利用规划及政策措施，参与编制生态环境建设，协调生态建设、能源资源节约和综合利用的重大问题，综合协调环保产业和清洁生产促进有关工作。贯彻执行国家和省有关低碳发展战略、方针和政策。</w:t>
      </w:r>
    </w:p>
    <w:p w14:paraId="07567B5D">
      <w:pPr>
        <w:spacing w:line="576" w:lineRule="exact"/>
        <w:ind w:firstLine="640" w:firstLineChars="200"/>
        <w:rPr>
          <w:rFonts w:hint="eastAsia" w:ascii="仿宋_GB2312" w:hAnsi="Times New Roman" w:eastAsia="仿宋_GB2312" w:cs="Times New Roman"/>
          <w:sz w:val="32"/>
          <w:szCs w:val="32"/>
          <w:lang w:val="zh-CN"/>
        </w:rPr>
      </w:pPr>
      <w:r>
        <w:rPr>
          <w:rFonts w:hint="eastAsia" w:ascii="仿宋_GB2312" w:hAnsi="Times New Roman" w:eastAsia="仿宋_GB2312" w:cs="Times New Roman"/>
          <w:sz w:val="32"/>
          <w:szCs w:val="32"/>
          <w:lang w:val="zh-CN"/>
        </w:rPr>
        <w:t>12.会同有关部门拟订革命老区、贫困地区经济发展规划，会同有关部门制定加快革命老区、贫困地区经济发展的重大政策，协调推进重大项目建设，促进经济社会持续、稳定、协调发展。</w:t>
      </w:r>
    </w:p>
    <w:p w14:paraId="0BC7F9DB">
      <w:pPr>
        <w:spacing w:line="576" w:lineRule="exact"/>
        <w:ind w:firstLine="640" w:firstLineChars="200"/>
        <w:rPr>
          <w:rFonts w:hint="eastAsia" w:ascii="仿宋_GB2312" w:hAnsi="Times New Roman" w:eastAsia="仿宋_GB2312" w:cs="Times New Roman"/>
          <w:sz w:val="32"/>
          <w:szCs w:val="32"/>
          <w:lang w:val="zh-CN"/>
        </w:rPr>
      </w:pPr>
      <w:r>
        <w:rPr>
          <w:rFonts w:hint="eastAsia" w:ascii="仿宋_GB2312" w:hAnsi="Times New Roman" w:eastAsia="仿宋_GB2312" w:cs="Times New Roman"/>
          <w:sz w:val="32"/>
          <w:szCs w:val="32"/>
          <w:lang w:val="zh-CN"/>
        </w:rPr>
        <w:t>13.承担指导推进和综合协调全市经济体制改革的任务，研究经济体制改革和对外开放的重大问题，组织拟订综合性经济体制改革方案，协调有关专项经济体制改革方案，会同有关部门搞好重要专项经济体制改革之间的衔接，指导经济体制改革试点和改革试验区工作。</w:t>
      </w:r>
    </w:p>
    <w:p w14:paraId="4C09A191">
      <w:pPr>
        <w:spacing w:line="576" w:lineRule="exact"/>
        <w:ind w:firstLine="640" w:firstLineChars="200"/>
        <w:rPr>
          <w:rFonts w:hint="eastAsia" w:ascii="仿宋_GB2312" w:hAnsi="Times New Roman" w:eastAsia="仿宋_GB2312" w:cs="Times New Roman"/>
          <w:sz w:val="32"/>
          <w:szCs w:val="32"/>
          <w:lang w:val="zh-CN"/>
        </w:rPr>
      </w:pPr>
      <w:r>
        <w:rPr>
          <w:rFonts w:hint="eastAsia" w:ascii="仿宋_GB2312" w:hAnsi="Times New Roman" w:eastAsia="仿宋_GB2312" w:cs="Times New Roman"/>
          <w:sz w:val="32"/>
          <w:szCs w:val="32"/>
          <w:lang w:val="zh-CN"/>
        </w:rPr>
        <w:t>14.贯彻实施国家和省价格法律、法规和方针、政策，编制和执行价格调整改革规划，提出年度价格总水平调控目标及价格调控措施并组织实施，管理国家、省、市列名管理的商品和服务价格，承担行政事业性收费管理工作，负责全市价格成本调查监审、价格监测、价格认证等工作。</w:t>
      </w:r>
    </w:p>
    <w:p w14:paraId="671C9F43">
      <w:pPr>
        <w:spacing w:line="576" w:lineRule="exact"/>
        <w:ind w:firstLine="640" w:firstLineChars="200"/>
        <w:rPr>
          <w:rFonts w:hint="eastAsia" w:ascii="仿宋_GB2312" w:hAnsi="Times New Roman" w:eastAsia="仿宋_GB2312" w:cs="Times New Roman"/>
          <w:sz w:val="32"/>
          <w:szCs w:val="32"/>
          <w:lang w:val="zh-CN"/>
        </w:rPr>
      </w:pPr>
      <w:r>
        <w:rPr>
          <w:rFonts w:hint="eastAsia" w:ascii="仿宋_GB2312" w:hAnsi="Times New Roman" w:eastAsia="仿宋_GB2312" w:cs="Times New Roman"/>
          <w:sz w:val="32"/>
          <w:szCs w:val="32"/>
          <w:lang w:val="zh-CN"/>
        </w:rPr>
        <w:t>15.指导、协调并综合管理全市招标投标工作，按照职责权限对国家、省和市重大建设项目建设过程中的工程招标投标活动实施监督检查。</w:t>
      </w:r>
    </w:p>
    <w:p w14:paraId="0C358094">
      <w:pPr>
        <w:spacing w:line="576" w:lineRule="exact"/>
        <w:ind w:firstLine="640" w:firstLineChars="200"/>
        <w:rPr>
          <w:rFonts w:hint="eastAsia" w:ascii="仿宋_GB2312" w:hAnsi="Times New Roman" w:eastAsia="仿宋_GB2312" w:cs="Times New Roman"/>
          <w:sz w:val="32"/>
          <w:szCs w:val="32"/>
          <w:lang w:val="zh-CN"/>
        </w:rPr>
      </w:pPr>
      <w:r>
        <w:rPr>
          <w:rFonts w:hint="eastAsia" w:ascii="仿宋_GB2312" w:hAnsi="Times New Roman" w:eastAsia="仿宋_GB2312" w:cs="Times New Roman"/>
          <w:sz w:val="32"/>
          <w:szCs w:val="32"/>
          <w:lang w:val="zh-CN"/>
        </w:rPr>
        <w:t>16.负责组织编制全市国民经济动员与装备动员规划、计划，研究国民经济动员与装备动员和国民经济、国防建设的关系，协调相关重大问题，组织实施国民经济动员与装备动员有关工作。</w:t>
      </w:r>
    </w:p>
    <w:p w14:paraId="033CCB67">
      <w:pPr>
        <w:spacing w:line="576" w:lineRule="exact"/>
        <w:ind w:firstLine="640" w:firstLineChars="200"/>
        <w:rPr>
          <w:rFonts w:hint="eastAsia" w:ascii="仿宋_GB2312" w:hAnsi="Times New Roman" w:eastAsia="仿宋_GB2312" w:cs="Times New Roman"/>
          <w:sz w:val="32"/>
          <w:szCs w:val="32"/>
          <w:lang w:val="zh-CN"/>
        </w:rPr>
      </w:pPr>
      <w:r>
        <w:rPr>
          <w:rFonts w:hint="eastAsia" w:ascii="仿宋_GB2312" w:hAnsi="Times New Roman" w:eastAsia="仿宋_GB2312" w:cs="Times New Roman"/>
          <w:sz w:val="32"/>
          <w:szCs w:val="32"/>
          <w:lang w:val="zh-CN"/>
        </w:rPr>
        <w:t>17.负责全市粮食宏观调控具体工作，承担粮食预警监测和应急责任；提出全市粮食宏观调控、总量平衡以及粮食流通规划的建议；监督执行粮食最低收购价政策及临时收储政策；负责全市粮食余缺调剂，指导市内粮食销售工作；保障军队等政策性粮食的供应，提高全市粮食供应保障能力；组织指导全市粮食系统统计工作。</w:t>
      </w:r>
    </w:p>
    <w:p w14:paraId="3A1424CE">
      <w:pPr>
        <w:spacing w:line="576" w:lineRule="exact"/>
        <w:ind w:firstLine="640" w:firstLineChars="200"/>
        <w:rPr>
          <w:rFonts w:hint="eastAsia" w:ascii="仿宋_GB2312" w:hAnsi="Times New Roman" w:eastAsia="仿宋_GB2312" w:cs="Times New Roman"/>
          <w:sz w:val="32"/>
          <w:szCs w:val="32"/>
          <w:lang w:val="zh-CN"/>
        </w:rPr>
      </w:pPr>
      <w:r>
        <w:rPr>
          <w:rFonts w:hint="eastAsia" w:ascii="仿宋_GB2312" w:hAnsi="Times New Roman" w:eastAsia="仿宋_GB2312" w:cs="Times New Roman"/>
          <w:sz w:val="32"/>
          <w:szCs w:val="32"/>
          <w:lang w:val="zh-CN"/>
        </w:rPr>
        <w:t>18.承担市级储备粮行政管理责任，指导全市储备粮体系建设。提出地方储备粮总规模及市级储备粮的总体布局和收储、轮换、动用计划建议并组织实施；制定市级储备粮管理技术规范并监督执行，监督检查市级储备粮库存数量、质量和储存安全；协助在广中央储备粮、省级储备粮及国家其他政策性临时储存粮食的监督管理工作。</w:t>
      </w:r>
    </w:p>
    <w:p w14:paraId="13520D3D">
      <w:pPr>
        <w:spacing w:line="576" w:lineRule="exact"/>
        <w:ind w:firstLine="640" w:firstLineChars="200"/>
        <w:rPr>
          <w:rFonts w:hint="eastAsia" w:ascii="仿宋_GB2312" w:hAnsi="Times New Roman" w:eastAsia="仿宋_GB2312" w:cs="Times New Roman"/>
          <w:sz w:val="32"/>
          <w:szCs w:val="32"/>
          <w:lang w:val="zh-CN"/>
        </w:rPr>
      </w:pPr>
      <w:r>
        <w:rPr>
          <w:rFonts w:hint="eastAsia" w:ascii="仿宋_GB2312" w:hAnsi="Times New Roman" w:eastAsia="仿宋_GB2312" w:cs="Times New Roman"/>
          <w:sz w:val="32"/>
          <w:szCs w:val="32"/>
          <w:lang w:val="zh-CN"/>
        </w:rPr>
        <w:t>19.贯彻实施国家粮食质量标准；制定全市粮食储存、运输技术规范并监督执行；负责全市粮食收购、储存环节和政策性用粮质量安全；负责库存原粮卫生监督管理；指导粮食行业安全生产和抢险救灾工作；指导全市农村科学储粮工作。</w:t>
      </w:r>
    </w:p>
    <w:p w14:paraId="4195C3A0">
      <w:pPr>
        <w:spacing w:line="576" w:lineRule="exact"/>
        <w:ind w:firstLine="640" w:firstLineChars="200"/>
        <w:rPr>
          <w:rFonts w:hint="eastAsia" w:ascii="仿宋_GB2312" w:hAnsi="Times New Roman" w:eastAsia="仿宋_GB2312" w:cs="Times New Roman"/>
          <w:sz w:val="32"/>
          <w:szCs w:val="32"/>
          <w:lang w:val="zh-CN"/>
        </w:rPr>
      </w:pPr>
      <w:r>
        <w:rPr>
          <w:rFonts w:hint="eastAsia" w:ascii="仿宋_GB2312" w:hAnsi="Times New Roman" w:eastAsia="仿宋_GB2312" w:cs="Times New Roman"/>
          <w:sz w:val="32"/>
          <w:szCs w:val="32"/>
          <w:lang w:val="zh-CN"/>
        </w:rPr>
        <w:t>20.制订粮食流通产业发展规划，提出促进全市粮食流通产业发展的政策建议并督促落实；指导、协调全市粮食流通基础设施建设，管理市级财政投资粮食流通设施项目；制订全市粮食仓储、加工和物流体系建设规划并组织实施；拟订全市粮食市场体系发展规划，指导粮食批发市场和城乡粮食流通市场建设；开展粮食行业对外合作与交流，协助做好优质粮油的推广、开发工作；指导粮食企业科技进步、技术改造和新技术推广应用，指导粮油龙头企业开展惠农服务。</w:t>
      </w:r>
    </w:p>
    <w:p w14:paraId="07C7128F">
      <w:pPr>
        <w:spacing w:line="576" w:lineRule="exact"/>
        <w:ind w:firstLine="640" w:firstLineChars="200"/>
        <w:rPr>
          <w:rFonts w:hint="eastAsia" w:ascii="仿宋_GB2312" w:hAnsi="Times New Roman" w:eastAsia="仿宋_GB2312" w:cs="Times New Roman"/>
          <w:sz w:val="32"/>
          <w:szCs w:val="32"/>
          <w:lang w:val="zh-CN"/>
        </w:rPr>
      </w:pPr>
      <w:r>
        <w:rPr>
          <w:rFonts w:hint="eastAsia" w:ascii="仿宋_GB2312" w:hAnsi="Times New Roman" w:eastAsia="仿宋_GB2312" w:cs="Times New Roman"/>
          <w:sz w:val="32"/>
          <w:szCs w:val="32"/>
          <w:lang w:val="zh-CN"/>
        </w:rPr>
        <w:t>21.贯彻国家粮食流通财政财务政策和会计制度，组织编报全市国有粮食企业会计报表及会计决算；指导全市国有和国有控股粮食企业的财务管理和会计报告工作；负责国家、省、市预算拨付的粮食政策性补贴资金和专项资金的使用管理；会同相关部门管理粮食风险基金、政策性粮食财务挂帐，参与粮食收购资金贷款管理。</w:t>
      </w:r>
    </w:p>
    <w:p w14:paraId="7F52FA63">
      <w:pPr>
        <w:spacing w:line="576" w:lineRule="exact"/>
        <w:ind w:firstLine="640" w:firstLineChars="200"/>
        <w:rPr>
          <w:rFonts w:hint="eastAsia" w:ascii="仿宋_GB2312" w:hAnsi="Times New Roman" w:eastAsia="仿宋_GB2312" w:cs="Times New Roman"/>
          <w:sz w:val="32"/>
          <w:szCs w:val="32"/>
          <w:lang w:val="zh-CN"/>
        </w:rPr>
      </w:pPr>
      <w:r>
        <w:rPr>
          <w:rFonts w:hint="eastAsia" w:ascii="仿宋_GB2312" w:hAnsi="Times New Roman" w:eastAsia="仿宋_GB2312" w:cs="Times New Roman"/>
          <w:sz w:val="32"/>
          <w:szCs w:val="32"/>
          <w:lang w:val="zh-CN"/>
        </w:rPr>
        <w:t>22.负责重要物资和应急物资收储、轮换和日常管理。</w:t>
      </w:r>
    </w:p>
    <w:p w14:paraId="1E274F7F">
      <w:pPr>
        <w:spacing w:line="576" w:lineRule="exact"/>
        <w:ind w:firstLine="640" w:firstLineChars="200"/>
        <w:rPr>
          <w:rFonts w:hint="eastAsia" w:ascii="仿宋_GB2312" w:hAnsi="Times New Roman" w:eastAsia="仿宋_GB2312" w:cs="Times New Roman"/>
          <w:sz w:val="32"/>
          <w:szCs w:val="32"/>
          <w:lang w:val="zh-CN"/>
        </w:rPr>
      </w:pPr>
      <w:r>
        <w:rPr>
          <w:rFonts w:hint="eastAsia" w:ascii="仿宋_GB2312" w:hAnsi="Times New Roman" w:eastAsia="仿宋_GB2312" w:cs="Times New Roman"/>
          <w:sz w:val="32"/>
          <w:szCs w:val="32"/>
          <w:lang w:val="zh-CN"/>
        </w:rPr>
        <w:t>23.负责会同有关部门编制以工代赈规划，审核和转报以工代赈项目，下达以工代赈资金计划。</w:t>
      </w:r>
    </w:p>
    <w:p w14:paraId="63F8226F">
      <w:pPr>
        <w:spacing w:line="576" w:lineRule="exact"/>
        <w:ind w:firstLine="640" w:firstLineChars="200"/>
        <w:rPr>
          <w:rFonts w:hint="eastAsia" w:ascii="仿宋_GB2312" w:hAnsi="Times New Roman" w:eastAsia="仿宋_GB2312" w:cs="Times New Roman"/>
          <w:sz w:val="32"/>
          <w:szCs w:val="32"/>
          <w:lang w:val="zh-CN"/>
        </w:rPr>
      </w:pPr>
      <w:r>
        <w:rPr>
          <w:rFonts w:hint="eastAsia" w:ascii="仿宋_GB2312" w:hAnsi="Times New Roman" w:eastAsia="仿宋_GB2312" w:cs="Times New Roman"/>
          <w:sz w:val="32"/>
          <w:szCs w:val="32"/>
          <w:lang w:val="zh-CN"/>
        </w:rPr>
        <w:t>24.负责全市营商环境和社会信用体系建设。</w:t>
      </w:r>
    </w:p>
    <w:p w14:paraId="3FDA0877">
      <w:pPr>
        <w:spacing w:line="576" w:lineRule="exact"/>
        <w:ind w:firstLine="640" w:firstLineChars="200"/>
        <w:rPr>
          <w:rFonts w:hint="eastAsia" w:ascii="仿宋_GB2312" w:hAnsi="Times New Roman" w:eastAsia="仿宋_GB2312" w:cs="Times New Roman"/>
          <w:sz w:val="32"/>
          <w:szCs w:val="32"/>
          <w:lang w:val="zh-CN"/>
        </w:rPr>
      </w:pPr>
      <w:r>
        <w:rPr>
          <w:rFonts w:hint="eastAsia" w:ascii="仿宋_GB2312" w:hAnsi="Times New Roman" w:eastAsia="仿宋_GB2312" w:cs="Times New Roman"/>
          <w:sz w:val="32"/>
          <w:szCs w:val="32"/>
          <w:lang w:val="zh-CN"/>
        </w:rPr>
        <w:t>25.承担中共广元市委财经委员会办公室、广元市川陕革命老区振兴发展领导小组办公室、广元市川东北经济区对接协调小组办公室、广元市国防动员委员会经济动员办公室、广元市实施西部大开发领导小组、广元市低碳发展领导小组、广元市项目策划储备中心、广元市重大项目推进中心、广元市浙广扶贫协作领导小组办公室的具体工作。</w:t>
      </w:r>
    </w:p>
    <w:p w14:paraId="384AC426">
      <w:pPr>
        <w:spacing w:line="576" w:lineRule="exact"/>
        <w:ind w:firstLine="640" w:firstLineChars="200"/>
        <w:rPr>
          <w:rFonts w:hint="eastAsia" w:ascii="仿宋_GB2312" w:hAnsi="Times New Roman" w:eastAsia="仿宋_GB2312" w:cs="Times New Roman"/>
          <w:sz w:val="32"/>
          <w:szCs w:val="32"/>
          <w:lang w:val="zh-CN"/>
        </w:rPr>
      </w:pPr>
      <w:r>
        <w:rPr>
          <w:rFonts w:hint="eastAsia" w:ascii="仿宋_GB2312" w:hAnsi="Times New Roman" w:eastAsia="仿宋_GB2312" w:cs="Times New Roman"/>
          <w:sz w:val="32"/>
          <w:szCs w:val="32"/>
          <w:lang w:val="zh-CN"/>
        </w:rPr>
        <w:t>26.承担市政府公布的有关行政审批事项。</w:t>
      </w:r>
    </w:p>
    <w:p w14:paraId="588BA063">
      <w:pPr>
        <w:spacing w:line="576" w:lineRule="exact"/>
        <w:ind w:firstLine="640" w:firstLineChars="200"/>
        <w:rPr>
          <w:rFonts w:hint="eastAsia" w:ascii="仿宋_GB2312" w:hAnsi="Times New Roman" w:eastAsia="仿宋_GB2312" w:cs="Times New Roman"/>
          <w:sz w:val="32"/>
          <w:szCs w:val="32"/>
          <w:lang w:val="zh-CN"/>
        </w:rPr>
      </w:pPr>
      <w:r>
        <w:rPr>
          <w:rFonts w:hint="eastAsia" w:ascii="仿宋_GB2312" w:hAnsi="Times New Roman" w:eastAsia="仿宋_GB2312" w:cs="Times New Roman"/>
          <w:sz w:val="32"/>
          <w:szCs w:val="32"/>
          <w:lang w:val="zh-CN"/>
        </w:rPr>
        <w:t>27.负责与省发展改革委、省粮食和物资储备局等省级部门的工作衔接。</w:t>
      </w:r>
    </w:p>
    <w:p w14:paraId="7EECDD6F">
      <w:pPr>
        <w:spacing w:line="576" w:lineRule="exact"/>
        <w:ind w:firstLine="640" w:firstLineChars="200"/>
        <w:rPr>
          <w:rFonts w:hint="eastAsia" w:ascii="仿宋_GB2312" w:hAnsi="Times New Roman" w:eastAsia="仿宋_GB2312" w:cs="Times New Roman"/>
          <w:sz w:val="32"/>
          <w:szCs w:val="32"/>
          <w:lang w:val="zh-CN"/>
        </w:rPr>
      </w:pPr>
      <w:r>
        <w:rPr>
          <w:rFonts w:hint="eastAsia" w:ascii="仿宋_GB2312" w:hAnsi="Times New Roman" w:eastAsia="仿宋_GB2312" w:cs="Times New Roman"/>
          <w:sz w:val="32"/>
          <w:szCs w:val="32"/>
          <w:lang w:val="zh-CN"/>
        </w:rPr>
        <w:t>28.依照法律法规和有关规定，对本行业领域的安全生产、环境保护工作实施监督管理，履行安全生产、环境保护行业监督管理职责和本单位安全生产、环境保护工作职责。</w:t>
      </w:r>
    </w:p>
    <w:p w14:paraId="6C7B8237">
      <w:pPr>
        <w:spacing w:line="576" w:lineRule="exact"/>
        <w:ind w:firstLine="640" w:firstLineChars="200"/>
        <w:rPr>
          <w:rFonts w:hint="eastAsia" w:ascii="仿宋_GB2312" w:hAnsi="Times New Roman" w:eastAsia="仿宋_GB2312" w:cs="Times New Roman"/>
          <w:sz w:val="32"/>
          <w:szCs w:val="32"/>
          <w:lang w:val="zh-CN"/>
        </w:rPr>
      </w:pPr>
      <w:r>
        <w:rPr>
          <w:rFonts w:hint="eastAsia" w:ascii="仿宋_GB2312" w:hAnsi="Times New Roman" w:eastAsia="仿宋_GB2312" w:cs="Times New Roman"/>
          <w:sz w:val="32"/>
          <w:szCs w:val="32"/>
          <w:lang w:val="zh-CN"/>
        </w:rPr>
        <w:t>29.承办市政府交办的其他事项。</w:t>
      </w:r>
    </w:p>
    <w:p w14:paraId="59AC7862">
      <w:pPr>
        <w:spacing w:line="576" w:lineRule="exact"/>
        <w:ind w:firstLine="640" w:firstLineChars="200"/>
        <w:rPr>
          <w:rFonts w:hint="eastAsia" w:ascii="仿宋_GB2312" w:hAnsi="Times New Roman" w:eastAsia="仿宋_GB2312" w:cs="Times New Roman"/>
          <w:sz w:val="32"/>
          <w:szCs w:val="32"/>
          <w:lang w:val="zh-CN"/>
        </w:rPr>
      </w:pPr>
      <w:r>
        <w:rPr>
          <w:rFonts w:hint="eastAsia" w:ascii="仿宋_GB2312" w:hAnsi="Times New Roman" w:eastAsia="仿宋_GB2312" w:cs="Times New Roman"/>
          <w:sz w:val="32"/>
          <w:szCs w:val="32"/>
          <w:lang w:val="zh-CN"/>
        </w:rPr>
        <w:t>30.市粮油质量监测站基本职能：承担全市收获环节的粮食质量安全调查和品质测报，收购入库环节、储存环节、出库环节的质量指标和安全指标的例行抽查检验，对“放心粮油”等抽查检验，对全链条的“中国好粮油”和其他流通渠道销售的成品粮油实行跟踪抽检或随机抽检，负责全市学校食堂、农贸市场和放心粮油店及超市粮油食品的风险监测等任务，维护我市粮食质量安全，并反馈粮食质量信息，为研究我市粮情、制定政策、指导工作提供有力参考。负责市级救灾物资管理和储备，协助开展社会救灾物资募集和捐赠接收工作。</w:t>
      </w:r>
    </w:p>
    <w:p w14:paraId="604BA009">
      <w:pPr>
        <w:adjustRightInd w:val="0"/>
        <w:snapToGrid w:val="0"/>
        <w:spacing w:line="576" w:lineRule="exact"/>
        <w:ind w:firstLine="640" w:firstLineChars="200"/>
        <w:contextualSpacing/>
        <w:rPr>
          <w:rFonts w:hint="eastAsia" w:ascii="楷体_GB2312" w:hAnsi="Times New Roman" w:eastAsia="楷体_GB2312" w:cs="Times New Roman"/>
          <w:sz w:val="32"/>
          <w:szCs w:val="32"/>
          <w:lang w:val="zh-CN"/>
        </w:rPr>
      </w:pPr>
      <w:r>
        <w:rPr>
          <w:rFonts w:hint="eastAsia" w:ascii="楷体_GB2312" w:hAnsi="Times New Roman" w:eastAsia="楷体_GB2312" w:cs="Times New Roman"/>
          <w:sz w:val="32"/>
          <w:szCs w:val="32"/>
          <w:lang w:val="zh-CN"/>
        </w:rPr>
        <w:t>（三）人员概况</w:t>
      </w:r>
    </w:p>
    <w:p w14:paraId="0A251310">
      <w:pPr>
        <w:adjustRightInd w:val="0"/>
        <w:snapToGrid w:val="0"/>
        <w:spacing w:line="576" w:lineRule="exact"/>
        <w:ind w:firstLine="640" w:firstLineChars="200"/>
        <w:contextualSpacing/>
        <w:rPr>
          <w:rFonts w:hint="eastAsia" w:ascii="仿宋_GB2312" w:hAnsi="Times New Roman" w:eastAsia="仿宋_GB2312" w:cs="Times New Roman"/>
          <w:color w:val="000000"/>
          <w:sz w:val="32"/>
          <w:szCs w:val="32"/>
        </w:rPr>
      </w:pPr>
      <w:r>
        <w:rPr>
          <w:rFonts w:hint="eastAsia" w:ascii="仿宋_GB2312" w:hAnsi="Times New Roman" w:eastAsia="仿宋_GB2312" w:cs="Times New Roman"/>
          <w:color w:val="000000"/>
          <w:sz w:val="32"/>
          <w:szCs w:val="32"/>
        </w:rPr>
        <w:t>市发展改革委2023年核定编制数为134人，其中：行政编制74人，工勤人员10人，事业编制50人（含二级预算市粮油质量监测站7人）。年末实有在职人数125人，其中：行政编制 71人</w:t>
      </w:r>
      <w:r>
        <w:rPr>
          <w:rFonts w:hint="eastAsia" w:ascii="仿宋_GB2312" w:eastAsia="仿宋_GB2312" w:cs="Times New Roman"/>
          <w:color w:val="000000"/>
          <w:sz w:val="32"/>
          <w:szCs w:val="32"/>
          <w:lang w:eastAsia="zh-CN"/>
        </w:rPr>
        <w:t>（</w:t>
      </w:r>
      <w:r>
        <w:rPr>
          <w:rFonts w:hint="eastAsia" w:ascii="仿宋_GB2312" w:hAnsi="Times New Roman" w:eastAsia="仿宋_GB2312" w:cs="Times New Roman"/>
          <w:color w:val="000000"/>
          <w:sz w:val="32"/>
          <w:szCs w:val="32"/>
        </w:rPr>
        <w:t>含纪检组4人），工勤人员8人</w:t>
      </w:r>
      <w:r>
        <w:rPr>
          <w:rFonts w:hint="eastAsia" w:ascii="仿宋_GB2312" w:eastAsia="仿宋_GB2312" w:cs="Times New Roman"/>
          <w:color w:val="000000"/>
          <w:sz w:val="32"/>
          <w:szCs w:val="32"/>
          <w:lang w:eastAsia="zh-CN"/>
        </w:rPr>
        <w:t>，</w:t>
      </w:r>
      <w:r>
        <w:rPr>
          <w:rFonts w:hint="eastAsia" w:ascii="仿宋_GB2312" w:hAnsi="Times New Roman" w:eastAsia="仿宋_GB2312" w:cs="Times New Roman"/>
          <w:color w:val="000000"/>
          <w:sz w:val="32"/>
          <w:szCs w:val="32"/>
        </w:rPr>
        <w:t>事业编制46人（含二级预算市粮油质量监测站7人）。</w:t>
      </w:r>
    </w:p>
    <w:p w14:paraId="6E589F7B">
      <w:pPr>
        <w:adjustRightInd w:val="0"/>
        <w:snapToGrid w:val="0"/>
        <w:spacing w:line="576" w:lineRule="exact"/>
        <w:ind w:firstLine="640" w:firstLineChars="200"/>
        <w:contextualSpacing/>
        <w:rPr>
          <w:rFonts w:ascii="Times New Roman" w:hAnsi="Times New Roman" w:eastAsia="黑体" w:cs="Times New Roman"/>
          <w:color w:val="000000"/>
          <w:kern w:val="0"/>
          <w:sz w:val="32"/>
          <w:szCs w:val="32"/>
          <w:shd w:val="clear" w:color="auto" w:fill="FFFFFF"/>
        </w:rPr>
      </w:pPr>
      <w:r>
        <w:rPr>
          <w:rFonts w:ascii="Times New Roman" w:hAnsi="Times New Roman" w:eastAsia="黑体" w:cs="Times New Roman"/>
          <w:color w:val="000000"/>
          <w:kern w:val="0"/>
          <w:sz w:val="32"/>
          <w:szCs w:val="32"/>
          <w:shd w:val="clear" w:color="auto" w:fill="FFFFFF"/>
        </w:rPr>
        <w:t>二、部门资金收支情况</w:t>
      </w:r>
    </w:p>
    <w:p w14:paraId="6735D261">
      <w:pPr>
        <w:adjustRightInd w:val="0"/>
        <w:snapToGrid w:val="0"/>
        <w:spacing w:line="576" w:lineRule="exact"/>
        <w:ind w:firstLine="640" w:firstLineChars="200"/>
        <w:contextualSpacing/>
        <w:rPr>
          <w:rFonts w:ascii="Times New Roman" w:hAnsi="Times New Roman" w:eastAsia="楷体_GB2312" w:cs="Times New Roman"/>
          <w:color w:val="000000"/>
          <w:kern w:val="0"/>
          <w:sz w:val="32"/>
          <w:szCs w:val="32"/>
          <w:shd w:val="clear" w:color="auto" w:fill="FFFFFF"/>
          <w:lang w:val="zh-CN"/>
        </w:rPr>
      </w:pPr>
      <w:r>
        <w:rPr>
          <w:rFonts w:ascii="Times New Roman" w:hAnsi="Times New Roman" w:eastAsia="楷体_GB2312" w:cs="Times New Roman"/>
          <w:color w:val="000000"/>
          <w:kern w:val="0"/>
          <w:sz w:val="32"/>
          <w:szCs w:val="32"/>
          <w:shd w:val="clear" w:color="auto" w:fill="FFFFFF"/>
          <w:lang w:val="zh-CN"/>
        </w:rPr>
        <w:t>（一）</w:t>
      </w:r>
      <w:r>
        <w:rPr>
          <w:rFonts w:hint="eastAsia" w:ascii="Times New Roman" w:hAnsi="Times New Roman" w:eastAsia="楷体_GB2312" w:cs="Times New Roman"/>
          <w:color w:val="000000"/>
          <w:kern w:val="0"/>
          <w:sz w:val="32"/>
          <w:szCs w:val="32"/>
          <w:shd w:val="clear" w:color="auto" w:fill="FFFFFF"/>
          <w:lang w:val="zh-CN"/>
        </w:rPr>
        <w:t>收入情况</w:t>
      </w:r>
    </w:p>
    <w:p w14:paraId="6F41C6F7">
      <w:pPr>
        <w:adjustRightInd w:val="0"/>
        <w:snapToGrid w:val="0"/>
        <w:spacing w:line="576" w:lineRule="exact"/>
        <w:ind w:firstLine="640" w:firstLineChars="200"/>
        <w:contextualSpacing/>
        <w:rPr>
          <w:rFonts w:hint="eastAsia" w:ascii="仿宋_GB2312" w:hAnsi="Times New Roman" w:eastAsia="仿宋_GB2312" w:cs="Times New Roman"/>
          <w:color w:val="000000"/>
          <w:sz w:val="32"/>
          <w:szCs w:val="32"/>
        </w:rPr>
      </w:pPr>
      <w:r>
        <w:rPr>
          <w:rFonts w:hint="eastAsia" w:ascii="仿宋_GB2312" w:hAnsi="Times New Roman" w:eastAsia="仿宋_GB2312" w:cs="Times New Roman"/>
          <w:color w:val="000000"/>
          <w:sz w:val="32"/>
          <w:szCs w:val="32"/>
          <w:lang w:val="zh-CN"/>
        </w:rPr>
        <w:t>我委及下属二级预算单位市粮油质量监测站</w:t>
      </w:r>
      <w:r>
        <w:rPr>
          <w:rFonts w:hint="eastAsia" w:ascii="仿宋_GB2312" w:hAnsi="Times New Roman" w:eastAsia="仿宋_GB2312" w:cs="Times New Roman"/>
          <w:color w:val="000000"/>
          <w:sz w:val="32"/>
          <w:szCs w:val="32"/>
        </w:rPr>
        <w:t>2023年年初预算收入3072.08万元</w:t>
      </w:r>
      <w:r>
        <w:rPr>
          <w:rFonts w:hint="eastAsia" w:ascii="仿宋_GB2312" w:eastAsia="仿宋_GB2312" w:cs="Times New Roman"/>
          <w:color w:val="000000"/>
          <w:sz w:val="32"/>
          <w:szCs w:val="32"/>
          <w:lang w:eastAsia="zh-CN"/>
        </w:rPr>
        <w:t>，</w:t>
      </w:r>
      <w:r>
        <w:rPr>
          <w:rFonts w:hint="eastAsia" w:ascii="仿宋_GB2312" w:hAnsi="Times New Roman" w:eastAsia="仿宋_GB2312" w:cs="Times New Roman"/>
          <w:color w:val="000000"/>
          <w:sz w:val="32"/>
          <w:szCs w:val="32"/>
        </w:rPr>
        <w:t>较2022年度2565.18万元增加506.9万元、决算报表收入4053.66万元</w:t>
      </w:r>
      <w:r>
        <w:rPr>
          <w:rFonts w:hint="eastAsia" w:ascii="仿宋_GB2312" w:eastAsia="仿宋_GB2312" w:cs="Times New Roman"/>
          <w:color w:val="000000"/>
          <w:sz w:val="32"/>
          <w:szCs w:val="32"/>
          <w:lang w:eastAsia="zh-CN"/>
        </w:rPr>
        <w:t>，</w:t>
      </w:r>
      <w:r>
        <w:rPr>
          <w:rFonts w:hint="eastAsia" w:ascii="仿宋_GB2312" w:hAnsi="Times New Roman" w:eastAsia="仿宋_GB2312" w:cs="Times New Roman"/>
          <w:color w:val="000000"/>
          <w:sz w:val="32"/>
          <w:szCs w:val="32"/>
        </w:rPr>
        <w:t>较2022年度4480.17万元减少426.51万元，下降9.52%。主要原因是今年基本支出人员经费支出减少。</w:t>
      </w:r>
    </w:p>
    <w:p w14:paraId="4300FAAF">
      <w:pPr>
        <w:adjustRightInd w:val="0"/>
        <w:snapToGrid w:val="0"/>
        <w:spacing w:line="576" w:lineRule="exact"/>
        <w:ind w:firstLine="640" w:firstLineChars="200"/>
        <w:contextualSpacing/>
        <w:rPr>
          <w:rFonts w:hint="eastAsia" w:ascii="Times New Roman" w:hAnsi="Times New Roman" w:eastAsia="楷体_GB2312" w:cs="Times New Roman"/>
          <w:color w:val="000000"/>
          <w:kern w:val="0"/>
          <w:sz w:val="32"/>
          <w:szCs w:val="32"/>
          <w:shd w:val="clear" w:color="auto" w:fill="FFFFFF"/>
          <w:lang w:val="zh-CN"/>
        </w:rPr>
      </w:pPr>
      <w:r>
        <w:rPr>
          <w:rFonts w:hint="eastAsia" w:ascii="Times New Roman" w:hAnsi="Times New Roman" w:eastAsia="楷体_GB2312" w:cs="Times New Roman"/>
          <w:color w:val="000000"/>
          <w:kern w:val="0"/>
          <w:sz w:val="32"/>
          <w:szCs w:val="32"/>
          <w:shd w:val="clear" w:color="auto" w:fill="FFFFFF"/>
          <w:lang w:val="zh-CN"/>
        </w:rPr>
        <w:t>（二）支出情况</w:t>
      </w:r>
    </w:p>
    <w:p w14:paraId="288ACDE6">
      <w:pPr>
        <w:adjustRightInd w:val="0"/>
        <w:snapToGrid w:val="0"/>
        <w:spacing w:line="576" w:lineRule="exact"/>
        <w:ind w:firstLine="640" w:firstLineChars="200"/>
        <w:contextualSpacing/>
        <w:rPr>
          <w:rFonts w:hint="eastAsia" w:ascii="仿宋_GB2312" w:hAnsi="Times New Roman" w:eastAsia="仿宋_GB2312" w:cs="Times New Roman"/>
          <w:color w:val="000000"/>
          <w:sz w:val="32"/>
          <w:szCs w:val="32"/>
          <w:lang w:val="zh-CN"/>
        </w:rPr>
      </w:pPr>
      <w:r>
        <w:rPr>
          <w:rFonts w:hint="eastAsia" w:ascii="仿宋_GB2312" w:hAnsi="Times New Roman" w:eastAsia="仿宋_GB2312" w:cs="Times New Roman"/>
          <w:color w:val="000000"/>
          <w:sz w:val="32"/>
          <w:szCs w:val="32"/>
          <w:lang w:val="zh-CN"/>
        </w:rPr>
        <w:t>我委及下属二级预算单位市粮油质量监测站2023年年初预算支出3072.08万元较2022年度2565.18万元增加506.9万元、决算报表支出4053.66万元，较2022年度4480.17万元减少426.51万元，下降9.52%。主要原因是今年基本支出人员经费支出减少。</w:t>
      </w:r>
    </w:p>
    <w:p w14:paraId="03D22B32">
      <w:pPr>
        <w:adjustRightInd w:val="0"/>
        <w:snapToGrid w:val="0"/>
        <w:spacing w:line="576" w:lineRule="exact"/>
        <w:ind w:firstLine="640" w:firstLineChars="200"/>
        <w:contextualSpacing/>
        <w:rPr>
          <w:rFonts w:hint="eastAsia" w:ascii="Times New Roman" w:hAnsi="Times New Roman" w:eastAsia="楷体_GB2312" w:cs="Times New Roman"/>
          <w:color w:val="000000"/>
          <w:kern w:val="0"/>
          <w:sz w:val="32"/>
          <w:szCs w:val="32"/>
          <w:shd w:val="clear" w:color="auto" w:fill="FFFFFF"/>
          <w:lang w:val="zh-CN"/>
        </w:rPr>
      </w:pPr>
      <w:r>
        <w:rPr>
          <w:rFonts w:hint="eastAsia" w:ascii="Times New Roman" w:hAnsi="Times New Roman" w:eastAsia="楷体_GB2312" w:cs="Times New Roman"/>
          <w:color w:val="000000"/>
          <w:kern w:val="0"/>
          <w:sz w:val="32"/>
          <w:szCs w:val="32"/>
          <w:shd w:val="clear" w:color="auto" w:fill="FFFFFF"/>
          <w:lang w:val="zh-CN"/>
        </w:rPr>
        <w:t>（三）结转结余情况</w:t>
      </w:r>
    </w:p>
    <w:p w14:paraId="7D6369A6">
      <w:pPr>
        <w:pStyle w:val="19"/>
        <w:spacing w:after="0" w:line="576" w:lineRule="exact"/>
        <w:ind w:left="0" w:leftChars="0" w:firstLine="640"/>
        <w:rPr>
          <w:rFonts w:hint="eastAsia" w:ascii="仿宋_GB2312" w:hAnsi="Times New Roman" w:eastAsia="仿宋_GB2312" w:cs="Times New Roman"/>
          <w:color w:val="000000"/>
          <w:kern w:val="2"/>
          <w:sz w:val="32"/>
          <w:szCs w:val="32"/>
          <w:lang w:val="zh-CN" w:eastAsia="zh-CN" w:bidi="ar-SA"/>
        </w:rPr>
      </w:pPr>
      <w:r>
        <w:rPr>
          <w:rFonts w:hint="eastAsia" w:ascii="仿宋_GB2312" w:hAnsi="Times New Roman" w:eastAsia="仿宋_GB2312" w:cs="Times New Roman"/>
          <w:color w:val="000000"/>
          <w:kern w:val="2"/>
          <w:sz w:val="32"/>
          <w:szCs w:val="32"/>
          <w:lang w:val="zh-CN" w:eastAsia="zh-CN" w:bidi="ar-SA"/>
        </w:rPr>
        <w:t>我委及下属二级预算单位市粮油质量监测站2023年决算报表结转结余17.23万元。主要为党建、伙食费等。</w:t>
      </w:r>
    </w:p>
    <w:p w14:paraId="27A4E423">
      <w:pPr>
        <w:adjustRightInd w:val="0"/>
        <w:snapToGrid w:val="0"/>
        <w:spacing w:line="576" w:lineRule="exact"/>
        <w:ind w:firstLine="640" w:firstLineChars="200"/>
        <w:contextualSpacing/>
        <w:rPr>
          <w:rFonts w:ascii="Times New Roman" w:hAnsi="Times New Roman" w:eastAsia="黑体" w:cs="Times New Roman"/>
          <w:color w:val="000000"/>
          <w:kern w:val="0"/>
          <w:sz w:val="32"/>
          <w:szCs w:val="32"/>
          <w:shd w:val="clear" w:color="auto" w:fill="FFFFFF"/>
        </w:rPr>
      </w:pPr>
      <w:r>
        <w:rPr>
          <w:rFonts w:ascii="Times New Roman" w:hAnsi="Times New Roman" w:eastAsia="黑体" w:cs="Times New Roman"/>
          <w:color w:val="000000"/>
          <w:kern w:val="0"/>
          <w:sz w:val="32"/>
          <w:szCs w:val="32"/>
          <w:shd w:val="clear" w:color="auto" w:fill="FFFFFF"/>
        </w:rPr>
        <w:t>三、部门预算绩效分析</w:t>
      </w:r>
    </w:p>
    <w:p w14:paraId="08EE7830">
      <w:pPr>
        <w:adjustRightInd w:val="0"/>
        <w:snapToGrid w:val="0"/>
        <w:spacing w:line="576" w:lineRule="exact"/>
        <w:ind w:firstLine="640" w:firstLineChars="200"/>
        <w:contextualSpacing/>
        <w:rPr>
          <w:rFonts w:ascii="Times New Roman" w:hAnsi="Times New Roman" w:eastAsia="楷体_GB2312" w:cs="Times New Roman"/>
          <w:color w:val="000000"/>
          <w:kern w:val="0"/>
          <w:sz w:val="32"/>
          <w:szCs w:val="32"/>
          <w:shd w:val="clear" w:color="auto" w:fill="FFFFFF"/>
          <w:lang w:val="zh-CN"/>
        </w:rPr>
      </w:pPr>
      <w:r>
        <w:rPr>
          <w:rFonts w:ascii="Times New Roman" w:hAnsi="Times New Roman" w:eastAsia="楷体_GB2312" w:cs="Times New Roman"/>
          <w:color w:val="000000"/>
          <w:kern w:val="0"/>
          <w:sz w:val="32"/>
          <w:szCs w:val="32"/>
          <w:shd w:val="clear" w:color="auto" w:fill="FFFFFF"/>
          <w:lang w:val="zh-CN"/>
        </w:rPr>
        <w:t>（一）</w:t>
      </w:r>
      <w:r>
        <w:rPr>
          <w:rFonts w:hint="eastAsia" w:ascii="Times New Roman" w:hAnsi="Times New Roman" w:eastAsia="楷体_GB2312" w:cs="Times New Roman"/>
          <w:color w:val="000000"/>
          <w:kern w:val="0"/>
          <w:sz w:val="32"/>
          <w:szCs w:val="32"/>
          <w:shd w:val="clear" w:color="auto" w:fill="FFFFFF"/>
          <w:lang w:val="zh-CN"/>
        </w:rPr>
        <w:t>部门预算</w:t>
      </w:r>
      <w:r>
        <w:rPr>
          <w:rFonts w:ascii="Times New Roman" w:hAnsi="Times New Roman" w:eastAsia="楷体_GB2312" w:cs="Times New Roman"/>
          <w:color w:val="000000"/>
          <w:kern w:val="0"/>
          <w:sz w:val="32"/>
          <w:szCs w:val="32"/>
          <w:shd w:val="clear" w:color="auto" w:fill="FFFFFF"/>
          <w:lang w:val="zh-CN"/>
        </w:rPr>
        <w:t>总体绩效分析</w:t>
      </w:r>
    </w:p>
    <w:p w14:paraId="7FF095B6">
      <w:pPr>
        <w:spacing w:line="576" w:lineRule="exact"/>
        <w:ind w:firstLine="640" w:firstLineChars="200"/>
        <w:rPr>
          <w:rFonts w:hint="eastAsia" w:ascii="仿宋_GB2312" w:hAnsi="Times New Roman" w:eastAsia="仿宋_GB2312" w:cs="宋体"/>
          <w:color w:val="000000"/>
          <w:kern w:val="0"/>
          <w:sz w:val="32"/>
          <w:szCs w:val="32"/>
          <w:shd w:val="clear" w:color="auto" w:fill="FFFFFF"/>
          <w:lang w:val="zh-CN"/>
        </w:rPr>
      </w:pPr>
      <w:r>
        <w:rPr>
          <w:rFonts w:hint="eastAsia" w:ascii="仿宋_GB2312" w:hAnsi="Times New Roman" w:eastAsia="仿宋_GB2312" w:cs="宋体"/>
          <w:color w:val="000000"/>
          <w:kern w:val="0"/>
          <w:sz w:val="32"/>
          <w:szCs w:val="32"/>
          <w:shd w:val="clear" w:color="auto" w:fill="FFFFFF"/>
          <w:lang w:val="zh-CN"/>
        </w:rPr>
        <w:t>1.履职效能</w:t>
      </w:r>
    </w:p>
    <w:p w14:paraId="5F0D4743">
      <w:pPr>
        <w:spacing w:line="576" w:lineRule="exact"/>
        <w:ind w:firstLine="640" w:firstLineChars="200"/>
        <w:rPr>
          <w:rFonts w:hint="eastAsia" w:ascii="仿宋_GB2312" w:hAnsi="Times New Roman" w:eastAsia="仿宋_GB2312" w:cs="Times New Roman"/>
          <w:color w:val="000000"/>
          <w:sz w:val="32"/>
          <w:szCs w:val="32"/>
        </w:rPr>
      </w:pPr>
      <w:r>
        <w:rPr>
          <w:rFonts w:hint="eastAsia" w:ascii="仿宋_GB2312" w:hAnsi="Times New Roman" w:eastAsia="仿宋_GB2312" w:cs="Times New Roman"/>
          <w:color w:val="000000"/>
          <w:sz w:val="32"/>
          <w:szCs w:val="32"/>
        </w:rPr>
        <w:t>（1）2023年重大项目推进工作经费绩效分析。全年组织开展全市项目投资“拉练评比”活动4次。争取中央、省预算内投资项目资金80.88亿元。谋划储备全市重大项目3190个，谋划总投资达1.74万元。近两年内拟实施项目1673个，开工入统转化率50.7%，项目总投资达7296亿元。 开展重大项目前期咨询论证等工作，编制2023年投资计划及2023年省、市重点项目年度计划，制定市重点项目清单、加快前期工作重点项目清单、“五个一批”项目清单，形成“一报告两清单”，挖掘、谋划国家“十四五”规划重大事项广元机遇145个、重大项目860个，完成推动资源优势向产业优势转变等41个课题研究。组织开展全市重大项目现场推进活动6批次、编印重大项目巡礼19期、印发通报19期。监督检查省、市重点项目，现场督查省市重点项目、集中开工项目、中央省预算内投资项目、地方政府专项债项目、政策性开发行金融工具项目等计划执行情况4次。组织项目会商调度工作4次，统筹协调推动17个重点产业专班高效运转，创新开展重点产业“揭榜攻坚”行动，发布首批“揭榜攻坚”项目10个。扎实开展“四新一盘活”行动，严格落实“月度、年度流动红旗”考评激励机制，按期召开重点产业专班调度会，按月印发通报，统筹联动推进重点产业要素保障，全年累计新洽谈、新签约、新开工、新竣工项目497个、329个、641个、672个、盘活困难问题项目（企业）42个。协调解决项目推进中的具体困难和问题，分析研判全市项目投资支行情况，召开经济运行分析会、调度会21次。组织全市800余名干部开展为期3天的项目包装与策划专题培训，出台《广元市项目储备指导意见》指导全市谋划储备项目。常态化储备项目总投资保持在1.74亿元以上。2023全年完成投资155亿元、720亿元以上，全年固定资产投资增长3.9%。</w:t>
      </w:r>
    </w:p>
    <w:p w14:paraId="3ABB659A">
      <w:pPr>
        <w:spacing w:line="576" w:lineRule="exact"/>
        <w:ind w:firstLine="640" w:firstLineChars="200"/>
        <w:rPr>
          <w:rFonts w:hint="eastAsia" w:ascii="仿宋_GB2312" w:hAnsi="Times New Roman" w:eastAsia="仿宋_GB2312" w:cs="Times New Roman"/>
          <w:color w:val="000000"/>
          <w:sz w:val="32"/>
          <w:szCs w:val="32"/>
        </w:rPr>
      </w:pPr>
      <w:r>
        <w:rPr>
          <w:rFonts w:hint="eastAsia" w:ascii="仿宋_GB2312" w:hAnsi="Times New Roman" w:eastAsia="仿宋_GB2312" w:cs="Times New Roman"/>
          <w:color w:val="000000"/>
          <w:sz w:val="32"/>
          <w:szCs w:val="32"/>
        </w:rPr>
        <w:t>（2）项目争取工作经费绩效分析。印发中省预算内投资、地方政府专项债券、政策性开发性金融工具《资金投向及申报要求资料汇编》指导项目储备申报。全市共争取到中省预算内投资项目104个、到位资金14.17亿元。全市发行地方政府专项债券项目95个、到位债券资金66.71亿元。加快省市重点、“五个一批”、加快前期重点项目、集中开工、地方政府专项债券、中省预算内投资、政策性开发行金融工具等项目前期工作、开工落地、推进实施进度，及时协调解决项目困难问题，动态收集和协调解决项目用地、砂石、用工等要素保障问题。全面落实市委、市政府“项目投资攻坚三年行动”和“拼经济、比发展”工作要求。修改完善项目投资“拉练评比”工作考评办法，以现场汇报、点评的形式分季度开展项目投资“拉练评比”活动，对各县（区）和市级有项目投资任务的部门进行排位，实行重点项目推进和投资运行“红黑榜”通报机制，对推进滞后项目发“点球”督促加快推进，联合市委目标绩效办开展项目大督查，核实项目进展情况，梳理出186个问题项目清单，实行半月调度，督促整改销号；落实市领导联系项目责任，针对问题项目“点对点”提醒相关市领导，研究整改落实。</w:t>
      </w:r>
    </w:p>
    <w:p w14:paraId="0926D38E">
      <w:pPr>
        <w:spacing w:line="576" w:lineRule="exact"/>
        <w:ind w:firstLine="640" w:firstLineChars="200"/>
        <w:rPr>
          <w:rFonts w:hint="eastAsia" w:ascii="仿宋_GB2312" w:hAnsi="Times New Roman" w:eastAsia="仿宋_GB2312" w:cs="Times New Roman"/>
          <w:color w:val="000000"/>
          <w:sz w:val="32"/>
          <w:szCs w:val="32"/>
        </w:rPr>
      </w:pPr>
      <w:r>
        <w:rPr>
          <w:rFonts w:hint="eastAsia" w:ascii="仿宋_GB2312" w:hAnsi="Times New Roman" w:eastAsia="仿宋_GB2312" w:cs="Times New Roman"/>
          <w:color w:val="000000"/>
          <w:sz w:val="32"/>
          <w:szCs w:val="32"/>
        </w:rPr>
        <w:t>（3）粮食工作经费（包含粮食安全党政同责、行政执法、普法工作经费） 绩效分析。全年按照季度对全市政策性储备粮油库存及轮换情况进行抽查巡查，牵头组织市级13个部门归集上报考核评分资料。2023年度我市粮食安全和耕地保护获得省考核 “良好”等级。大力推进粮食产业发展及项目申报，切实做好粮油价格监测预警，强化粮油统计及培训工作。认真做好全系统安全生产工作，抓好安全培训、宣传和预防工作。加强军粮供应管理，稳定军供粮油质量及监督检查，为部队官兵提供食品安全保障。做好处理突发事件和应对自然灾害的粮油及物资保障。做好应急粮油体系建设。抽调40人左右对全市15家地方粮食企业34个粮食库点14万吨粮食、11个油脂库点0.49万吨油脂进行政策性储备粮油库存检查。根据省局安排，泸州市抽调11名粮油库存检查专家，对我市5个粮食库点8.1万吨粮食、3个油脂库点0.2万吨油脂进行了逐仓（罐）逐货位交叉检查。10.牵头组织财政、市场监管、海关等部门在夏秋粮收购时节对全市粮油收购、政策性粮食销售、进口粮食等开展联合监督检查。</w:t>
      </w:r>
    </w:p>
    <w:p w14:paraId="7B60793C">
      <w:pPr>
        <w:spacing w:line="576" w:lineRule="exact"/>
        <w:ind w:firstLine="800" w:firstLineChars="250"/>
        <w:rPr>
          <w:rFonts w:hint="eastAsia" w:ascii="仿宋_GB2312" w:hAnsi="Times New Roman" w:eastAsia="仿宋_GB2312" w:cs="方正仿宋简体"/>
          <w:bCs/>
          <w:color w:val="000000"/>
          <w:sz w:val="32"/>
          <w:szCs w:val="32"/>
          <w:lang w:val="zh-CN"/>
        </w:rPr>
      </w:pPr>
      <w:r>
        <w:rPr>
          <w:rFonts w:hint="eastAsia" w:ascii="仿宋_GB2312" w:hAnsi="Times New Roman" w:eastAsia="仿宋_GB2312" w:cs="方正仿宋简体"/>
          <w:bCs/>
          <w:color w:val="000000"/>
          <w:sz w:val="32"/>
          <w:szCs w:val="32"/>
        </w:rPr>
        <w:t>2.</w:t>
      </w:r>
      <w:r>
        <w:rPr>
          <w:rFonts w:hint="eastAsia" w:ascii="仿宋_GB2312" w:hAnsi="Times New Roman" w:eastAsia="仿宋_GB2312" w:cs="方正仿宋简体"/>
          <w:bCs/>
          <w:color w:val="000000"/>
          <w:sz w:val="32"/>
          <w:szCs w:val="32"/>
          <w:lang w:val="zh-CN"/>
        </w:rPr>
        <w:t>预算管理</w:t>
      </w:r>
    </w:p>
    <w:p w14:paraId="0C366DE8">
      <w:pPr>
        <w:spacing w:line="576" w:lineRule="exact"/>
        <w:ind w:firstLine="640" w:firstLineChars="200"/>
        <w:rPr>
          <w:rFonts w:hint="eastAsia" w:ascii="仿宋_GB2312" w:hAnsi="Times New Roman" w:eastAsia="仿宋_GB2312" w:cs="宋体"/>
          <w:kern w:val="0"/>
          <w:sz w:val="32"/>
          <w:szCs w:val="32"/>
          <w:lang w:val="zh-CN"/>
        </w:rPr>
      </w:pPr>
      <w:r>
        <w:rPr>
          <w:rFonts w:hint="eastAsia" w:ascii="仿宋_GB2312" w:hAnsi="Times New Roman" w:eastAsia="仿宋_GB2312" w:cs="宋体"/>
          <w:kern w:val="0"/>
          <w:sz w:val="32"/>
          <w:szCs w:val="32"/>
          <w:lang w:val="zh-CN"/>
        </w:rPr>
        <w:t>（1）预算编制质量。一是精确填报部门基础信息。仔细核查单位性质、编制人数、实有人数、离退休人数、统筹和独生子女状况。二是重视项目资金整合，努力提高项目预算绩效是部门预算发展的方向。根据“保人员、保运转、保发展”的原则，依据工作的职能任务和事业发展规划，结合财力状况，参照以前年度项目，申报本年度预算项目。申报材料齐全、申报内容完整、支出科目运用准确。三是重视采购预算，提高采购编制的完整性。依据《政府采购管理办法》及《政府选购实施细则》的要求，结合本部门开展工作的实际，精确把握选购类型和选购目录，切实强化采购项目的预见性和超前性，政府选购预算编制做到全面准确，符合实际需要。2023年我部门全年无超预算支出情况且项目经费、人员经费、资产配置预决算不存在偏差，但部门日常公用经费、政府采购预决算存在偏差，其中日常公用经费偏离度为1.03%，政府采购偏离度为5.43%。</w:t>
      </w:r>
    </w:p>
    <w:p w14:paraId="61117890">
      <w:pPr>
        <w:spacing w:line="576" w:lineRule="exact"/>
        <w:ind w:firstLine="640" w:firstLineChars="200"/>
        <w:rPr>
          <w:rFonts w:hint="eastAsia" w:ascii="仿宋_GB2312" w:hAnsi="Times New Roman" w:eastAsia="仿宋_GB2312" w:cs="宋体"/>
          <w:kern w:val="0"/>
          <w:sz w:val="32"/>
          <w:szCs w:val="32"/>
          <w:lang w:val="zh-CN"/>
        </w:rPr>
      </w:pPr>
      <w:r>
        <w:rPr>
          <w:rFonts w:hint="eastAsia" w:ascii="仿宋_GB2312" w:hAnsi="Times New Roman" w:eastAsia="仿宋_GB2312" w:cs="宋体"/>
          <w:kern w:val="0"/>
          <w:sz w:val="32"/>
          <w:szCs w:val="32"/>
          <w:lang w:val="zh-CN"/>
        </w:rPr>
        <w:t>（2）单位收入统筹。我部门无自有收入，因此不涉及此项考核内容。</w:t>
      </w:r>
    </w:p>
    <w:p w14:paraId="0CD33E25">
      <w:pPr>
        <w:spacing w:line="576" w:lineRule="exact"/>
        <w:ind w:firstLine="640" w:firstLineChars="200"/>
        <w:rPr>
          <w:rFonts w:hint="eastAsia" w:ascii="仿宋_GB2312" w:hAnsi="Times New Roman" w:eastAsia="仿宋_GB2312" w:cs="宋体"/>
          <w:kern w:val="0"/>
          <w:sz w:val="32"/>
          <w:szCs w:val="32"/>
          <w:lang w:val="zh-CN"/>
        </w:rPr>
      </w:pPr>
      <w:r>
        <w:rPr>
          <w:rFonts w:hint="eastAsia" w:ascii="仿宋_GB2312" w:hAnsi="Times New Roman" w:eastAsia="仿宋_GB2312" w:cs="宋体"/>
          <w:kern w:val="0"/>
          <w:sz w:val="32"/>
          <w:szCs w:val="32"/>
          <w:lang w:val="zh-CN"/>
        </w:rPr>
        <w:t>（3）支出执行进度。2023年1-6月我委预算执行数为1745.63万元，执行进度为41.08%；1-10月我委实际支出2976.72，执行进度为70.05%，无预警支付及违规支付金额。</w:t>
      </w:r>
    </w:p>
    <w:p w14:paraId="7FA30CF4">
      <w:pPr>
        <w:spacing w:line="576" w:lineRule="exact"/>
        <w:ind w:firstLine="640" w:firstLineChars="200"/>
        <w:rPr>
          <w:rFonts w:hint="eastAsia" w:ascii="仿宋_GB2312" w:hAnsi="Times New Roman" w:eastAsia="仿宋_GB2312" w:cs="宋体"/>
          <w:kern w:val="0"/>
          <w:sz w:val="32"/>
          <w:szCs w:val="32"/>
          <w:lang w:val="zh-CN"/>
        </w:rPr>
      </w:pPr>
      <w:r>
        <w:rPr>
          <w:rFonts w:hint="eastAsia" w:ascii="仿宋_GB2312" w:hAnsi="Times New Roman" w:eastAsia="仿宋_GB2312" w:cs="宋体"/>
          <w:kern w:val="0"/>
          <w:sz w:val="32"/>
          <w:szCs w:val="32"/>
          <w:lang w:val="zh-CN"/>
        </w:rPr>
        <w:t>（4）预算年终结余情况。2023年我部门人员及公用经费资金决算无结转结余资金，资金结余率为0；部门预算项目资金决算结转结余资金0.53万元，资金结余率为0.19%，无结余率超过0.1项目；专项预算资金决算结转结余资金174.16万元，资金结余率为26.83%，其中结余率超过0.1的有3个，分别是2023年省预算内基本建设资金（第三批）、2023年省预算内基本建设资金（第七批）、市清洁能源产业专班工作经费。2023年部门整体部门整体年终预算结余率4.11%。</w:t>
      </w:r>
    </w:p>
    <w:p w14:paraId="4B85371D">
      <w:pPr>
        <w:spacing w:line="576" w:lineRule="exact"/>
        <w:ind w:firstLine="640" w:firstLineChars="200"/>
        <w:rPr>
          <w:rFonts w:hint="eastAsia" w:ascii="仿宋_GB2312" w:hAnsi="Times New Roman" w:eastAsia="仿宋_GB2312" w:cs="宋体"/>
          <w:kern w:val="0"/>
          <w:sz w:val="32"/>
          <w:szCs w:val="32"/>
          <w:lang w:val="zh-CN"/>
        </w:rPr>
      </w:pPr>
      <w:r>
        <w:rPr>
          <w:rFonts w:hint="eastAsia" w:ascii="仿宋_GB2312" w:hAnsi="Times New Roman" w:eastAsia="仿宋_GB2312" w:cs="宋体"/>
          <w:kern w:val="0"/>
          <w:sz w:val="32"/>
          <w:szCs w:val="32"/>
          <w:lang w:val="zh-CN"/>
        </w:rPr>
        <w:t>（5）严控一般性支出情况。2021年我委完善制定了《预算管理制度》《财政预算绩效管理考核实施细则》等相关制度，对“三重一大”事项实行班子民主决策、经费支出实行一支笔审签的管理体制，按照内控制度规定，经费支出额度在3万元及以上大额开支须经委党组会集体研究同意后方可开支，项目经费严格在预算范围内开支。严控“三公”经费、会议、培训、差旅、办节办展、办公设备购置、信息网络及软件购置更新、课题经费等8项一般性支出，2023年此8项一般性支出年初预算127.72万元较2022年183.22减少55.53万元，其中三公经费、会议费及差旅费较上年压减超1%，办公设备购置、信息网络及软件购置更新、课题经费无变化；2023年此8项一般性支出财政拨款预算执行数234.27万元较上年192.89万元增加41.38万元，其中培训费、办公设备购置预算执行数较上年压减超1%。</w:t>
      </w:r>
    </w:p>
    <w:p w14:paraId="6CE4AFFF">
      <w:pPr>
        <w:spacing w:line="576" w:lineRule="exact"/>
        <w:ind w:firstLine="640" w:firstLineChars="200"/>
        <w:rPr>
          <w:rFonts w:hint="eastAsia" w:ascii="仿宋_GB2312" w:hAnsi="Times New Roman" w:eastAsia="仿宋_GB2312" w:cs="宋体"/>
          <w:kern w:val="0"/>
          <w:sz w:val="32"/>
          <w:szCs w:val="32"/>
          <w:lang w:val="zh-CN"/>
        </w:rPr>
      </w:pPr>
      <w:r>
        <w:rPr>
          <w:rFonts w:hint="eastAsia" w:ascii="仿宋_GB2312" w:hAnsi="Times New Roman" w:eastAsia="仿宋_GB2312" w:cs="宋体"/>
          <w:kern w:val="0"/>
          <w:sz w:val="32"/>
          <w:szCs w:val="32"/>
        </w:rPr>
        <w:t>3.</w:t>
      </w:r>
      <w:r>
        <w:rPr>
          <w:rFonts w:hint="eastAsia" w:ascii="仿宋_GB2312" w:hAnsi="Times New Roman" w:eastAsia="仿宋_GB2312" w:cs="宋体"/>
          <w:kern w:val="0"/>
          <w:sz w:val="32"/>
          <w:szCs w:val="32"/>
          <w:lang w:val="zh-CN"/>
        </w:rPr>
        <w:t>财务管理</w:t>
      </w:r>
    </w:p>
    <w:p w14:paraId="0F6D6F46">
      <w:pPr>
        <w:adjustRightInd w:val="0"/>
        <w:snapToGrid w:val="0"/>
        <w:spacing w:line="576" w:lineRule="exact"/>
        <w:ind w:firstLine="640" w:firstLineChars="200"/>
        <w:contextualSpacing/>
        <w:rPr>
          <w:rFonts w:hint="eastAsia" w:ascii="仿宋_GB2312" w:hAnsi="Times New Roman" w:eastAsia="仿宋_GB2312" w:cs="仿宋_GB2312"/>
          <w:kern w:val="0"/>
          <w:sz w:val="32"/>
          <w:szCs w:val="32"/>
          <w:shd w:val="clear" w:color="auto" w:fill="FFFFFF"/>
          <w:lang w:val="zh-CN"/>
        </w:rPr>
      </w:pPr>
      <w:r>
        <w:rPr>
          <w:rFonts w:hint="eastAsia" w:ascii="仿宋_GB2312" w:hAnsi="Times New Roman" w:eastAsia="仿宋_GB2312" w:cs="仿宋_GB2312"/>
          <w:kern w:val="0"/>
          <w:sz w:val="32"/>
          <w:szCs w:val="32"/>
          <w:shd w:val="clear" w:color="auto" w:fill="FFFFFF"/>
        </w:rPr>
        <w:t>2023年我部门修改完善了《</w:t>
      </w:r>
      <w:r>
        <w:rPr>
          <w:rFonts w:hint="eastAsia" w:ascii="仿宋_GB2312" w:hAnsi="Times New Roman" w:eastAsia="仿宋_GB2312" w:cs="仿宋_GB2312"/>
          <w:kern w:val="0"/>
          <w:sz w:val="32"/>
          <w:szCs w:val="32"/>
          <w:shd w:val="clear" w:color="auto" w:fill="FFFFFF"/>
          <w:lang w:val="zh-CN"/>
        </w:rPr>
        <w:t>财务管理制度》并制定了《内部牵制制度》合理设置了财务工作岗位，明确财务人员职责权限，并严格实行不相容岗位分离。</w:t>
      </w:r>
      <w:r>
        <w:rPr>
          <w:rFonts w:hint="eastAsia" w:ascii="仿宋_GB2312" w:hAnsi="Times New Roman" w:eastAsia="仿宋_GB2312" w:cs="仿宋_GB2312"/>
          <w:kern w:val="0"/>
          <w:sz w:val="32"/>
          <w:szCs w:val="32"/>
          <w:shd w:val="clear" w:color="auto" w:fill="FFFFFF"/>
        </w:rPr>
        <w:t>2023年我部门</w:t>
      </w:r>
      <w:r>
        <w:rPr>
          <w:rFonts w:hint="eastAsia" w:ascii="仿宋_GB2312" w:hAnsi="Times New Roman" w:eastAsia="仿宋_GB2312" w:cs="仿宋_GB2312"/>
          <w:kern w:val="0"/>
          <w:sz w:val="32"/>
          <w:szCs w:val="32"/>
          <w:shd w:val="clear" w:color="auto" w:fill="FFFFFF"/>
          <w:lang w:val="zh-CN"/>
        </w:rPr>
        <w:t>全部财政资金均按预算用途运用，支出真实合规，严格专项资金管理，做到专款专用，无截留、挤占和挪用的行为。</w:t>
      </w:r>
    </w:p>
    <w:p w14:paraId="6D97A3EA">
      <w:pPr>
        <w:adjustRightInd w:val="0"/>
        <w:snapToGrid w:val="0"/>
        <w:spacing w:line="576" w:lineRule="exact"/>
        <w:ind w:firstLine="640" w:firstLineChars="200"/>
        <w:contextualSpacing/>
        <w:rPr>
          <w:rFonts w:hint="eastAsia" w:ascii="仿宋_GB2312" w:hAnsi="Times New Roman" w:eastAsia="仿宋_GB2312" w:cs="仿宋_GB2312"/>
          <w:color w:val="000000"/>
          <w:kern w:val="0"/>
          <w:sz w:val="32"/>
          <w:szCs w:val="32"/>
          <w:shd w:val="clear" w:color="auto" w:fill="FFFFFF"/>
          <w:lang w:val="zh-CN"/>
        </w:rPr>
      </w:pPr>
      <w:r>
        <w:rPr>
          <w:rFonts w:hint="eastAsia" w:ascii="仿宋_GB2312" w:hAnsi="Times New Roman" w:eastAsia="仿宋_GB2312" w:cs="仿宋_GB2312"/>
          <w:color w:val="000000"/>
          <w:kern w:val="0"/>
          <w:sz w:val="32"/>
          <w:szCs w:val="32"/>
          <w:shd w:val="clear" w:color="auto" w:fill="FFFFFF"/>
          <w:lang w:val="zh-CN"/>
        </w:rPr>
        <w:t>4.资产管理</w:t>
      </w:r>
    </w:p>
    <w:p w14:paraId="5119A7D3">
      <w:pPr>
        <w:adjustRightInd w:val="0"/>
        <w:snapToGrid w:val="0"/>
        <w:spacing w:line="576" w:lineRule="exact"/>
        <w:ind w:firstLine="640" w:firstLineChars="200"/>
        <w:contextualSpacing/>
        <w:rPr>
          <w:rFonts w:hint="eastAsia" w:ascii="仿宋_GB2312" w:hAnsi="Times New Roman" w:eastAsia="仿宋_GB2312" w:cs="仿宋_GB2312"/>
          <w:kern w:val="0"/>
          <w:sz w:val="32"/>
          <w:szCs w:val="32"/>
          <w:shd w:val="clear" w:color="auto" w:fill="FFFFFF"/>
          <w:lang w:val="zh-CN"/>
        </w:rPr>
      </w:pPr>
      <w:r>
        <w:rPr>
          <w:rFonts w:hint="eastAsia" w:ascii="仿宋_GB2312" w:hAnsi="Times New Roman" w:eastAsia="仿宋_GB2312" w:cs="仿宋_GB2312"/>
          <w:color w:val="000000"/>
          <w:kern w:val="0"/>
          <w:sz w:val="32"/>
          <w:szCs w:val="32"/>
          <w:shd w:val="clear" w:color="auto" w:fill="FFFFFF"/>
          <w:lang w:val="zh-CN"/>
        </w:rPr>
        <w:t>我部门根据工作</w:t>
      </w:r>
      <w:r>
        <w:rPr>
          <w:rFonts w:hint="eastAsia" w:ascii="仿宋_GB2312" w:hAnsi="Times New Roman" w:eastAsia="仿宋_GB2312" w:cs="仿宋_GB2312"/>
          <w:kern w:val="0"/>
          <w:sz w:val="32"/>
          <w:szCs w:val="32"/>
          <w:shd w:val="clear" w:color="auto" w:fill="FFFFFF"/>
          <w:lang w:val="zh-CN"/>
        </w:rPr>
        <w:t>需要和财力状况，合理分配购置相关资产，并制定了《资产管理制度》，对固定资产的添置由各科室提出书面申请，报经主要领导同意签字，再由委办公室（后勤服务中心）负责统一采购（重大资产购入经局党组研究、相关科室参与采购），对新购入的资产或无法使用的资产，都做好登记台账，资产使用者登记到人到科室，确实加强资产的实物管理。建立资产信息管理系统，实现对资产的动态管理。遇人员调动或退休的，及时做好资产使用的变更，定期或者不定期的对资产进行账务清理、对实物进行清查盘点，年度终了前进行一次全面清查盘点，核实资产，有效管理，我部门资产使用率达100%且无闲置资产。</w:t>
      </w:r>
    </w:p>
    <w:p w14:paraId="46C08FFA">
      <w:pPr>
        <w:adjustRightInd w:val="0"/>
        <w:snapToGrid w:val="0"/>
        <w:spacing w:line="576" w:lineRule="exact"/>
        <w:ind w:firstLine="640" w:firstLineChars="200"/>
        <w:contextualSpacing/>
        <w:rPr>
          <w:rFonts w:hint="eastAsia" w:ascii="仿宋_GB2312" w:hAnsi="Times New Roman" w:eastAsia="仿宋_GB2312" w:cs="仿宋_GB2312"/>
          <w:color w:val="000000"/>
          <w:kern w:val="0"/>
          <w:sz w:val="32"/>
          <w:szCs w:val="32"/>
          <w:shd w:val="clear" w:color="auto" w:fill="FFFFFF"/>
          <w:lang w:val="zh-CN"/>
        </w:rPr>
      </w:pPr>
      <w:r>
        <w:rPr>
          <w:rFonts w:hint="eastAsia" w:ascii="仿宋_GB2312" w:hAnsi="Times New Roman" w:eastAsia="仿宋_GB2312" w:cs="仿宋_GB2312"/>
          <w:color w:val="000000"/>
          <w:kern w:val="0"/>
          <w:sz w:val="32"/>
          <w:szCs w:val="32"/>
          <w:shd w:val="clear" w:color="auto" w:fill="FFFFFF"/>
          <w:lang w:val="zh-CN"/>
        </w:rPr>
        <w:t>5.采购管理</w:t>
      </w:r>
    </w:p>
    <w:p w14:paraId="7F0AAE8E">
      <w:pPr>
        <w:adjustRightInd w:val="0"/>
        <w:snapToGrid w:val="0"/>
        <w:spacing w:line="576" w:lineRule="exact"/>
        <w:ind w:firstLine="640" w:firstLineChars="200"/>
        <w:contextualSpacing/>
        <w:rPr>
          <w:rFonts w:hint="eastAsia" w:ascii="仿宋_GB2312" w:hAnsi="Times New Roman" w:eastAsia="仿宋_GB2312" w:cs="仿宋_GB2312"/>
          <w:color w:val="000000"/>
          <w:kern w:val="0"/>
          <w:sz w:val="32"/>
          <w:szCs w:val="32"/>
          <w:shd w:val="clear" w:color="auto" w:fill="FFFFFF"/>
          <w:lang w:val="zh-CN"/>
        </w:rPr>
      </w:pPr>
      <w:r>
        <w:rPr>
          <w:rFonts w:hint="eastAsia" w:ascii="仿宋_GB2312" w:hAnsi="Times New Roman" w:eastAsia="仿宋_GB2312" w:cs="仿宋_GB2312"/>
          <w:color w:val="000000"/>
          <w:kern w:val="0"/>
          <w:sz w:val="32"/>
          <w:szCs w:val="32"/>
          <w:shd w:val="clear" w:color="auto" w:fill="FFFFFF"/>
          <w:lang w:val="zh-CN"/>
        </w:rPr>
        <w:t>政府采购要严格遵循文件要求执行，严格审批程序，坚持有预算才有采购，按照先申请后购买的原则，凡属政府集中采购范围的，必须按相关采购制度执行；不属于集中采购范围的，由镇业务分管领导牵头，党政办负责统一采购，其他人员一律不得自行采购。我委权利支持中小微利企业发展，2023年度在中小微利企业中采购216.55万元设备、物资等，采购执行率100%。</w:t>
      </w:r>
    </w:p>
    <w:p w14:paraId="42720452">
      <w:pPr>
        <w:spacing w:line="576" w:lineRule="exact"/>
        <w:ind w:firstLine="640" w:firstLineChars="200"/>
        <w:rPr>
          <w:rFonts w:ascii="Times New Roman" w:hAnsi="Times New Roman" w:eastAsia="楷体_GB2312" w:cs="Times New Roman"/>
          <w:color w:val="000000"/>
          <w:kern w:val="0"/>
          <w:sz w:val="32"/>
          <w:szCs w:val="32"/>
          <w:shd w:val="clear" w:color="auto" w:fill="FFFFFF"/>
          <w:lang w:val="zh-CN"/>
        </w:rPr>
      </w:pPr>
      <w:r>
        <w:rPr>
          <w:rFonts w:ascii="Times New Roman" w:hAnsi="Times New Roman" w:eastAsia="楷体_GB2312" w:cs="Times New Roman"/>
          <w:color w:val="000000"/>
          <w:kern w:val="0"/>
          <w:sz w:val="32"/>
          <w:szCs w:val="32"/>
          <w:shd w:val="clear" w:color="auto" w:fill="FFFFFF"/>
          <w:lang w:val="zh-CN"/>
        </w:rPr>
        <w:t>（二）部门预算项目绩效分析</w:t>
      </w:r>
    </w:p>
    <w:p w14:paraId="6E0D28F4">
      <w:pPr>
        <w:spacing w:line="576" w:lineRule="exact"/>
        <w:ind w:firstLine="640" w:firstLineChars="200"/>
        <w:rPr>
          <w:rFonts w:hint="eastAsia" w:ascii="仿宋_GB2312" w:hAnsi="Times New Roman" w:eastAsia="仿宋_GB2312" w:cs="仿宋_GB2312"/>
          <w:sz w:val="32"/>
          <w:szCs w:val="32"/>
        </w:rPr>
      </w:pPr>
      <w:r>
        <w:rPr>
          <w:rFonts w:hint="eastAsia" w:ascii="仿宋_GB2312" w:hAnsi="Times New Roman" w:eastAsia="仿宋_GB2312" w:cs="仿宋_GB2312"/>
          <w:sz w:val="32"/>
          <w:szCs w:val="32"/>
        </w:rPr>
        <w:t>1.</w:t>
      </w:r>
      <w:r>
        <w:rPr>
          <w:rFonts w:hint="eastAsia" w:ascii="仿宋_GB2312" w:hAnsi="Times New Roman" w:eastAsia="仿宋_GB2312" w:cs="仿宋_GB2312"/>
          <w:sz w:val="32"/>
          <w:szCs w:val="32"/>
          <w:lang w:val="zh-CN"/>
        </w:rPr>
        <w:t>项目决策</w:t>
      </w:r>
    </w:p>
    <w:p w14:paraId="5CAA5F17">
      <w:pPr>
        <w:spacing w:line="576" w:lineRule="exact"/>
        <w:ind w:firstLine="640" w:firstLineChars="200"/>
        <w:rPr>
          <w:rFonts w:hint="eastAsia" w:ascii="仿宋_GB2312" w:hAnsi="Times New Roman" w:eastAsia="仿宋_GB2312" w:cs="宋体"/>
          <w:kern w:val="0"/>
          <w:sz w:val="32"/>
          <w:szCs w:val="32"/>
          <w:lang w:val="zh-CN"/>
        </w:rPr>
      </w:pPr>
      <w:r>
        <w:rPr>
          <w:rFonts w:hint="eastAsia" w:ascii="仿宋_GB2312" w:hAnsi="Times New Roman" w:eastAsia="仿宋_GB2312" w:cs="宋体"/>
          <w:kern w:val="0"/>
          <w:sz w:val="32"/>
          <w:szCs w:val="32"/>
        </w:rPr>
        <w:t>按照市财政局全面实施预算绩效管理相关规定及要求，我委年初对所有申报的项目经费均要求职能科室结合上年度预算执行情况先行填报项目支出绩效目标申报表，明确本年度资金需求额度，设定年度总体目标值，细化绩效目标值。如当年新增项目工作及追加金额在50万元及以上，连续性项目资金申报超过上年度20%的项目工作经费，需提前编制事前绩效评估报告，并报委办公室（财务室）汇总后报委预算编审工作领导小组审定，并在规定时间内报同级财政部门审批。待财政部门审批后委办公室财务室根据审批后的项目绩效目标申报表进行项目登记、项目入库、下达资金。</w:t>
      </w:r>
    </w:p>
    <w:p w14:paraId="2BC7E1C1">
      <w:pPr>
        <w:spacing w:line="576" w:lineRule="exact"/>
        <w:ind w:firstLine="640" w:firstLineChars="200"/>
        <w:rPr>
          <w:rFonts w:hint="eastAsia" w:ascii="仿宋_GB2312" w:hAnsi="Times New Roman" w:eastAsia="仿宋_GB2312" w:cs="仿宋_GB2312"/>
          <w:sz w:val="32"/>
          <w:szCs w:val="32"/>
          <w:lang w:val="zh-CN"/>
        </w:rPr>
      </w:pPr>
      <w:r>
        <w:rPr>
          <w:rFonts w:hint="eastAsia" w:ascii="仿宋_GB2312" w:hAnsi="Times New Roman" w:eastAsia="仿宋_GB2312" w:cs="仿宋_GB2312"/>
          <w:sz w:val="32"/>
          <w:szCs w:val="32"/>
        </w:rPr>
        <w:t>2.项目执行</w:t>
      </w:r>
    </w:p>
    <w:p w14:paraId="2BD9944A">
      <w:pPr>
        <w:spacing w:line="576" w:lineRule="exact"/>
        <w:ind w:firstLine="640" w:firstLineChars="200"/>
        <w:rPr>
          <w:rFonts w:hint="eastAsia" w:ascii="仿宋_GB2312" w:hAnsi="Times New Roman" w:eastAsia="仿宋_GB2312" w:cs="宋体"/>
          <w:kern w:val="0"/>
          <w:sz w:val="32"/>
          <w:szCs w:val="32"/>
          <w:lang w:val="zh-CN"/>
        </w:rPr>
      </w:pPr>
      <w:r>
        <w:rPr>
          <w:rFonts w:hint="eastAsia" w:ascii="仿宋_GB2312" w:hAnsi="Times New Roman" w:eastAsia="仿宋_GB2312" w:cs="宋体"/>
          <w:kern w:val="0"/>
          <w:sz w:val="32"/>
          <w:szCs w:val="32"/>
        </w:rPr>
        <w:t>2023年6月我委实际支出1745.63万元，执行进度为41.08%；9月我委实际支出2856.96万元，执行进度为56.36%；11月我委实际支出3459.39万元，执行进度为81.41%。截止2023年12月末我委整体支出4053.66万元，执行进度为95.39%，其中人员及公用经费执行进度100%；部门预算项目执行进度100%；全年专项预算项目共计13个中，有6个项目未完成支付，占执行进度的26.83%。主要原因：一是指标下达时间时间较晚，市清洁能源产业专班工作经费剩余14.8万元，当年无法完成支付</w:t>
      </w:r>
      <w:r>
        <w:rPr>
          <w:rFonts w:hint="eastAsia" w:ascii="仿宋_GB2312" w:hAnsi="Times New Roman" w:eastAsia="仿宋_GB2312" w:cs="宋体"/>
          <w:kern w:val="0"/>
          <w:sz w:val="32"/>
          <w:szCs w:val="32"/>
          <w:lang w:val="zh-CN"/>
        </w:rPr>
        <w:t>需跨年度继续执行</w:t>
      </w:r>
      <w:r>
        <w:rPr>
          <w:rFonts w:hint="eastAsia" w:ascii="仿宋_GB2312" w:hAnsi="Times New Roman" w:eastAsia="仿宋_GB2312" w:cs="宋体"/>
          <w:kern w:val="0"/>
          <w:sz w:val="32"/>
          <w:szCs w:val="32"/>
        </w:rPr>
        <w:t>；2023年省预算内基本建设资金（第三批）剩余81万元、2023年省预算内基本建设资金（第七批）剩余70万元，主要原因是中煤一体化建设项目及能源安全保障基地，当年未达到支付条件</w:t>
      </w:r>
      <w:r>
        <w:rPr>
          <w:rFonts w:hint="eastAsia" w:ascii="仿宋_GB2312" w:hAnsi="Times New Roman" w:eastAsia="仿宋_GB2312" w:cs="宋体"/>
          <w:kern w:val="0"/>
          <w:sz w:val="32"/>
          <w:szCs w:val="32"/>
          <w:lang w:val="zh-CN"/>
        </w:rPr>
        <w:t>需跨年度继续执行；</w:t>
      </w:r>
      <w:r>
        <w:rPr>
          <w:rFonts w:hint="eastAsia" w:ascii="仿宋_GB2312" w:hAnsi="Times New Roman" w:eastAsia="仿宋_GB2312" w:cs="宋体"/>
          <w:kern w:val="0"/>
          <w:sz w:val="32"/>
          <w:szCs w:val="32"/>
        </w:rPr>
        <w:t>三是救灾物资采购剩余2.21万元，原因是预算资金60万元，通过公开中标金额为57.79万元；商品粮大市奖励资金剩余0.5万元，原因为预算资金150万元通过公开招标流程，中标金额149.5元；信用体系建设示范区第三方咨询服务费剩余3万元，原因是预算资金60万元，通过公开中标金额为57万元。</w:t>
      </w:r>
    </w:p>
    <w:p w14:paraId="30FB61BF">
      <w:pPr>
        <w:spacing w:line="576" w:lineRule="exact"/>
        <w:ind w:firstLine="640" w:firstLineChars="200"/>
        <w:rPr>
          <w:rFonts w:hint="eastAsia" w:ascii="仿宋_GB2312" w:hAnsi="Times New Roman" w:eastAsia="仿宋_GB2312" w:cs="仿宋_GB2312"/>
          <w:sz w:val="32"/>
          <w:szCs w:val="32"/>
          <w:lang w:val="zh-CN"/>
        </w:rPr>
      </w:pPr>
      <w:r>
        <w:rPr>
          <w:rFonts w:hint="eastAsia" w:ascii="仿宋_GB2312" w:hAnsi="Times New Roman" w:eastAsia="仿宋_GB2312" w:cs="仿宋_GB2312"/>
          <w:sz w:val="32"/>
          <w:szCs w:val="32"/>
        </w:rPr>
        <w:t>3.</w:t>
      </w:r>
      <w:r>
        <w:rPr>
          <w:rFonts w:hint="eastAsia" w:ascii="仿宋_GB2312" w:hAnsi="Times New Roman" w:eastAsia="仿宋_GB2312" w:cs="仿宋_GB2312"/>
          <w:sz w:val="32"/>
          <w:szCs w:val="32"/>
          <w:lang w:val="zh-CN"/>
        </w:rPr>
        <w:t>目标实现</w:t>
      </w:r>
    </w:p>
    <w:p w14:paraId="1955D2DD">
      <w:pPr>
        <w:pStyle w:val="16"/>
        <w:spacing w:line="576" w:lineRule="exact"/>
        <w:ind w:left="0" w:leftChars="0" w:firstLine="640" w:firstLineChars="200"/>
        <w:rPr>
          <w:rFonts w:hint="eastAsia" w:ascii="仿宋_GB2312" w:hAnsi="Times New Roman" w:eastAsia="仿宋_GB2312" w:cs="宋体"/>
          <w:kern w:val="0"/>
          <w:sz w:val="32"/>
          <w:szCs w:val="32"/>
          <w:lang w:val="zh-CN" w:eastAsia="zh-CN" w:bidi="ar-SA"/>
        </w:rPr>
      </w:pPr>
      <w:r>
        <w:rPr>
          <w:rFonts w:hint="eastAsia" w:ascii="仿宋_GB2312" w:hAnsi="Times New Roman" w:eastAsia="仿宋_GB2312" w:cs="宋体"/>
          <w:kern w:val="0"/>
          <w:sz w:val="32"/>
          <w:szCs w:val="32"/>
          <w:lang w:val="en-US" w:eastAsia="zh-CN" w:bidi="ar-SA"/>
        </w:rPr>
        <w:t>2023年整体预算支出实现4053.66万元，占预算收入的95.39%。其中人员及公用经费完成预算100%。2023年部门预算目共计9个，部门预算项目收入274.1万元，支出实现273.57万元，占预算收入的99.81%。专项预算的13个项目中，</w:t>
      </w:r>
      <w:r>
        <w:rPr>
          <w:rFonts w:hint="eastAsia" w:ascii="仿宋_GB2312" w:hAnsi="Times New Roman" w:eastAsia="仿宋_GB2312" w:cs="宋体"/>
          <w:kern w:val="0"/>
          <w:sz w:val="32"/>
          <w:szCs w:val="32"/>
          <w:lang w:val="zh-CN" w:eastAsia="zh-CN" w:bidi="ar-SA"/>
        </w:rPr>
        <w:t>除</w:t>
      </w:r>
      <w:r>
        <w:rPr>
          <w:rFonts w:hint="eastAsia" w:ascii="仿宋_GB2312" w:hAnsi="Times New Roman" w:eastAsia="仿宋_GB2312" w:cs="宋体"/>
          <w:kern w:val="0"/>
          <w:sz w:val="32"/>
          <w:szCs w:val="32"/>
          <w:lang w:val="en-US" w:eastAsia="zh-CN" w:bidi="ar-SA"/>
        </w:rPr>
        <w:t>3</w:t>
      </w:r>
      <w:r>
        <w:rPr>
          <w:rFonts w:hint="eastAsia" w:ascii="仿宋_GB2312" w:hAnsi="Times New Roman" w:eastAsia="仿宋_GB2312" w:cs="宋体"/>
          <w:kern w:val="0"/>
          <w:sz w:val="32"/>
          <w:szCs w:val="32"/>
          <w:lang w:val="zh-CN" w:eastAsia="zh-CN" w:bidi="ar-SA"/>
        </w:rPr>
        <w:t>个项目当年无法实现当面预期目标，需跨年度继续执行外，其余</w:t>
      </w:r>
      <w:r>
        <w:rPr>
          <w:rFonts w:hint="eastAsia" w:ascii="仿宋_GB2312" w:hAnsi="Times New Roman" w:eastAsia="仿宋_GB2312" w:cs="宋体"/>
          <w:kern w:val="0"/>
          <w:sz w:val="32"/>
          <w:szCs w:val="32"/>
          <w:lang w:val="en-US" w:eastAsia="zh-CN" w:bidi="ar-SA"/>
        </w:rPr>
        <w:t>10</w:t>
      </w:r>
      <w:r>
        <w:rPr>
          <w:rFonts w:hint="eastAsia" w:ascii="仿宋_GB2312" w:hAnsi="Times New Roman" w:eastAsia="仿宋_GB2312" w:cs="宋体"/>
          <w:kern w:val="0"/>
          <w:sz w:val="32"/>
          <w:szCs w:val="32"/>
          <w:lang w:val="zh-CN" w:eastAsia="zh-CN" w:bidi="ar-SA"/>
        </w:rPr>
        <w:t>个项目经费全面完成100%。</w:t>
      </w:r>
      <w:r>
        <w:rPr>
          <w:rFonts w:hint="eastAsia" w:ascii="仿宋_GB2312" w:hAnsi="Times New Roman" w:eastAsia="仿宋_GB2312" w:cs="宋体"/>
          <w:kern w:val="0"/>
          <w:sz w:val="32"/>
          <w:szCs w:val="32"/>
          <w:lang w:val="en-US" w:eastAsia="zh-CN" w:bidi="ar-SA"/>
        </w:rPr>
        <w:t>主要原因：市清洁能源产业专班工作经费指标下达较晚，2023年省预算内基本建设资金（第三批）以及2023年省预算内基本建设资金（第七批）项目正在推进中，当年达不到支付条件</w:t>
      </w:r>
      <w:r>
        <w:rPr>
          <w:rFonts w:hint="eastAsia" w:ascii="仿宋_GB2312" w:hAnsi="Times New Roman" w:eastAsia="仿宋_GB2312" w:cs="宋体"/>
          <w:kern w:val="0"/>
          <w:sz w:val="32"/>
          <w:szCs w:val="32"/>
          <w:lang w:val="zh-CN" w:eastAsia="zh-CN" w:bidi="ar-SA"/>
        </w:rPr>
        <w:t>需跨年度继续执行</w:t>
      </w:r>
      <w:r>
        <w:rPr>
          <w:rFonts w:hint="eastAsia" w:ascii="仿宋_GB2312" w:hAnsi="Times New Roman" w:eastAsia="仿宋_GB2312" w:cs="宋体"/>
          <w:kern w:val="0"/>
          <w:sz w:val="32"/>
          <w:szCs w:val="32"/>
          <w:lang w:val="en-US" w:eastAsia="zh-CN" w:bidi="ar-SA"/>
        </w:rPr>
        <w:t>。</w:t>
      </w:r>
    </w:p>
    <w:p w14:paraId="663096D8">
      <w:pPr>
        <w:kinsoku w:val="0"/>
        <w:autoSpaceDE w:val="0"/>
        <w:autoSpaceDN w:val="0"/>
        <w:adjustRightInd w:val="0"/>
        <w:snapToGrid w:val="0"/>
        <w:spacing w:line="576" w:lineRule="exact"/>
        <w:ind w:firstLine="640" w:firstLineChars="200"/>
        <w:textAlignment w:val="baseline"/>
        <w:rPr>
          <w:rFonts w:ascii="Times New Roman" w:hAnsi="Times New Roman" w:eastAsia="楷体_GB2312" w:cs="Times New Roman"/>
          <w:color w:val="000000"/>
          <w:kern w:val="0"/>
          <w:sz w:val="32"/>
          <w:szCs w:val="32"/>
          <w:shd w:val="clear" w:color="auto" w:fill="FFFFFF"/>
          <w:lang w:val="zh-CN"/>
        </w:rPr>
      </w:pPr>
      <w:r>
        <w:rPr>
          <w:rFonts w:ascii="Times New Roman" w:hAnsi="Times New Roman" w:eastAsia="楷体_GB2312" w:cs="Times New Roman"/>
          <w:color w:val="000000"/>
          <w:kern w:val="0"/>
          <w:sz w:val="32"/>
          <w:szCs w:val="32"/>
          <w:shd w:val="clear" w:color="auto" w:fill="FFFFFF"/>
          <w:lang w:val="zh-CN"/>
        </w:rPr>
        <w:t>（</w:t>
      </w:r>
      <w:r>
        <w:rPr>
          <w:rFonts w:hint="eastAsia" w:ascii="Times New Roman" w:hAnsi="Times New Roman" w:eastAsia="楷体_GB2312" w:cs="Times New Roman"/>
          <w:color w:val="000000"/>
          <w:kern w:val="0"/>
          <w:sz w:val="32"/>
          <w:szCs w:val="32"/>
          <w:shd w:val="clear" w:color="auto" w:fill="FFFFFF"/>
          <w:lang w:val="zh-CN"/>
        </w:rPr>
        <w:t>三</w:t>
      </w:r>
      <w:r>
        <w:rPr>
          <w:rFonts w:ascii="Times New Roman" w:hAnsi="Times New Roman" w:eastAsia="楷体_GB2312" w:cs="Times New Roman"/>
          <w:color w:val="000000"/>
          <w:kern w:val="0"/>
          <w:sz w:val="32"/>
          <w:szCs w:val="32"/>
          <w:shd w:val="clear" w:color="auto" w:fill="FFFFFF"/>
          <w:lang w:val="zh-CN"/>
        </w:rPr>
        <w:t>）重点领域绩效分析</w:t>
      </w:r>
      <w:r>
        <w:rPr>
          <w:rFonts w:hint="eastAsia" w:ascii="Times New Roman" w:hAnsi="Times New Roman" w:eastAsia="楷体_GB2312" w:cs="Times New Roman"/>
          <w:color w:val="000000"/>
          <w:kern w:val="0"/>
          <w:sz w:val="32"/>
          <w:szCs w:val="32"/>
          <w:shd w:val="clear" w:color="auto" w:fill="FFFFFF"/>
          <w:lang w:val="zh-CN"/>
        </w:rPr>
        <w:t>（</w:t>
      </w:r>
      <w:r>
        <w:rPr>
          <w:rFonts w:hint="eastAsia" w:ascii="仿宋_GB2312" w:hAnsi="Times New Roman" w:eastAsia="仿宋_GB2312" w:cs="宋体"/>
          <w:kern w:val="0"/>
          <w:sz w:val="32"/>
          <w:szCs w:val="32"/>
          <w:lang w:val="zh-CN" w:eastAsia="zh-CN" w:bidi="ar-SA"/>
        </w:rPr>
        <w:t>行政事业性国有资产绩效自评</w:t>
      </w:r>
      <w:r>
        <w:rPr>
          <w:rFonts w:hint="eastAsia" w:ascii="Times New Roman" w:hAnsi="Times New Roman" w:eastAsia="楷体_GB2312" w:cs="Times New Roman"/>
          <w:color w:val="000000"/>
          <w:kern w:val="0"/>
          <w:sz w:val="32"/>
          <w:szCs w:val="32"/>
          <w:shd w:val="clear" w:color="auto" w:fill="FFFFFF"/>
          <w:lang w:val="zh-CN"/>
        </w:rPr>
        <w:t>）</w:t>
      </w:r>
    </w:p>
    <w:p w14:paraId="40A422A0">
      <w:pPr>
        <w:kinsoku w:val="0"/>
        <w:autoSpaceDE w:val="0"/>
        <w:autoSpaceDN w:val="0"/>
        <w:adjustRightInd w:val="0"/>
        <w:snapToGrid w:val="0"/>
        <w:spacing w:line="576" w:lineRule="exact"/>
        <w:ind w:firstLine="640" w:firstLineChars="200"/>
        <w:textAlignment w:val="baseline"/>
        <w:rPr>
          <w:rFonts w:hint="eastAsia" w:ascii="仿宋_GB2312" w:hAnsi="Times New Roman" w:eastAsia="仿宋_GB2312" w:cs="宋体"/>
          <w:color w:val="000000"/>
          <w:kern w:val="0"/>
          <w:sz w:val="32"/>
          <w:szCs w:val="32"/>
        </w:rPr>
      </w:pPr>
      <w:r>
        <w:rPr>
          <w:rFonts w:hint="eastAsia" w:ascii="仿宋_GB2312" w:hAnsi="Times New Roman" w:eastAsia="仿宋_GB2312" w:cs="宋体"/>
          <w:color w:val="000000"/>
          <w:kern w:val="0"/>
          <w:sz w:val="32"/>
          <w:szCs w:val="32"/>
        </w:rPr>
        <w:t>1.资产日常管理</w:t>
      </w:r>
    </w:p>
    <w:p w14:paraId="3965DE31">
      <w:pPr>
        <w:kinsoku w:val="0"/>
        <w:autoSpaceDE w:val="0"/>
        <w:autoSpaceDN w:val="0"/>
        <w:adjustRightInd w:val="0"/>
        <w:snapToGrid w:val="0"/>
        <w:spacing w:line="576" w:lineRule="exact"/>
        <w:ind w:firstLine="640" w:firstLineChars="200"/>
        <w:textAlignment w:val="baseline"/>
        <w:rPr>
          <w:rFonts w:hint="eastAsia" w:ascii="仿宋_GB2312" w:hAnsi="Times New Roman" w:eastAsia="仿宋_GB2312" w:cs="宋体"/>
          <w:color w:val="000000"/>
          <w:kern w:val="0"/>
          <w:sz w:val="32"/>
          <w:szCs w:val="32"/>
        </w:rPr>
      </w:pPr>
      <w:r>
        <w:rPr>
          <w:rFonts w:hint="eastAsia" w:ascii="仿宋_GB2312" w:hAnsi="Times New Roman" w:eastAsia="仿宋_GB2312" w:cs="宋体"/>
          <w:color w:val="000000"/>
          <w:kern w:val="0"/>
          <w:sz w:val="32"/>
          <w:szCs w:val="32"/>
        </w:rPr>
        <w:t>按照（广发改〔2017〕390号）固定资产管理办法的有关规定，严格落实资产清查、登记、上报制度，设置固定资产卡片、总帐及明细账簿，并定期进行了清查盘点，对固定资产的日常管理实行“谁使用，谁保管”的原则，一旦发生毁损、丢失，具体使用人、部门承担相应的责任。设备管理员做好仪器设备档案资料的收集与归档，严格按照《规程》规定进行定期检定校准仪器设备，及时更新固定资产管理信息系统，做到账账相符、账实相符，明确责任并履行好职责。</w:t>
      </w:r>
    </w:p>
    <w:p w14:paraId="16BF870F">
      <w:pPr>
        <w:kinsoku w:val="0"/>
        <w:autoSpaceDE w:val="0"/>
        <w:autoSpaceDN w:val="0"/>
        <w:adjustRightInd w:val="0"/>
        <w:snapToGrid w:val="0"/>
        <w:spacing w:line="576" w:lineRule="exact"/>
        <w:ind w:firstLine="640" w:firstLineChars="200"/>
        <w:textAlignment w:val="baseline"/>
        <w:rPr>
          <w:rFonts w:hint="eastAsia" w:ascii="仿宋_GB2312" w:hAnsi="Times New Roman" w:eastAsia="仿宋_GB2312" w:cs="宋体"/>
          <w:color w:val="000000"/>
          <w:kern w:val="0"/>
          <w:sz w:val="32"/>
          <w:szCs w:val="32"/>
        </w:rPr>
      </w:pPr>
      <w:r>
        <w:rPr>
          <w:rFonts w:hint="eastAsia" w:ascii="仿宋_GB2312" w:hAnsi="Times New Roman" w:eastAsia="仿宋_GB2312" w:cs="宋体"/>
          <w:color w:val="000000"/>
          <w:kern w:val="0"/>
          <w:sz w:val="32"/>
          <w:szCs w:val="32"/>
        </w:rPr>
        <w:t>2.资产处置</w:t>
      </w:r>
    </w:p>
    <w:p w14:paraId="13911A6B">
      <w:pPr>
        <w:kinsoku w:val="0"/>
        <w:autoSpaceDE w:val="0"/>
        <w:autoSpaceDN w:val="0"/>
        <w:adjustRightInd w:val="0"/>
        <w:snapToGrid w:val="0"/>
        <w:spacing w:line="576" w:lineRule="exact"/>
        <w:ind w:firstLine="640" w:firstLineChars="200"/>
        <w:textAlignment w:val="baseline"/>
        <w:rPr>
          <w:rFonts w:hint="eastAsia" w:ascii="仿宋_GB2312" w:hAnsi="Times New Roman" w:eastAsia="仿宋_GB2312" w:cs="宋体"/>
          <w:color w:val="000000"/>
          <w:kern w:val="0"/>
          <w:sz w:val="32"/>
          <w:szCs w:val="32"/>
        </w:rPr>
      </w:pPr>
      <w:r>
        <w:rPr>
          <w:rFonts w:hint="eastAsia" w:ascii="仿宋_GB2312" w:hAnsi="Times New Roman" w:eastAsia="仿宋_GB2312" w:cs="宋体"/>
          <w:color w:val="000000"/>
          <w:kern w:val="0"/>
          <w:sz w:val="32"/>
          <w:szCs w:val="32"/>
        </w:rPr>
        <w:t>按照规定履行审批或备案手续，并及时做好账务处理，处置收益或残值按照“收支两条线”管理原则，纳入了财政预算或残值管理，无擅自处置国有资产现象。对因故无法满足检测要求并无法修复的仪器设备，及时申请报废。</w:t>
      </w:r>
    </w:p>
    <w:p w14:paraId="5EF324D4">
      <w:pPr>
        <w:kinsoku w:val="0"/>
        <w:autoSpaceDE w:val="0"/>
        <w:autoSpaceDN w:val="0"/>
        <w:adjustRightInd w:val="0"/>
        <w:snapToGrid w:val="0"/>
        <w:spacing w:line="576" w:lineRule="exact"/>
        <w:ind w:firstLine="640" w:firstLineChars="200"/>
        <w:textAlignment w:val="baseline"/>
        <w:rPr>
          <w:rFonts w:hint="eastAsia" w:ascii="仿宋_GB2312" w:hAnsi="Times New Roman" w:eastAsia="仿宋_GB2312" w:cs="宋体"/>
          <w:color w:val="000000"/>
          <w:kern w:val="0"/>
          <w:sz w:val="32"/>
          <w:szCs w:val="32"/>
        </w:rPr>
      </w:pPr>
      <w:r>
        <w:rPr>
          <w:rFonts w:hint="eastAsia" w:ascii="仿宋_GB2312" w:hAnsi="Times New Roman" w:eastAsia="仿宋_GB2312" w:cs="宋体"/>
          <w:color w:val="000000"/>
          <w:kern w:val="0"/>
          <w:sz w:val="32"/>
          <w:szCs w:val="32"/>
        </w:rPr>
        <w:t>3.资产动态管理</w:t>
      </w:r>
    </w:p>
    <w:p w14:paraId="0E650C53">
      <w:pPr>
        <w:kinsoku w:val="0"/>
        <w:autoSpaceDE w:val="0"/>
        <w:autoSpaceDN w:val="0"/>
        <w:adjustRightInd w:val="0"/>
        <w:snapToGrid w:val="0"/>
        <w:spacing w:line="576" w:lineRule="exact"/>
        <w:ind w:firstLine="640" w:firstLineChars="200"/>
        <w:textAlignment w:val="baseline"/>
        <w:rPr>
          <w:rFonts w:hint="eastAsia" w:ascii="仿宋_GB2312" w:hAnsi="Times New Roman" w:eastAsia="仿宋_GB2312" w:cs="宋体"/>
          <w:color w:val="000000"/>
          <w:kern w:val="0"/>
          <w:sz w:val="32"/>
          <w:szCs w:val="32"/>
        </w:rPr>
      </w:pPr>
      <w:r>
        <w:rPr>
          <w:rFonts w:hint="eastAsia" w:ascii="仿宋_GB2312" w:hAnsi="Times New Roman" w:eastAsia="仿宋_GB2312" w:cs="宋体"/>
          <w:color w:val="000000"/>
          <w:kern w:val="0"/>
          <w:sz w:val="32"/>
          <w:szCs w:val="32"/>
        </w:rPr>
        <w:t>及时登记资产卡片，并向财政管理部门上传有关资产数据，实现了动态管理及时核对账簿。</w:t>
      </w:r>
    </w:p>
    <w:p w14:paraId="1B529771">
      <w:pPr>
        <w:pStyle w:val="2"/>
        <w:rPr>
          <w:rFonts w:hint="eastAsia"/>
        </w:rPr>
      </w:pPr>
    </w:p>
    <w:p w14:paraId="119B561A">
      <w:pPr>
        <w:pStyle w:val="2"/>
        <w:rPr>
          <w:rFonts w:hint="eastAsia" w:ascii="仿宋_GB2312" w:hAnsi="Times New Roman" w:eastAsia="仿宋_GB2312" w:cs="宋体"/>
          <w:color w:val="000000"/>
          <w:kern w:val="0"/>
          <w:sz w:val="32"/>
          <w:szCs w:val="32"/>
        </w:rPr>
      </w:pPr>
    </w:p>
    <w:p w14:paraId="764353DB">
      <w:pPr>
        <w:pStyle w:val="2"/>
        <w:rPr>
          <w:rFonts w:hint="eastAsia" w:ascii="仿宋_GB2312" w:hAnsi="Times New Roman" w:eastAsia="仿宋_GB2312" w:cs="宋体"/>
          <w:color w:val="000000"/>
          <w:kern w:val="0"/>
          <w:sz w:val="32"/>
          <w:szCs w:val="32"/>
        </w:rPr>
      </w:pPr>
    </w:p>
    <w:p w14:paraId="34C4F8C8">
      <w:pPr>
        <w:pStyle w:val="2"/>
        <w:rPr>
          <w:rFonts w:hint="eastAsia" w:ascii="仿宋_GB2312" w:hAnsi="Times New Roman" w:eastAsia="仿宋_GB2312" w:cs="宋体"/>
          <w:color w:val="000000"/>
          <w:kern w:val="0"/>
          <w:sz w:val="32"/>
          <w:szCs w:val="32"/>
        </w:rPr>
      </w:pPr>
    </w:p>
    <w:p w14:paraId="3380F9E7">
      <w:pPr>
        <w:pStyle w:val="2"/>
        <w:rPr>
          <w:rFonts w:hint="eastAsia" w:ascii="仿宋_GB2312" w:hAnsi="Times New Roman" w:eastAsia="仿宋_GB2312" w:cs="宋体"/>
          <w:color w:val="000000"/>
          <w:kern w:val="0"/>
          <w:sz w:val="32"/>
          <w:szCs w:val="32"/>
        </w:rPr>
        <w:sectPr>
          <w:headerReference r:id="rId8" w:type="first"/>
          <w:footerReference r:id="rId11" w:type="first"/>
          <w:headerReference r:id="rId6" w:type="default"/>
          <w:footerReference r:id="rId9" w:type="default"/>
          <w:headerReference r:id="rId7" w:type="even"/>
          <w:footerReference r:id="rId10" w:type="even"/>
          <w:pgSz w:w="11906" w:h="16838"/>
          <w:pgMar w:top="2098" w:right="1474" w:bottom="1701" w:left="1588" w:header="851" w:footer="1418" w:gutter="0"/>
          <w:pgNumType w:fmt="decimal" w:start="1"/>
          <w:cols w:space="720" w:num="1"/>
          <w:titlePg/>
          <w:docGrid w:type="lines" w:linePitch="435" w:charSpace="0"/>
        </w:sectPr>
      </w:pPr>
    </w:p>
    <w:p w14:paraId="62F9D2F1">
      <w:pPr>
        <w:jc w:val="center"/>
      </w:pPr>
      <w:r>
        <w:rPr>
          <w:rFonts w:hint="eastAsia" w:ascii="方正小标宋简体" w:eastAsia="方正小标宋简体" w:cs="方正小标宋简体"/>
          <w:color w:val="000000"/>
          <w:kern w:val="0"/>
          <w:sz w:val="44"/>
          <w:szCs w:val="44"/>
        </w:rPr>
        <w:t>2023年市发展和改革委资产绩效评价体系</w:t>
      </w:r>
    </w:p>
    <w:tbl>
      <w:tblPr>
        <w:tblStyle w:val="20"/>
        <w:tblW w:w="5293" w:type="pct"/>
        <w:tblInd w:w="-176" w:type="dxa"/>
        <w:tblLayout w:type="fixed"/>
        <w:tblCellMar>
          <w:top w:w="0" w:type="dxa"/>
          <w:left w:w="108" w:type="dxa"/>
          <w:bottom w:w="0" w:type="dxa"/>
          <w:right w:w="108" w:type="dxa"/>
        </w:tblCellMar>
      </w:tblPr>
      <w:tblGrid>
        <w:gridCol w:w="1137"/>
        <w:gridCol w:w="1560"/>
        <w:gridCol w:w="4395"/>
        <w:gridCol w:w="850"/>
        <w:gridCol w:w="4605"/>
        <w:gridCol w:w="811"/>
        <w:gridCol w:w="674"/>
      </w:tblGrid>
      <w:tr w14:paraId="11A6309F">
        <w:tblPrEx>
          <w:tblCellMar>
            <w:top w:w="0" w:type="dxa"/>
            <w:left w:w="108" w:type="dxa"/>
            <w:bottom w:w="0" w:type="dxa"/>
            <w:right w:w="108" w:type="dxa"/>
          </w:tblCellMar>
        </w:tblPrEx>
        <w:trPr>
          <w:trHeight w:val="397" w:hRule="atLeast"/>
          <w:tblHeader/>
        </w:trPr>
        <w:tc>
          <w:tcPr>
            <w:tcW w:w="961" w:type="pct"/>
            <w:gridSpan w:val="2"/>
            <w:vMerge w:val="restart"/>
            <w:tcBorders>
              <w:top w:val="single" w:color="000000" w:sz="4" w:space="0"/>
              <w:left w:val="single" w:color="000000" w:sz="4" w:space="0"/>
              <w:bottom w:val="single" w:color="000000" w:sz="4" w:space="0"/>
              <w:right w:val="single" w:color="000000" w:sz="4" w:space="0"/>
            </w:tcBorders>
            <w:noWrap/>
            <w:vAlign w:val="center"/>
          </w:tcPr>
          <w:p w14:paraId="645514F4">
            <w:pPr>
              <w:keepNext w:val="0"/>
              <w:keepLines w:val="0"/>
              <w:suppressLineNumbers w:val="0"/>
              <w:spacing w:before="0" w:beforeAutospacing="0" w:after="0" w:afterAutospacing="0" w:line="280" w:lineRule="exact"/>
              <w:ind w:left="0" w:right="0"/>
              <w:jc w:val="center"/>
              <w:textAlignment w:val="center"/>
              <w:rPr>
                <w:rFonts w:hint="eastAsia" w:ascii="黑体" w:hAnsi="黑体" w:eastAsia="黑体" w:cs="宋体"/>
                <w:bCs/>
                <w:color w:val="000000"/>
                <w:sz w:val="28"/>
                <w:szCs w:val="28"/>
              </w:rPr>
            </w:pPr>
            <w:r>
              <w:rPr>
                <w:rFonts w:hint="eastAsia" w:ascii="黑体" w:hAnsi="黑体" w:eastAsia="黑体" w:cs="宋体"/>
                <w:bCs/>
                <w:color w:val="000000"/>
                <w:kern w:val="0"/>
                <w:sz w:val="28"/>
                <w:szCs w:val="28"/>
              </w:rPr>
              <w:t>分类指标</w:t>
            </w:r>
          </w:p>
        </w:tc>
        <w:tc>
          <w:tcPr>
            <w:tcW w:w="3510" w:type="pct"/>
            <w:gridSpan w:val="3"/>
            <w:vMerge w:val="restart"/>
            <w:tcBorders>
              <w:top w:val="single" w:color="000000" w:sz="4" w:space="0"/>
              <w:left w:val="single" w:color="000000" w:sz="4" w:space="0"/>
              <w:bottom w:val="single" w:color="000000" w:sz="4" w:space="0"/>
              <w:right w:val="single" w:color="000000" w:sz="4" w:space="0"/>
            </w:tcBorders>
            <w:noWrap/>
            <w:vAlign w:val="center"/>
          </w:tcPr>
          <w:p w14:paraId="7DD422B8">
            <w:pPr>
              <w:keepNext w:val="0"/>
              <w:keepLines w:val="0"/>
              <w:suppressLineNumbers w:val="0"/>
              <w:spacing w:before="0" w:beforeAutospacing="0" w:after="0" w:afterAutospacing="0" w:line="280" w:lineRule="exact"/>
              <w:ind w:left="0" w:right="0"/>
              <w:jc w:val="center"/>
              <w:textAlignment w:val="center"/>
              <w:rPr>
                <w:rFonts w:hint="eastAsia" w:ascii="黑体" w:hAnsi="黑体" w:eastAsia="黑体" w:cs="宋体"/>
                <w:bCs/>
                <w:color w:val="000000"/>
                <w:sz w:val="24"/>
              </w:rPr>
            </w:pPr>
            <w:r>
              <w:rPr>
                <w:rFonts w:hint="eastAsia" w:ascii="黑体" w:hAnsi="黑体" w:eastAsia="黑体" w:cs="宋体"/>
                <w:bCs/>
                <w:color w:val="000000"/>
                <w:kern w:val="0"/>
                <w:sz w:val="24"/>
              </w:rPr>
              <w:t>评分方法</w:t>
            </w:r>
          </w:p>
        </w:tc>
        <w:tc>
          <w:tcPr>
            <w:tcW w:w="289" w:type="pct"/>
            <w:vMerge w:val="restart"/>
            <w:tcBorders>
              <w:top w:val="single" w:color="000000" w:sz="4" w:space="0"/>
              <w:left w:val="single" w:color="000000" w:sz="4" w:space="0"/>
              <w:bottom w:val="single" w:color="000000" w:sz="4" w:space="0"/>
              <w:right w:val="single" w:color="000000" w:sz="4" w:space="0"/>
            </w:tcBorders>
            <w:noWrap/>
            <w:vAlign w:val="center"/>
          </w:tcPr>
          <w:p w14:paraId="655529D4">
            <w:pPr>
              <w:keepNext w:val="0"/>
              <w:keepLines w:val="0"/>
              <w:suppressLineNumbers w:val="0"/>
              <w:spacing w:before="0" w:beforeAutospacing="0" w:after="0" w:afterAutospacing="0" w:line="280" w:lineRule="exact"/>
              <w:ind w:left="0" w:right="0"/>
              <w:jc w:val="center"/>
              <w:textAlignment w:val="center"/>
              <w:rPr>
                <w:rFonts w:hint="eastAsia" w:ascii="黑体" w:hAnsi="黑体" w:eastAsia="黑体" w:cs="宋体"/>
                <w:bCs/>
                <w:color w:val="000000"/>
                <w:sz w:val="24"/>
              </w:rPr>
            </w:pPr>
            <w:r>
              <w:rPr>
                <w:rFonts w:hint="eastAsia" w:ascii="黑体" w:hAnsi="黑体" w:eastAsia="黑体" w:cs="宋体"/>
                <w:bCs/>
                <w:color w:val="000000"/>
                <w:kern w:val="0"/>
                <w:sz w:val="24"/>
              </w:rPr>
              <w:t>自评得分</w:t>
            </w:r>
          </w:p>
        </w:tc>
        <w:tc>
          <w:tcPr>
            <w:tcW w:w="240" w:type="pct"/>
            <w:vMerge w:val="restart"/>
            <w:tcBorders>
              <w:top w:val="single" w:color="000000" w:sz="4" w:space="0"/>
              <w:left w:val="single" w:color="000000" w:sz="4" w:space="0"/>
              <w:bottom w:val="single" w:color="000000" w:sz="4" w:space="0"/>
              <w:right w:val="single" w:color="000000" w:sz="4" w:space="0"/>
            </w:tcBorders>
            <w:noWrap/>
            <w:vAlign w:val="center"/>
          </w:tcPr>
          <w:p w14:paraId="516D3F08">
            <w:pPr>
              <w:keepNext w:val="0"/>
              <w:keepLines w:val="0"/>
              <w:suppressLineNumbers w:val="0"/>
              <w:spacing w:before="0" w:beforeAutospacing="0" w:after="0" w:afterAutospacing="0" w:line="280" w:lineRule="exact"/>
              <w:ind w:left="0" w:right="0"/>
              <w:jc w:val="center"/>
              <w:textAlignment w:val="center"/>
              <w:rPr>
                <w:rFonts w:hint="eastAsia" w:ascii="黑体" w:hAnsi="黑体" w:eastAsia="黑体" w:cs="宋体"/>
                <w:bCs/>
                <w:color w:val="000000"/>
                <w:sz w:val="24"/>
              </w:rPr>
            </w:pPr>
            <w:r>
              <w:rPr>
                <w:rFonts w:hint="eastAsia" w:ascii="黑体" w:hAnsi="黑体" w:eastAsia="黑体" w:cs="宋体"/>
                <w:bCs/>
                <w:color w:val="000000"/>
                <w:kern w:val="0"/>
                <w:sz w:val="24"/>
              </w:rPr>
              <w:t>备注</w:t>
            </w:r>
          </w:p>
        </w:tc>
      </w:tr>
      <w:tr w14:paraId="07DA4572">
        <w:tblPrEx>
          <w:tblCellMar>
            <w:top w:w="0" w:type="dxa"/>
            <w:left w:w="108" w:type="dxa"/>
            <w:bottom w:w="0" w:type="dxa"/>
            <w:right w:w="108" w:type="dxa"/>
          </w:tblCellMar>
        </w:tblPrEx>
        <w:trPr>
          <w:trHeight w:val="280" w:hRule="atLeast"/>
          <w:tblHeader/>
        </w:trPr>
        <w:tc>
          <w:tcPr>
            <w:tcW w:w="961" w:type="pct"/>
            <w:gridSpan w:val="2"/>
            <w:vMerge w:val="continue"/>
            <w:tcBorders>
              <w:top w:val="single" w:color="000000" w:sz="4" w:space="0"/>
              <w:left w:val="single" w:color="000000" w:sz="4" w:space="0"/>
              <w:bottom w:val="single" w:color="000000" w:sz="4" w:space="0"/>
              <w:right w:val="single" w:color="000000" w:sz="4" w:space="0"/>
            </w:tcBorders>
            <w:noWrap/>
            <w:vAlign w:val="center"/>
          </w:tcPr>
          <w:p w14:paraId="5BD292AB">
            <w:pPr>
              <w:keepNext w:val="0"/>
              <w:keepLines w:val="0"/>
              <w:suppressLineNumbers w:val="0"/>
              <w:spacing w:before="0" w:beforeAutospacing="0" w:after="0" w:afterAutospacing="0" w:line="280" w:lineRule="exact"/>
              <w:ind w:left="0" w:right="0"/>
              <w:jc w:val="center"/>
              <w:rPr>
                <w:rFonts w:hint="default" w:ascii="黑体" w:hAnsi="黑体" w:eastAsia="黑体"/>
              </w:rPr>
            </w:pPr>
          </w:p>
        </w:tc>
        <w:tc>
          <w:tcPr>
            <w:tcW w:w="3510" w:type="pct"/>
            <w:gridSpan w:val="3"/>
            <w:vMerge w:val="continue"/>
            <w:tcBorders>
              <w:top w:val="single" w:color="000000" w:sz="4" w:space="0"/>
              <w:left w:val="single" w:color="000000" w:sz="4" w:space="0"/>
              <w:bottom w:val="single" w:color="000000" w:sz="4" w:space="0"/>
              <w:right w:val="single" w:color="000000" w:sz="4" w:space="0"/>
            </w:tcBorders>
            <w:noWrap/>
            <w:vAlign w:val="center"/>
          </w:tcPr>
          <w:p w14:paraId="59C32574">
            <w:pPr>
              <w:keepNext w:val="0"/>
              <w:keepLines w:val="0"/>
              <w:suppressLineNumbers w:val="0"/>
              <w:spacing w:before="0" w:beforeAutospacing="0" w:after="0" w:afterAutospacing="0" w:line="280" w:lineRule="exact"/>
              <w:ind w:left="0" w:right="0"/>
              <w:jc w:val="center"/>
              <w:rPr>
                <w:rFonts w:hint="default" w:ascii="黑体" w:hAnsi="黑体" w:eastAsia="黑体"/>
              </w:rPr>
            </w:pPr>
          </w:p>
        </w:tc>
        <w:tc>
          <w:tcPr>
            <w:tcW w:w="289" w:type="pct"/>
            <w:vMerge w:val="continue"/>
            <w:tcBorders>
              <w:top w:val="single" w:color="000000" w:sz="4" w:space="0"/>
              <w:left w:val="single" w:color="000000" w:sz="4" w:space="0"/>
              <w:bottom w:val="single" w:color="000000" w:sz="4" w:space="0"/>
              <w:right w:val="single" w:color="000000" w:sz="4" w:space="0"/>
            </w:tcBorders>
            <w:noWrap/>
            <w:vAlign w:val="center"/>
          </w:tcPr>
          <w:p w14:paraId="22B2716E">
            <w:pPr>
              <w:keepNext w:val="0"/>
              <w:keepLines w:val="0"/>
              <w:suppressLineNumbers w:val="0"/>
              <w:spacing w:before="0" w:beforeAutospacing="0" w:after="0" w:afterAutospacing="0" w:line="280" w:lineRule="exact"/>
              <w:ind w:left="0" w:right="0"/>
              <w:jc w:val="center"/>
              <w:rPr>
                <w:rFonts w:hint="default" w:ascii="黑体" w:hAnsi="黑体" w:eastAsia="黑体"/>
              </w:rPr>
            </w:pPr>
          </w:p>
        </w:tc>
        <w:tc>
          <w:tcPr>
            <w:tcW w:w="240" w:type="pct"/>
            <w:vMerge w:val="continue"/>
            <w:tcBorders>
              <w:top w:val="single" w:color="000000" w:sz="4" w:space="0"/>
              <w:left w:val="single" w:color="000000" w:sz="4" w:space="0"/>
              <w:bottom w:val="single" w:color="000000" w:sz="4" w:space="0"/>
              <w:right w:val="single" w:color="000000" w:sz="4" w:space="0"/>
            </w:tcBorders>
            <w:noWrap/>
            <w:vAlign w:val="center"/>
          </w:tcPr>
          <w:p w14:paraId="33989C13">
            <w:pPr>
              <w:keepNext w:val="0"/>
              <w:keepLines w:val="0"/>
              <w:suppressLineNumbers w:val="0"/>
              <w:spacing w:before="0" w:beforeAutospacing="0" w:after="0" w:afterAutospacing="0" w:line="280" w:lineRule="exact"/>
              <w:ind w:left="0" w:right="0"/>
              <w:jc w:val="center"/>
              <w:rPr>
                <w:rFonts w:hint="default" w:ascii="黑体" w:hAnsi="黑体" w:eastAsia="黑体"/>
              </w:rPr>
            </w:pPr>
          </w:p>
        </w:tc>
      </w:tr>
      <w:tr w14:paraId="4D5E78F5">
        <w:tblPrEx>
          <w:tblCellMar>
            <w:top w:w="0" w:type="dxa"/>
            <w:left w:w="108" w:type="dxa"/>
            <w:bottom w:w="0" w:type="dxa"/>
            <w:right w:w="108" w:type="dxa"/>
          </w:tblCellMar>
        </w:tblPrEx>
        <w:trPr>
          <w:trHeight w:val="435" w:hRule="atLeast"/>
          <w:tblHeader/>
        </w:trPr>
        <w:tc>
          <w:tcPr>
            <w:tcW w:w="405" w:type="pct"/>
            <w:vMerge w:val="restart"/>
            <w:tcBorders>
              <w:top w:val="single" w:color="000000" w:sz="4" w:space="0"/>
              <w:left w:val="single" w:color="000000" w:sz="4" w:space="0"/>
              <w:bottom w:val="single" w:color="000000" w:sz="4" w:space="0"/>
              <w:right w:val="single" w:color="000000" w:sz="4" w:space="0"/>
            </w:tcBorders>
            <w:noWrap/>
            <w:vAlign w:val="center"/>
          </w:tcPr>
          <w:p w14:paraId="6EF88AAB">
            <w:pPr>
              <w:keepNext w:val="0"/>
              <w:keepLines w:val="0"/>
              <w:suppressLineNumbers w:val="0"/>
              <w:spacing w:before="0" w:beforeAutospacing="0" w:after="0" w:afterAutospacing="0" w:line="280" w:lineRule="exact"/>
              <w:ind w:left="0" w:right="0"/>
              <w:jc w:val="center"/>
              <w:textAlignment w:val="center"/>
              <w:rPr>
                <w:rFonts w:hint="eastAsia" w:ascii="黑体" w:hAnsi="黑体" w:eastAsia="黑体" w:cs="宋体"/>
                <w:bCs/>
                <w:color w:val="000000"/>
                <w:kern w:val="0"/>
                <w:sz w:val="24"/>
              </w:rPr>
            </w:pPr>
            <w:r>
              <w:rPr>
                <w:rFonts w:hint="eastAsia" w:ascii="黑体" w:hAnsi="黑体" w:eastAsia="黑体" w:cs="宋体"/>
                <w:bCs/>
                <w:color w:val="000000"/>
                <w:kern w:val="0"/>
                <w:sz w:val="24"/>
              </w:rPr>
              <w:t>一级</w:t>
            </w:r>
          </w:p>
          <w:p w14:paraId="34E27742">
            <w:pPr>
              <w:keepNext w:val="0"/>
              <w:keepLines w:val="0"/>
              <w:suppressLineNumbers w:val="0"/>
              <w:spacing w:before="0" w:beforeAutospacing="0" w:after="0" w:afterAutospacing="0" w:line="280" w:lineRule="exact"/>
              <w:ind w:left="0" w:right="0"/>
              <w:jc w:val="center"/>
              <w:textAlignment w:val="center"/>
              <w:rPr>
                <w:rFonts w:hint="eastAsia" w:ascii="黑体" w:hAnsi="黑体" w:eastAsia="黑体" w:cs="宋体"/>
                <w:bCs/>
                <w:color w:val="000000"/>
                <w:sz w:val="24"/>
              </w:rPr>
            </w:pPr>
            <w:r>
              <w:rPr>
                <w:rFonts w:hint="eastAsia" w:ascii="黑体" w:hAnsi="黑体" w:eastAsia="黑体" w:cs="宋体"/>
                <w:bCs/>
                <w:color w:val="000000"/>
                <w:kern w:val="0"/>
                <w:sz w:val="24"/>
              </w:rPr>
              <w:t>指标</w:t>
            </w:r>
          </w:p>
        </w:tc>
        <w:tc>
          <w:tcPr>
            <w:tcW w:w="556" w:type="pct"/>
            <w:vMerge w:val="restart"/>
            <w:tcBorders>
              <w:top w:val="single" w:color="000000" w:sz="4" w:space="0"/>
              <w:left w:val="single" w:color="000000" w:sz="4" w:space="0"/>
              <w:bottom w:val="single" w:color="000000" w:sz="4" w:space="0"/>
              <w:right w:val="single" w:color="000000" w:sz="4" w:space="0"/>
            </w:tcBorders>
            <w:noWrap/>
            <w:vAlign w:val="center"/>
          </w:tcPr>
          <w:p w14:paraId="6F228255">
            <w:pPr>
              <w:keepNext w:val="0"/>
              <w:keepLines w:val="0"/>
              <w:suppressLineNumbers w:val="0"/>
              <w:spacing w:before="0" w:beforeAutospacing="0" w:after="0" w:afterAutospacing="0" w:line="280" w:lineRule="exact"/>
              <w:ind w:left="0" w:right="0"/>
              <w:jc w:val="center"/>
              <w:textAlignment w:val="center"/>
              <w:rPr>
                <w:rFonts w:hint="eastAsia" w:ascii="黑体" w:hAnsi="黑体" w:eastAsia="黑体" w:cs="宋体"/>
                <w:bCs/>
                <w:color w:val="000000"/>
                <w:sz w:val="24"/>
              </w:rPr>
            </w:pPr>
            <w:r>
              <w:rPr>
                <w:rFonts w:hint="eastAsia" w:ascii="黑体" w:hAnsi="黑体" w:eastAsia="黑体" w:cs="宋体"/>
                <w:bCs/>
                <w:color w:val="000000"/>
                <w:kern w:val="0"/>
                <w:sz w:val="24"/>
              </w:rPr>
              <w:t>二级指标</w:t>
            </w:r>
          </w:p>
        </w:tc>
        <w:tc>
          <w:tcPr>
            <w:tcW w:w="1566" w:type="pct"/>
            <w:vMerge w:val="restart"/>
            <w:tcBorders>
              <w:top w:val="single" w:color="000000" w:sz="4" w:space="0"/>
              <w:left w:val="single" w:color="000000" w:sz="4" w:space="0"/>
              <w:bottom w:val="single" w:color="000000" w:sz="4" w:space="0"/>
              <w:right w:val="single" w:color="000000" w:sz="4" w:space="0"/>
            </w:tcBorders>
            <w:noWrap/>
            <w:vAlign w:val="center"/>
          </w:tcPr>
          <w:p w14:paraId="7DBD2B37">
            <w:pPr>
              <w:keepNext w:val="0"/>
              <w:keepLines w:val="0"/>
              <w:suppressLineNumbers w:val="0"/>
              <w:spacing w:before="0" w:beforeAutospacing="0" w:after="0" w:afterAutospacing="0" w:line="280" w:lineRule="exact"/>
              <w:ind w:left="0" w:right="0"/>
              <w:jc w:val="center"/>
              <w:textAlignment w:val="center"/>
              <w:rPr>
                <w:rFonts w:hint="eastAsia" w:ascii="黑体" w:hAnsi="黑体" w:eastAsia="黑体" w:cs="宋体"/>
                <w:bCs/>
                <w:color w:val="000000"/>
                <w:sz w:val="24"/>
              </w:rPr>
            </w:pPr>
            <w:r>
              <w:rPr>
                <w:rFonts w:hint="eastAsia" w:ascii="黑体" w:hAnsi="黑体" w:eastAsia="黑体" w:cs="宋体"/>
                <w:bCs/>
                <w:color w:val="000000"/>
                <w:kern w:val="0"/>
                <w:sz w:val="24"/>
              </w:rPr>
              <w:t>考核点</w:t>
            </w:r>
          </w:p>
        </w:tc>
        <w:tc>
          <w:tcPr>
            <w:tcW w:w="303" w:type="pct"/>
            <w:vMerge w:val="restart"/>
            <w:tcBorders>
              <w:top w:val="single" w:color="000000" w:sz="4" w:space="0"/>
              <w:left w:val="single" w:color="000000" w:sz="4" w:space="0"/>
              <w:bottom w:val="single" w:color="000000" w:sz="4" w:space="0"/>
              <w:right w:val="single" w:color="000000" w:sz="4" w:space="0"/>
            </w:tcBorders>
            <w:noWrap/>
            <w:vAlign w:val="center"/>
          </w:tcPr>
          <w:p w14:paraId="7E6873B6">
            <w:pPr>
              <w:keepNext w:val="0"/>
              <w:keepLines w:val="0"/>
              <w:suppressLineNumbers w:val="0"/>
              <w:spacing w:before="0" w:beforeAutospacing="0" w:after="0" w:afterAutospacing="0" w:line="280" w:lineRule="exact"/>
              <w:ind w:left="0" w:right="0"/>
              <w:jc w:val="center"/>
              <w:textAlignment w:val="center"/>
              <w:rPr>
                <w:rFonts w:hint="eastAsia" w:ascii="黑体" w:hAnsi="黑体" w:eastAsia="黑体" w:cs="宋体"/>
                <w:bCs/>
                <w:color w:val="000000"/>
                <w:sz w:val="24"/>
              </w:rPr>
            </w:pPr>
            <w:r>
              <w:rPr>
                <w:rFonts w:hint="eastAsia" w:ascii="黑体" w:hAnsi="黑体" w:eastAsia="黑体" w:cs="宋体"/>
                <w:bCs/>
                <w:color w:val="000000"/>
                <w:kern w:val="0"/>
                <w:sz w:val="24"/>
              </w:rPr>
              <w:t>标准分值</w:t>
            </w:r>
          </w:p>
        </w:tc>
        <w:tc>
          <w:tcPr>
            <w:tcW w:w="1641" w:type="pct"/>
            <w:vMerge w:val="restart"/>
            <w:tcBorders>
              <w:top w:val="single" w:color="000000" w:sz="4" w:space="0"/>
              <w:left w:val="single" w:color="000000" w:sz="4" w:space="0"/>
              <w:bottom w:val="single" w:color="000000" w:sz="4" w:space="0"/>
              <w:right w:val="single" w:color="000000" w:sz="4" w:space="0"/>
            </w:tcBorders>
            <w:noWrap/>
            <w:vAlign w:val="center"/>
          </w:tcPr>
          <w:p w14:paraId="5F3279A7">
            <w:pPr>
              <w:keepNext w:val="0"/>
              <w:keepLines w:val="0"/>
              <w:suppressLineNumbers w:val="0"/>
              <w:spacing w:before="0" w:beforeAutospacing="0" w:after="0" w:afterAutospacing="0" w:line="280" w:lineRule="exact"/>
              <w:ind w:left="0" w:right="0"/>
              <w:jc w:val="center"/>
              <w:textAlignment w:val="center"/>
              <w:rPr>
                <w:rFonts w:hint="eastAsia" w:ascii="黑体" w:hAnsi="黑体" w:eastAsia="黑体" w:cs="宋体"/>
                <w:bCs/>
                <w:color w:val="000000"/>
                <w:sz w:val="24"/>
              </w:rPr>
            </w:pPr>
            <w:r>
              <w:rPr>
                <w:rFonts w:hint="eastAsia" w:ascii="黑体" w:hAnsi="黑体" w:eastAsia="黑体" w:cs="宋体"/>
                <w:bCs/>
                <w:color w:val="000000"/>
                <w:kern w:val="0"/>
                <w:sz w:val="24"/>
              </w:rPr>
              <w:t>评价要点及说明</w:t>
            </w:r>
          </w:p>
        </w:tc>
        <w:tc>
          <w:tcPr>
            <w:tcW w:w="289" w:type="pct"/>
            <w:vMerge w:val="continue"/>
            <w:tcBorders>
              <w:top w:val="single" w:color="000000" w:sz="4" w:space="0"/>
              <w:left w:val="single" w:color="000000" w:sz="4" w:space="0"/>
              <w:bottom w:val="single" w:color="000000" w:sz="4" w:space="0"/>
              <w:right w:val="single" w:color="000000" w:sz="4" w:space="0"/>
            </w:tcBorders>
            <w:noWrap/>
            <w:vAlign w:val="center"/>
          </w:tcPr>
          <w:p w14:paraId="407D208E">
            <w:pPr>
              <w:keepNext w:val="0"/>
              <w:keepLines w:val="0"/>
              <w:suppressLineNumbers w:val="0"/>
              <w:spacing w:before="0" w:beforeAutospacing="0" w:after="0" w:afterAutospacing="0" w:line="280" w:lineRule="exact"/>
              <w:ind w:left="0" w:right="0"/>
              <w:jc w:val="center"/>
              <w:rPr>
                <w:rFonts w:hint="default" w:ascii="黑体" w:hAnsi="黑体" w:eastAsia="黑体"/>
              </w:rPr>
            </w:pPr>
          </w:p>
        </w:tc>
        <w:tc>
          <w:tcPr>
            <w:tcW w:w="240" w:type="pct"/>
            <w:vMerge w:val="continue"/>
            <w:tcBorders>
              <w:top w:val="single" w:color="000000" w:sz="4" w:space="0"/>
              <w:left w:val="single" w:color="000000" w:sz="4" w:space="0"/>
              <w:bottom w:val="single" w:color="000000" w:sz="4" w:space="0"/>
              <w:right w:val="single" w:color="000000" w:sz="4" w:space="0"/>
            </w:tcBorders>
            <w:noWrap/>
            <w:vAlign w:val="center"/>
          </w:tcPr>
          <w:p w14:paraId="4AEE5AD4">
            <w:pPr>
              <w:keepNext w:val="0"/>
              <w:keepLines w:val="0"/>
              <w:suppressLineNumbers w:val="0"/>
              <w:spacing w:before="0" w:beforeAutospacing="0" w:after="0" w:afterAutospacing="0" w:line="280" w:lineRule="exact"/>
              <w:ind w:left="0" w:right="0"/>
              <w:jc w:val="center"/>
              <w:rPr>
                <w:rFonts w:hint="default" w:ascii="黑体" w:hAnsi="黑体" w:eastAsia="黑体"/>
              </w:rPr>
            </w:pPr>
          </w:p>
        </w:tc>
      </w:tr>
      <w:tr w14:paraId="1F27D0BC">
        <w:tblPrEx>
          <w:tblCellMar>
            <w:top w:w="0" w:type="dxa"/>
            <w:left w:w="108" w:type="dxa"/>
            <w:bottom w:w="0" w:type="dxa"/>
            <w:right w:w="108" w:type="dxa"/>
          </w:tblCellMar>
        </w:tblPrEx>
        <w:trPr>
          <w:trHeight w:val="435" w:hRule="atLeast"/>
          <w:tblHeader/>
        </w:trPr>
        <w:tc>
          <w:tcPr>
            <w:tcW w:w="405" w:type="pct"/>
            <w:vMerge w:val="continue"/>
            <w:tcBorders>
              <w:top w:val="single" w:color="000000" w:sz="4" w:space="0"/>
              <w:left w:val="single" w:color="000000" w:sz="4" w:space="0"/>
              <w:bottom w:val="single" w:color="000000" w:sz="4" w:space="0"/>
              <w:right w:val="single" w:color="000000" w:sz="4" w:space="0"/>
            </w:tcBorders>
            <w:noWrap/>
            <w:vAlign w:val="center"/>
          </w:tcPr>
          <w:p w14:paraId="139773C0">
            <w:pPr>
              <w:keepNext w:val="0"/>
              <w:keepLines w:val="0"/>
              <w:suppressLineNumbers w:val="0"/>
              <w:spacing w:before="0" w:beforeAutospacing="0" w:after="0" w:afterAutospacing="0"/>
              <w:ind w:left="0" w:right="0"/>
              <w:jc w:val="left"/>
              <w:rPr>
                <w:rFonts w:hint="default"/>
              </w:rPr>
            </w:pPr>
          </w:p>
        </w:tc>
        <w:tc>
          <w:tcPr>
            <w:tcW w:w="556" w:type="pct"/>
            <w:vMerge w:val="continue"/>
            <w:tcBorders>
              <w:top w:val="single" w:color="000000" w:sz="4" w:space="0"/>
              <w:left w:val="single" w:color="000000" w:sz="4" w:space="0"/>
              <w:bottom w:val="single" w:color="000000" w:sz="4" w:space="0"/>
              <w:right w:val="single" w:color="000000" w:sz="4" w:space="0"/>
            </w:tcBorders>
            <w:noWrap/>
            <w:vAlign w:val="center"/>
          </w:tcPr>
          <w:p w14:paraId="40E9C322">
            <w:pPr>
              <w:keepNext w:val="0"/>
              <w:keepLines w:val="0"/>
              <w:suppressLineNumbers w:val="0"/>
              <w:spacing w:before="0" w:beforeAutospacing="0" w:after="0" w:afterAutospacing="0"/>
              <w:ind w:left="0" w:right="0"/>
              <w:jc w:val="left"/>
              <w:rPr>
                <w:rFonts w:hint="default"/>
              </w:rPr>
            </w:pPr>
          </w:p>
        </w:tc>
        <w:tc>
          <w:tcPr>
            <w:tcW w:w="1566" w:type="pct"/>
            <w:vMerge w:val="continue"/>
            <w:tcBorders>
              <w:top w:val="single" w:color="000000" w:sz="4" w:space="0"/>
              <w:left w:val="single" w:color="000000" w:sz="4" w:space="0"/>
              <w:bottom w:val="single" w:color="000000" w:sz="4" w:space="0"/>
              <w:right w:val="single" w:color="000000" w:sz="4" w:space="0"/>
            </w:tcBorders>
            <w:noWrap/>
            <w:vAlign w:val="center"/>
          </w:tcPr>
          <w:p w14:paraId="2149D387">
            <w:pPr>
              <w:keepNext w:val="0"/>
              <w:keepLines w:val="0"/>
              <w:suppressLineNumbers w:val="0"/>
              <w:spacing w:before="0" w:beforeAutospacing="0" w:after="0" w:afterAutospacing="0"/>
              <w:ind w:left="0" w:right="0"/>
              <w:jc w:val="left"/>
              <w:rPr>
                <w:rFonts w:hint="default"/>
              </w:rPr>
            </w:pPr>
          </w:p>
        </w:tc>
        <w:tc>
          <w:tcPr>
            <w:tcW w:w="303" w:type="pct"/>
            <w:vMerge w:val="continue"/>
            <w:tcBorders>
              <w:top w:val="single" w:color="000000" w:sz="4" w:space="0"/>
              <w:left w:val="single" w:color="000000" w:sz="4" w:space="0"/>
              <w:bottom w:val="single" w:color="000000" w:sz="4" w:space="0"/>
              <w:right w:val="single" w:color="000000" w:sz="4" w:space="0"/>
            </w:tcBorders>
            <w:noWrap/>
            <w:vAlign w:val="center"/>
          </w:tcPr>
          <w:p w14:paraId="235DEBB9">
            <w:pPr>
              <w:keepNext w:val="0"/>
              <w:keepLines w:val="0"/>
              <w:suppressLineNumbers w:val="0"/>
              <w:spacing w:before="0" w:beforeAutospacing="0" w:after="0" w:afterAutospacing="0"/>
              <w:ind w:left="0" w:right="0"/>
              <w:jc w:val="left"/>
              <w:rPr>
                <w:rFonts w:hint="default"/>
              </w:rPr>
            </w:pPr>
          </w:p>
        </w:tc>
        <w:tc>
          <w:tcPr>
            <w:tcW w:w="1641" w:type="pct"/>
            <w:vMerge w:val="continue"/>
            <w:tcBorders>
              <w:top w:val="single" w:color="000000" w:sz="4" w:space="0"/>
              <w:left w:val="single" w:color="000000" w:sz="4" w:space="0"/>
              <w:bottom w:val="single" w:color="000000" w:sz="4" w:space="0"/>
              <w:right w:val="single" w:color="000000" w:sz="4" w:space="0"/>
            </w:tcBorders>
            <w:noWrap/>
            <w:vAlign w:val="center"/>
          </w:tcPr>
          <w:p w14:paraId="2D98F38C">
            <w:pPr>
              <w:keepNext w:val="0"/>
              <w:keepLines w:val="0"/>
              <w:suppressLineNumbers w:val="0"/>
              <w:spacing w:before="0" w:beforeAutospacing="0" w:after="0" w:afterAutospacing="0"/>
              <w:ind w:left="0" w:right="0"/>
              <w:jc w:val="left"/>
              <w:rPr>
                <w:rFonts w:hint="default"/>
              </w:rPr>
            </w:pPr>
          </w:p>
        </w:tc>
        <w:tc>
          <w:tcPr>
            <w:tcW w:w="289" w:type="pct"/>
            <w:vMerge w:val="continue"/>
            <w:tcBorders>
              <w:top w:val="single" w:color="000000" w:sz="4" w:space="0"/>
              <w:left w:val="single" w:color="000000" w:sz="4" w:space="0"/>
              <w:bottom w:val="single" w:color="000000" w:sz="4" w:space="0"/>
              <w:right w:val="single" w:color="000000" w:sz="4" w:space="0"/>
            </w:tcBorders>
            <w:noWrap/>
            <w:vAlign w:val="center"/>
          </w:tcPr>
          <w:p w14:paraId="27B85450">
            <w:pPr>
              <w:keepNext w:val="0"/>
              <w:keepLines w:val="0"/>
              <w:suppressLineNumbers w:val="0"/>
              <w:spacing w:before="0" w:beforeAutospacing="0" w:after="0" w:afterAutospacing="0"/>
              <w:ind w:left="0" w:right="0"/>
              <w:jc w:val="left"/>
              <w:rPr>
                <w:rFonts w:hint="default"/>
              </w:rPr>
            </w:pPr>
          </w:p>
        </w:tc>
        <w:tc>
          <w:tcPr>
            <w:tcW w:w="240" w:type="pct"/>
            <w:vMerge w:val="continue"/>
            <w:tcBorders>
              <w:top w:val="single" w:color="000000" w:sz="4" w:space="0"/>
              <w:left w:val="single" w:color="000000" w:sz="4" w:space="0"/>
              <w:bottom w:val="single" w:color="000000" w:sz="4" w:space="0"/>
              <w:right w:val="single" w:color="000000" w:sz="4" w:space="0"/>
            </w:tcBorders>
            <w:noWrap/>
            <w:vAlign w:val="center"/>
          </w:tcPr>
          <w:p w14:paraId="12F85C08">
            <w:pPr>
              <w:keepNext w:val="0"/>
              <w:keepLines w:val="0"/>
              <w:suppressLineNumbers w:val="0"/>
              <w:spacing w:before="0" w:beforeAutospacing="0" w:after="0" w:afterAutospacing="0"/>
              <w:ind w:left="0" w:right="0"/>
              <w:jc w:val="left"/>
              <w:rPr>
                <w:rFonts w:hint="default"/>
              </w:rPr>
            </w:pPr>
          </w:p>
        </w:tc>
      </w:tr>
      <w:tr w14:paraId="2BB4BDA7">
        <w:tblPrEx>
          <w:tblCellMar>
            <w:top w:w="0" w:type="dxa"/>
            <w:left w:w="108" w:type="dxa"/>
            <w:bottom w:w="0" w:type="dxa"/>
            <w:right w:w="108" w:type="dxa"/>
          </w:tblCellMar>
        </w:tblPrEx>
        <w:trPr>
          <w:trHeight w:val="397" w:hRule="atLeast"/>
        </w:trPr>
        <w:tc>
          <w:tcPr>
            <w:tcW w:w="405" w:type="pct"/>
            <w:vMerge w:val="restart"/>
            <w:tcBorders>
              <w:top w:val="single" w:color="000000" w:sz="4" w:space="0"/>
              <w:left w:val="single" w:color="000000" w:sz="4" w:space="0"/>
              <w:bottom w:val="single" w:color="000000" w:sz="4" w:space="0"/>
              <w:right w:val="single" w:color="000000" w:sz="4" w:space="0"/>
            </w:tcBorders>
            <w:noWrap/>
            <w:vAlign w:val="center"/>
          </w:tcPr>
          <w:p w14:paraId="1105DD64">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b/>
                <w:bCs/>
                <w:color w:val="000000"/>
                <w:sz w:val="20"/>
                <w:szCs w:val="20"/>
              </w:rPr>
            </w:pPr>
            <w:r>
              <w:rPr>
                <w:rFonts w:hint="eastAsia" w:ascii="宋体" w:eastAsia="宋体" w:cs="宋体"/>
                <w:b/>
                <w:bCs/>
                <w:color w:val="000000"/>
                <w:kern w:val="0"/>
                <w:sz w:val="20"/>
                <w:szCs w:val="20"/>
              </w:rPr>
              <w:t>机构健全</w:t>
            </w:r>
            <w:r>
              <w:rPr>
                <w:rFonts w:hint="eastAsia" w:ascii="宋体" w:cs="宋体"/>
                <w:b/>
                <w:bCs/>
                <w:color w:val="000000"/>
                <w:kern w:val="0"/>
                <w:sz w:val="20"/>
                <w:szCs w:val="20"/>
                <w:lang w:eastAsia="zh-CN"/>
              </w:rPr>
              <w:t>（</w:t>
            </w:r>
            <w:r>
              <w:rPr>
                <w:rFonts w:hint="eastAsia" w:ascii="宋体" w:eastAsia="宋体" w:cs="宋体"/>
                <w:b/>
                <w:bCs/>
                <w:color w:val="000000"/>
                <w:kern w:val="0"/>
                <w:sz w:val="20"/>
                <w:szCs w:val="20"/>
              </w:rPr>
              <w:t>10分）</w:t>
            </w:r>
          </w:p>
        </w:tc>
        <w:tc>
          <w:tcPr>
            <w:tcW w:w="556" w:type="pct"/>
            <w:tcBorders>
              <w:top w:val="single" w:color="000000" w:sz="4" w:space="0"/>
              <w:left w:val="single" w:color="000000" w:sz="4" w:space="0"/>
              <w:bottom w:val="single" w:color="000000" w:sz="4" w:space="0"/>
              <w:right w:val="single" w:color="000000" w:sz="4" w:space="0"/>
            </w:tcBorders>
            <w:noWrap/>
            <w:vAlign w:val="center"/>
          </w:tcPr>
          <w:p w14:paraId="4621A4DE">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1.组织机构</w:t>
            </w:r>
          </w:p>
        </w:tc>
        <w:tc>
          <w:tcPr>
            <w:tcW w:w="1566" w:type="pct"/>
            <w:tcBorders>
              <w:top w:val="single" w:color="000000" w:sz="4" w:space="0"/>
              <w:left w:val="single" w:color="000000" w:sz="4" w:space="0"/>
              <w:bottom w:val="single" w:color="000000" w:sz="4" w:space="0"/>
              <w:right w:val="single" w:color="000000" w:sz="4" w:space="0"/>
            </w:tcBorders>
            <w:noWrap/>
            <w:vAlign w:val="center"/>
          </w:tcPr>
          <w:p w14:paraId="60CF418C">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①有固定资产管理组织机构。</w:t>
            </w:r>
          </w:p>
        </w:tc>
        <w:tc>
          <w:tcPr>
            <w:tcW w:w="303" w:type="pct"/>
            <w:tcBorders>
              <w:top w:val="single" w:color="000000" w:sz="4" w:space="0"/>
              <w:left w:val="single" w:color="000000" w:sz="4" w:space="0"/>
              <w:bottom w:val="single" w:color="000000" w:sz="4" w:space="0"/>
              <w:right w:val="single" w:color="000000" w:sz="4" w:space="0"/>
            </w:tcBorders>
            <w:noWrap/>
            <w:vAlign w:val="center"/>
          </w:tcPr>
          <w:p w14:paraId="709A7064">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4</w:t>
            </w:r>
          </w:p>
        </w:tc>
        <w:tc>
          <w:tcPr>
            <w:tcW w:w="1641" w:type="pct"/>
            <w:tcBorders>
              <w:top w:val="single" w:color="000000" w:sz="4" w:space="0"/>
              <w:left w:val="single" w:color="000000" w:sz="4" w:space="0"/>
              <w:bottom w:val="single" w:color="000000" w:sz="4" w:space="0"/>
              <w:right w:val="single" w:color="000000" w:sz="4" w:space="0"/>
            </w:tcBorders>
            <w:noWrap/>
            <w:vAlign w:val="center"/>
          </w:tcPr>
          <w:p w14:paraId="4D0B0B7B">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查现场</w:t>
            </w:r>
            <w:r>
              <w:rPr>
                <w:rFonts w:hint="eastAsia" w:ascii="宋体" w:cs="宋体"/>
                <w:color w:val="000000"/>
                <w:kern w:val="0"/>
                <w:sz w:val="20"/>
                <w:szCs w:val="20"/>
                <w:lang w:eastAsia="zh-CN"/>
              </w:rPr>
              <w:t>：</w:t>
            </w:r>
            <w:r>
              <w:rPr>
                <w:rFonts w:hint="eastAsia" w:ascii="宋体" w:eastAsia="宋体" w:cs="宋体"/>
                <w:color w:val="000000"/>
                <w:kern w:val="0"/>
                <w:sz w:val="20"/>
                <w:szCs w:val="20"/>
              </w:rPr>
              <w:t>①无组织机构，扣1分;</w:t>
            </w:r>
          </w:p>
        </w:tc>
        <w:tc>
          <w:tcPr>
            <w:tcW w:w="289" w:type="pct"/>
            <w:tcBorders>
              <w:top w:val="single" w:color="000000" w:sz="4" w:space="0"/>
              <w:left w:val="single" w:color="000000" w:sz="4" w:space="0"/>
              <w:bottom w:val="single" w:color="000000" w:sz="4" w:space="0"/>
              <w:right w:val="single" w:color="000000" w:sz="4" w:space="0"/>
            </w:tcBorders>
            <w:noWrap/>
            <w:vAlign w:val="center"/>
          </w:tcPr>
          <w:p w14:paraId="2510CC9C">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4</w:t>
            </w:r>
          </w:p>
        </w:tc>
        <w:tc>
          <w:tcPr>
            <w:tcW w:w="240" w:type="pct"/>
            <w:tcBorders>
              <w:top w:val="single" w:color="000000" w:sz="4" w:space="0"/>
              <w:left w:val="single" w:color="000000" w:sz="4" w:space="0"/>
              <w:bottom w:val="single" w:color="000000" w:sz="4" w:space="0"/>
              <w:right w:val="single" w:color="000000" w:sz="4" w:space="0"/>
            </w:tcBorders>
            <w:noWrap/>
            <w:vAlign w:val="center"/>
          </w:tcPr>
          <w:p w14:paraId="0991C1CD">
            <w:pPr>
              <w:keepNext w:val="0"/>
              <w:keepLines w:val="0"/>
              <w:suppressLineNumbers w:val="0"/>
              <w:spacing w:before="0" w:beforeAutospacing="0" w:after="0" w:afterAutospacing="0" w:line="320" w:lineRule="exact"/>
              <w:ind w:left="0" w:right="0"/>
              <w:jc w:val="left"/>
              <w:rPr>
                <w:rFonts w:hint="eastAsia" w:ascii="宋体" w:eastAsia="宋体" w:cs="宋体"/>
                <w:color w:val="000000"/>
                <w:sz w:val="20"/>
                <w:szCs w:val="20"/>
              </w:rPr>
            </w:pPr>
          </w:p>
        </w:tc>
      </w:tr>
      <w:tr w14:paraId="5C1CF104">
        <w:tblPrEx>
          <w:tblCellMar>
            <w:top w:w="0" w:type="dxa"/>
            <w:left w:w="108" w:type="dxa"/>
            <w:bottom w:w="0" w:type="dxa"/>
            <w:right w:w="108" w:type="dxa"/>
          </w:tblCellMar>
        </w:tblPrEx>
        <w:trPr>
          <w:trHeight w:val="397" w:hRule="atLeast"/>
        </w:trPr>
        <w:tc>
          <w:tcPr>
            <w:tcW w:w="405" w:type="pct"/>
            <w:vMerge w:val="continue"/>
            <w:tcBorders>
              <w:top w:val="single" w:color="000000" w:sz="4" w:space="0"/>
              <w:left w:val="single" w:color="000000" w:sz="4" w:space="0"/>
              <w:bottom w:val="single" w:color="000000" w:sz="4" w:space="0"/>
              <w:right w:val="single" w:color="000000" w:sz="4" w:space="0"/>
            </w:tcBorders>
            <w:noWrap/>
            <w:vAlign w:val="center"/>
          </w:tcPr>
          <w:p w14:paraId="756A9957">
            <w:pPr>
              <w:keepNext w:val="0"/>
              <w:keepLines w:val="0"/>
              <w:suppressLineNumbers w:val="0"/>
              <w:spacing w:before="0" w:beforeAutospacing="0" w:after="0" w:afterAutospacing="0" w:line="320" w:lineRule="exact"/>
              <w:ind w:left="0" w:right="0"/>
              <w:jc w:val="left"/>
              <w:rPr>
                <w:rFonts w:hint="default"/>
                <w:sz w:val="20"/>
                <w:szCs w:val="20"/>
              </w:rPr>
            </w:pPr>
          </w:p>
        </w:tc>
        <w:tc>
          <w:tcPr>
            <w:tcW w:w="556" w:type="pct"/>
            <w:tcBorders>
              <w:top w:val="single" w:color="000000" w:sz="4" w:space="0"/>
              <w:left w:val="single" w:color="000000" w:sz="4" w:space="0"/>
              <w:bottom w:val="single" w:color="000000" w:sz="4" w:space="0"/>
              <w:right w:val="single" w:color="000000" w:sz="4" w:space="0"/>
            </w:tcBorders>
            <w:noWrap/>
            <w:vAlign w:val="center"/>
          </w:tcPr>
          <w:p w14:paraId="396E0ADA">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2.人员配备、职责分工</w:t>
            </w:r>
          </w:p>
        </w:tc>
        <w:tc>
          <w:tcPr>
            <w:tcW w:w="1566" w:type="pct"/>
            <w:tcBorders>
              <w:top w:val="single" w:color="000000" w:sz="4" w:space="0"/>
              <w:left w:val="single" w:color="000000" w:sz="4" w:space="0"/>
              <w:bottom w:val="single" w:color="000000" w:sz="4" w:space="0"/>
              <w:right w:val="single" w:color="000000" w:sz="4" w:space="0"/>
            </w:tcBorders>
            <w:noWrap/>
            <w:vAlign w:val="center"/>
          </w:tcPr>
          <w:p w14:paraId="6B1D15FF">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①配有设备管理员。②是否明确资产使用和保管责任人、落实资产使用人在资产管理中的责任</w:t>
            </w:r>
          </w:p>
        </w:tc>
        <w:tc>
          <w:tcPr>
            <w:tcW w:w="303" w:type="pct"/>
            <w:tcBorders>
              <w:top w:val="single" w:color="000000" w:sz="4" w:space="0"/>
              <w:left w:val="single" w:color="000000" w:sz="4" w:space="0"/>
              <w:bottom w:val="single" w:color="000000" w:sz="4" w:space="0"/>
              <w:right w:val="single" w:color="000000" w:sz="4" w:space="0"/>
            </w:tcBorders>
            <w:noWrap/>
            <w:vAlign w:val="center"/>
          </w:tcPr>
          <w:p w14:paraId="367910C8">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6</w:t>
            </w:r>
          </w:p>
        </w:tc>
        <w:tc>
          <w:tcPr>
            <w:tcW w:w="1641" w:type="pct"/>
            <w:tcBorders>
              <w:top w:val="single" w:color="000000" w:sz="4" w:space="0"/>
              <w:left w:val="single" w:color="000000" w:sz="4" w:space="0"/>
              <w:bottom w:val="single" w:color="000000" w:sz="4" w:space="0"/>
              <w:right w:val="single" w:color="000000" w:sz="4" w:space="0"/>
            </w:tcBorders>
            <w:noWrap/>
            <w:vAlign w:val="center"/>
          </w:tcPr>
          <w:p w14:paraId="1528DCAE">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查资料</w:t>
            </w:r>
            <w:r>
              <w:rPr>
                <w:rFonts w:hint="eastAsia" w:ascii="宋体" w:cs="宋体"/>
                <w:color w:val="000000"/>
                <w:kern w:val="0"/>
                <w:sz w:val="20"/>
                <w:szCs w:val="20"/>
                <w:lang w:eastAsia="zh-CN"/>
              </w:rPr>
              <w:t>：</w:t>
            </w:r>
            <w:r>
              <w:rPr>
                <w:rFonts w:hint="eastAsia" w:ascii="宋体" w:eastAsia="宋体" w:cs="宋体"/>
                <w:color w:val="000000"/>
                <w:kern w:val="0"/>
                <w:sz w:val="20"/>
                <w:szCs w:val="20"/>
              </w:rPr>
              <w:t>无设备管理员扣2分，职责分工是否明确。</w:t>
            </w:r>
          </w:p>
        </w:tc>
        <w:tc>
          <w:tcPr>
            <w:tcW w:w="289" w:type="pct"/>
            <w:tcBorders>
              <w:top w:val="single" w:color="000000" w:sz="4" w:space="0"/>
              <w:left w:val="single" w:color="000000" w:sz="4" w:space="0"/>
              <w:bottom w:val="single" w:color="000000" w:sz="4" w:space="0"/>
              <w:right w:val="single" w:color="000000" w:sz="4" w:space="0"/>
            </w:tcBorders>
            <w:noWrap/>
            <w:vAlign w:val="center"/>
          </w:tcPr>
          <w:p w14:paraId="104B124E">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5</w:t>
            </w:r>
          </w:p>
        </w:tc>
        <w:tc>
          <w:tcPr>
            <w:tcW w:w="240" w:type="pct"/>
            <w:tcBorders>
              <w:top w:val="single" w:color="000000" w:sz="4" w:space="0"/>
              <w:left w:val="single" w:color="000000" w:sz="4" w:space="0"/>
              <w:bottom w:val="single" w:color="000000" w:sz="4" w:space="0"/>
              <w:right w:val="single" w:color="000000" w:sz="4" w:space="0"/>
            </w:tcBorders>
            <w:noWrap/>
            <w:vAlign w:val="center"/>
          </w:tcPr>
          <w:p w14:paraId="6181C330">
            <w:pPr>
              <w:keepNext w:val="0"/>
              <w:keepLines w:val="0"/>
              <w:suppressLineNumbers w:val="0"/>
              <w:spacing w:before="0" w:beforeAutospacing="0" w:after="0" w:afterAutospacing="0" w:line="320" w:lineRule="exact"/>
              <w:ind w:left="0" w:right="0"/>
              <w:jc w:val="left"/>
              <w:rPr>
                <w:rFonts w:hint="eastAsia" w:ascii="宋体" w:eastAsia="宋体" w:cs="宋体"/>
                <w:color w:val="000000"/>
                <w:sz w:val="20"/>
                <w:szCs w:val="20"/>
              </w:rPr>
            </w:pPr>
          </w:p>
        </w:tc>
      </w:tr>
      <w:tr w14:paraId="6B817A0A">
        <w:tblPrEx>
          <w:tblCellMar>
            <w:top w:w="0" w:type="dxa"/>
            <w:left w:w="108" w:type="dxa"/>
            <w:bottom w:w="0" w:type="dxa"/>
            <w:right w:w="108" w:type="dxa"/>
          </w:tblCellMar>
        </w:tblPrEx>
        <w:trPr>
          <w:trHeight w:val="397" w:hRule="atLeast"/>
        </w:trPr>
        <w:tc>
          <w:tcPr>
            <w:tcW w:w="405" w:type="pct"/>
            <w:vMerge w:val="restart"/>
            <w:tcBorders>
              <w:top w:val="single" w:color="000000" w:sz="4" w:space="0"/>
              <w:left w:val="single" w:color="000000" w:sz="4" w:space="0"/>
              <w:bottom w:val="single" w:color="000000" w:sz="4" w:space="0"/>
              <w:right w:val="single" w:color="000000" w:sz="4" w:space="0"/>
            </w:tcBorders>
            <w:noWrap/>
            <w:vAlign w:val="center"/>
          </w:tcPr>
          <w:p w14:paraId="3B6404AC">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b/>
                <w:bCs/>
                <w:color w:val="000000"/>
                <w:sz w:val="20"/>
                <w:szCs w:val="20"/>
              </w:rPr>
            </w:pPr>
            <w:r>
              <w:rPr>
                <w:rFonts w:hint="eastAsia" w:ascii="宋体" w:eastAsia="宋体" w:cs="宋体"/>
                <w:b/>
                <w:bCs/>
                <w:color w:val="000000"/>
                <w:kern w:val="0"/>
                <w:sz w:val="20"/>
                <w:szCs w:val="20"/>
              </w:rPr>
              <w:t>制度完善15分</w:t>
            </w:r>
          </w:p>
        </w:tc>
        <w:tc>
          <w:tcPr>
            <w:tcW w:w="556" w:type="pct"/>
            <w:tcBorders>
              <w:top w:val="single" w:color="000000" w:sz="4" w:space="0"/>
              <w:left w:val="single" w:color="000000" w:sz="4" w:space="0"/>
              <w:bottom w:val="single" w:color="000000" w:sz="4" w:space="0"/>
              <w:right w:val="single" w:color="000000" w:sz="4" w:space="0"/>
            </w:tcBorders>
            <w:noWrap/>
            <w:vAlign w:val="center"/>
          </w:tcPr>
          <w:p w14:paraId="45D82617">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1.固定资产管理制度</w:t>
            </w:r>
          </w:p>
        </w:tc>
        <w:tc>
          <w:tcPr>
            <w:tcW w:w="1566" w:type="pct"/>
            <w:tcBorders>
              <w:top w:val="single" w:color="000000" w:sz="4" w:space="0"/>
              <w:left w:val="single" w:color="000000" w:sz="4" w:space="0"/>
              <w:bottom w:val="single" w:color="000000" w:sz="4" w:space="0"/>
              <w:right w:val="single" w:color="000000" w:sz="4" w:space="0"/>
            </w:tcBorders>
            <w:noWrap/>
            <w:vAlign w:val="center"/>
          </w:tcPr>
          <w:p w14:paraId="10193E47">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①有固定资产管理制度。</w:t>
            </w:r>
          </w:p>
        </w:tc>
        <w:tc>
          <w:tcPr>
            <w:tcW w:w="303" w:type="pct"/>
            <w:tcBorders>
              <w:top w:val="single" w:color="000000" w:sz="4" w:space="0"/>
              <w:left w:val="single" w:color="000000" w:sz="4" w:space="0"/>
              <w:bottom w:val="single" w:color="000000" w:sz="4" w:space="0"/>
              <w:right w:val="single" w:color="000000" w:sz="4" w:space="0"/>
            </w:tcBorders>
            <w:noWrap/>
            <w:vAlign w:val="center"/>
          </w:tcPr>
          <w:p w14:paraId="53DE0B8A">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5</w:t>
            </w:r>
          </w:p>
        </w:tc>
        <w:tc>
          <w:tcPr>
            <w:tcW w:w="1641" w:type="pct"/>
            <w:tcBorders>
              <w:top w:val="single" w:color="000000" w:sz="4" w:space="0"/>
              <w:left w:val="single" w:color="000000" w:sz="4" w:space="0"/>
              <w:bottom w:val="single" w:color="000000" w:sz="4" w:space="0"/>
              <w:right w:val="single" w:color="000000" w:sz="4" w:space="0"/>
            </w:tcBorders>
            <w:noWrap/>
            <w:vAlign w:val="center"/>
          </w:tcPr>
          <w:p w14:paraId="02E39DE6">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查资料</w:t>
            </w:r>
            <w:r>
              <w:rPr>
                <w:rFonts w:hint="eastAsia" w:ascii="宋体" w:cs="宋体"/>
                <w:color w:val="000000"/>
                <w:kern w:val="0"/>
                <w:sz w:val="20"/>
                <w:szCs w:val="20"/>
                <w:lang w:eastAsia="zh-CN"/>
              </w:rPr>
              <w:t>：</w:t>
            </w:r>
            <w:r>
              <w:rPr>
                <w:rFonts w:hint="eastAsia" w:ascii="宋体" w:eastAsia="宋体" w:cs="宋体"/>
                <w:color w:val="000000"/>
                <w:kern w:val="0"/>
                <w:sz w:val="20"/>
                <w:szCs w:val="20"/>
              </w:rPr>
              <w:t>无固定资产管理制度，不得分</w:t>
            </w:r>
          </w:p>
        </w:tc>
        <w:tc>
          <w:tcPr>
            <w:tcW w:w="289" w:type="pct"/>
            <w:tcBorders>
              <w:top w:val="single" w:color="000000" w:sz="4" w:space="0"/>
              <w:left w:val="single" w:color="000000" w:sz="4" w:space="0"/>
              <w:bottom w:val="single" w:color="000000" w:sz="4" w:space="0"/>
              <w:right w:val="single" w:color="000000" w:sz="4" w:space="0"/>
            </w:tcBorders>
            <w:noWrap/>
            <w:vAlign w:val="center"/>
          </w:tcPr>
          <w:p w14:paraId="70E910A9">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5</w:t>
            </w:r>
          </w:p>
        </w:tc>
        <w:tc>
          <w:tcPr>
            <w:tcW w:w="240" w:type="pct"/>
            <w:tcBorders>
              <w:top w:val="single" w:color="000000" w:sz="4" w:space="0"/>
              <w:left w:val="single" w:color="000000" w:sz="4" w:space="0"/>
              <w:bottom w:val="single" w:color="000000" w:sz="4" w:space="0"/>
              <w:right w:val="single" w:color="000000" w:sz="4" w:space="0"/>
            </w:tcBorders>
            <w:noWrap/>
            <w:vAlign w:val="center"/>
          </w:tcPr>
          <w:p w14:paraId="1D113D34">
            <w:pPr>
              <w:keepNext w:val="0"/>
              <w:keepLines w:val="0"/>
              <w:suppressLineNumbers w:val="0"/>
              <w:spacing w:before="0" w:beforeAutospacing="0" w:after="0" w:afterAutospacing="0" w:line="320" w:lineRule="exact"/>
              <w:ind w:left="0" w:right="0"/>
              <w:jc w:val="left"/>
              <w:rPr>
                <w:rFonts w:hint="eastAsia" w:ascii="宋体" w:eastAsia="宋体" w:cs="宋体"/>
                <w:color w:val="000000"/>
                <w:sz w:val="20"/>
                <w:szCs w:val="20"/>
              </w:rPr>
            </w:pPr>
          </w:p>
        </w:tc>
      </w:tr>
      <w:tr w14:paraId="2FA9B0E9">
        <w:tblPrEx>
          <w:tblCellMar>
            <w:top w:w="0" w:type="dxa"/>
            <w:left w:w="108" w:type="dxa"/>
            <w:bottom w:w="0" w:type="dxa"/>
            <w:right w:w="108" w:type="dxa"/>
          </w:tblCellMar>
        </w:tblPrEx>
        <w:trPr>
          <w:trHeight w:val="397" w:hRule="atLeast"/>
        </w:trPr>
        <w:tc>
          <w:tcPr>
            <w:tcW w:w="405" w:type="pct"/>
            <w:vMerge w:val="continue"/>
            <w:tcBorders>
              <w:top w:val="single" w:color="000000" w:sz="4" w:space="0"/>
              <w:left w:val="single" w:color="000000" w:sz="4" w:space="0"/>
              <w:bottom w:val="single" w:color="000000" w:sz="4" w:space="0"/>
              <w:right w:val="single" w:color="000000" w:sz="4" w:space="0"/>
            </w:tcBorders>
            <w:noWrap/>
            <w:vAlign w:val="center"/>
          </w:tcPr>
          <w:p w14:paraId="042E692A">
            <w:pPr>
              <w:keepNext w:val="0"/>
              <w:keepLines w:val="0"/>
              <w:suppressLineNumbers w:val="0"/>
              <w:spacing w:before="0" w:beforeAutospacing="0" w:after="0" w:afterAutospacing="0" w:line="320" w:lineRule="exact"/>
              <w:ind w:left="0" w:right="0"/>
              <w:jc w:val="left"/>
              <w:rPr>
                <w:rFonts w:hint="default"/>
                <w:sz w:val="20"/>
                <w:szCs w:val="20"/>
              </w:rPr>
            </w:pPr>
          </w:p>
        </w:tc>
        <w:tc>
          <w:tcPr>
            <w:tcW w:w="556" w:type="pct"/>
            <w:tcBorders>
              <w:top w:val="single" w:color="000000" w:sz="4" w:space="0"/>
              <w:left w:val="single" w:color="000000" w:sz="4" w:space="0"/>
              <w:bottom w:val="single" w:color="000000" w:sz="4" w:space="0"/>
              <w:right w:val="single" w:color="000000" w:sz="4" w:space="0"/>
            </w:tcBorders>
            <w:noWrap/>
            <w:vAlign w:val="center"/>
          </w:tcPr>
          <w:p w14:paraId="6B121683">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2.检查管理制度</w:t>
            </w:r>
          </w:p>
        </w:tc>
        <w:tc>
          <w:tcPr>
            <w:tcW w:w="1566" w:type="pct"/>
            <w:tcBorders>
              <w:top w:val="single" w:color="000000" w:sz="4" w:space="0"/>
              <w:left w:val="single" w:color="000000" w:sz="4" w:space="0"/>
              <w:bottom w:val="single" w:color="000000" w:sz="4" w:space="0"/>
              <w:right w:val="single" w:color="000000" w:sz="4" w:space="0"/>
            </w:tcBorders>
            <w:noWrap/>
            <w:vAlign w:val="center"/>
          </w:tcPr>
          <w:p w14:paraId="320078A5">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①有固定资产管理日常检查管理制度</w:t>
            </w:r>
          </w:p>
        </w:tc>
        <w:tc>
          <w:tcPr>
            <w:tcW w:w="303" w:type="pct"/>
            <w:tcBorders>
              <w:top w:val="single" w:color="000000" w:sz="4" w:space="0"/>
              <w:left w:val="single" w:color="000000" w:sz="4" w:space="0"/>
              <w:bottom w:val="single" w:color="000000" w:sz="4" w:space="0"/>
              <w:right w:val="single" w:color="000000" w:sz="4" w:space="0"/>
            </w:tcBorders>
            <w:noWrap/>
            <w:vAlign w:val="center"/>
          </w:tcPr>
          <w:p w14:paraId="418E62EC">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5</w:t>
            </w:r>
          </w:p>
        </w:tc>
        <w:tc>
          <w:tcPr>
            <w:tcW w:w="1641" w:type="pct"/>
            <w:tcBorders>
              <w:top w:val="single" w:color="000000" w:sz="4" w:space="0"/>
              <w:left w:val="single" w:color="000000" w:sz="4" w:space="0"/>
              <w:bottom w:val="single" w:color="000000" w:sz="4" w:space="0"/>
              <w:right w:val="single" w:color="000000" w:sz="4" w:space="0"/>
            </w:tcBorders>
            <w:noWrap/>
            <w:vAlign w:val="center"/>
          </w:tcPr>
          <w:p w14:paraId="0D16435A">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查资料</w:t>
            </w:r>
            <w:r>
              <w:rPr>
                <w:rFonts w:hint="eastAsia" w:ascii="宋体" w:cs="宋体"/>
                <w:color w:val="000000"/>
                <w:kern w:val="0"/>
                <w:sz w:val="20"/>
                <w:szCs w:val="20"/>
                <w:lang w:eastAsia="zh-CN"/>
              </w:rPr>
              <w:t>：</w:t>
            </w:r>
            <w:r>
              <w:rPr>
                <w:rFonts w:hint="eastAsia" w:ascii="宋体" w:eastAsia="宋体" w:cs="宋体"/>
                <w:color w:val="000000"/>
                <w:kern w:val="0"/>
                <w:sz w:val="20"/>
                <w:szCs w:val="20"/>
              </w:rPr>
              <w:t>无固定资产管理日常检查管理制度不得分;</w:t>
            </w:r>
          </w:p>
        </w:tc>
        <w:tc>
          <w:tcPr>
            <w:tcW w:w="289" w:type="pct"/>
            <w:tcBorders>
              <w:top w:val="single" w:color="000000" w:sz="4" w:space="0"/>
              <w:left w:val="single" w:color="000000" w:sz="4" w:space="0"/>
              <w:bottom w:val="single" w:color="000000" w:sz="4" w:space="0"/>
              <w:right w:val="single" w:color="000000" w:sz="4" w:space="0"/>
            </w:tcBorders>
            <w:noWrap/>
            <w:vAlign w:val="center"/>
          </w:tcPr>
          <w:p w14:paraId="47F92D57">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5</w:t>
            </w:r>
          </w:p>
        </w:tc>
        <w:tc>
          <w:tcPr>
            <w:tcW w:w="240" w:type="pct"/>
            <w:tcBorders>
              <w:top w:val="single" w:color="000000" w:sz="4" w:space="0"/>
              <w:left w:val="single" w:color="000000" w:sz="4" w:space="0"/>
              <w:bottom w:val="single" w:color="000000" w:sz="4" w:space="0"/>
              <w:right w:val="single" w:color="000000" w:sz="4" w:space="0"/>
            </w:tcBorders>
            <w:noWrap/>
            <w:vAlign w:val="center"/>
          </w:tcPr>
          <w:p w14:paraId="169C3981">
            <w:pPr>
              <w:keepNext w:val="0"/>
              <w:keepLines w:val="0"/>
              <w:suppressLineNumbers w:val="0"/>
              <w:spacing w:before="0" w:beforeAutospacing="0" w:after="0" w:afterAutospacing="0" w:line="320" w:lineRule="exact"/>
              <w:ind w:left="0" w:right="0"/>
              <w:jc w:val="left"/>
              <w:rPr>
                <w:rFonts w:hint="eastAsia" w:ascii="宋体" w:eastAsia="宋体" w:cs="宋体"/>
                <w:color w:val="000000"/>
                <w:sz w:val="20"/>
                <w:szCs w:val="20"/>
              </w:rPr>
            </w:pPr>
          </w:p>
        </w:tc>
      </w:tr>
      <w:tr w14:paraId="2B92B5D7">
        <w:tblPrEx>
          <w:tblCellMar>
            <w:top w:w="0" w:type="dxa"/>
            <w:left w:w="108" w:type="dxa"/>
            <w:bottom w:w="0" w:type="dxa"/>
            <w:right w:w="108" w:type="dxa"/>
          </w:tblCellMar>
        </w:tblPrEx>
        <w:trPr>
          <w:trHeight w:val="397" w:hRule="atLeast"/>
        </w:trPr>
        <w:tc>
          <w:tcPr>
            <w:tcW w:w="405" w:type="pct"/>
            <w:vMerge w:val="continue"/>
            <w:tcBorders>
              <w:top w:val="single" w:color="000000" w:sz="4" w:space="0"/>
              <w:left w:val="single" w:color="000000" w:sz="4" w:space="0"/>
              <w:bottom w:val="single" w:color="000000" w:sz="4" w:space="0"/>
              <w:right w:val="single" w:color="000000" w:sz="4" w:space="0"/>
            </w:tcBorders>
            <w:noWrap/>
            <w:vAlign w:val="center"/>
          </w:tcPr>
          <w:p w14:paraId="27CAFCB1">
            <w:pPr>
              <w:keepNext w:val="0"/>
              <w:keepLines w:val="0"/>
              <w:suppressLineNumbers w:val="0"/>
              <w:spacing w:before="0" w:beforeAutospacing="0" w:after="0" w:afterAutospacing="0" w:line="320" w:lineRule="exact"/>
              <w:ind w:left="0" w:right="0"/>
              <w:jc w:val="left"/>
              <w:rPr>
                <w:rFonts w:hint="default"/>
                <w:sz w:val="20"/>
                <w:szCs w:val="20"/>
              </w:rPr>
            </w:pPr>
          </w:p>
        </w:tc>
        <w:tc>
          <w:tcPr>
            <w:tcW w:w="556" w:type="pct"/>
            <w:tcBorders>
              <w:top w:val="single" w:color="000000" w:sz="4" w:space="0"/>
              <w:left w:val="single" w:color="000000" w:sz="4" w:space="0"/>
              <w:bottom w:val="single" w:color="000000" w:sz="4" w:space="0"/>
              <w:right w:val="single" w:color="000000" w:sz="4" w:space="0"/>
            </w:tcBorders>
            <w:noWrap/>
            <w:vAlign w:val="center"/>
          </w:tcPr>
          <w:p w14:paraId="697A6228">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3.公务用车管理制度</w:t>
            </w:r>
          </w:p>
        </w:tc>
        <w:tc>
          <w:tcPr>
            <w:tcW w:w="1566" w:type="pct"/>
            <w:tcBorders>
              <w:top w:val="single" w:color="000000" w:sz="4" w:space="0"/>
              <w:left w:val="single" w:color="000000" w:sz="4" w:space="0"/>
              <w:bottom w:val="single" w:color="000000" w:sz="4" w:space="0"/>
              <w:right w:val="single" w:color="000000" w:sz="4" w:space="0"/>
            </w:tcBorders>
            <w:noWrap/>
            <w:vAlign w:val="center"/>
          </w:tcPr>
          <w:p w14:paraId="385DBF27">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是否制定公务用车管理制度</w:t>
            </w:r>
          </w:p>
        </w:tc>
        <w:tc>
          <w:tcPr>
            <w:tcW w:w="303" w:type="pct"/>
            <w:tcBorders>
              <w:top w:val="single" w:color="000000" w:sz="4" w:space="0"/>
              <w:left w:val="single" w:color="000000" w:sz="4" w:space="0"/>
              <w:bottom w:val="single" w:color="000000" w:sz="4" w:space="0"/>
              <w:right w:val="single" w:color="000000" w:sz="4" w:space="0"/>
            </w:tcBorders>
            <w:noWrap/>
            <w:vAlign w:val="center"/>
          </w:tcPr>
          <w:p w14:paraId="63F22D93">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5</w:t>
            </w:r>
          </w:p>
        </w:tc>
        <w:tc>
          <w:tcPr>
            <w:tcW w:w="1641" w:type="pct"/>
            <w:tcBorders>
              <w:top w:val="single" w:color="000000" w:sz="4" w:space="0"/>
              <w:left w:val="single" w:color="000000" w:sz="4" w:space="0"/>
              <w:bottom w:val="single" w:color="000000" w:sz="4" w:space="0"/>
              <w:right w:val="single" w:color="000000" w:sz="4" w:space="0"/>
            </w:tcBorders>
            <w:noWrap/>
            <w:vAlign w:val="center"/>
          </w:tcPr>
          <w:p w14:paraId="17CB7AEF">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查资料</w:t>
            </w:r>
            <w:r>
              <w:rPr>
                <w:rFonts w:hint="eastAsia" w:ascii="宋体" w:cs="宋体"/>
                <w:color w:val="000000"/>
                <w:kern w:val="0"/>
                <w:sz w:val="20"/>
                <w:szCs w:val="20"/>
                <w:lang w:eastAsia="zh-CN"/>
              </w:rPr>
              <w:t>：</w:t>
            </w:r>
            <w:r>
              <w:rPr>
                <w:rFonts w:hint="eastAsia" w:ascii="宋体" w:eastAsia="宋体" w:cs="宋体"/>
                <w:color w:val="000000"/>
                <w:kern w:val="0"/>
                <w:sz w:val="20"/>
                <w:szCs w:val="20"/>
              </w:rPr>
              <w:t>未制定公务用车管理制度扣2分，无公务用车使用台账扣1分</w:t>
            </w:r>
          </w:p>
        </w:tc>
        <w:tc>
          <w:tcPr>
            <w:tcW w:w="289" w:type="pct"/>
            <w:tcBorders>
              <w:top w:val="single" w:color="000000" w:sz="4" w:space="0"/>
              <w:left w:val="single" w:color="000000" w:sz="4" w:space="0"/>
              <w:bottom w:val="single" w:color="000000" w:sz="4" w:space="0"/>
              <w:right w:val="single" w:color="000000" w:sz="4" w:space="0"/>
            </w:tcBorders>
            <w:noWrap/>
            <w:vAlign w:val="center"/>
          </w:tcPr>
          <w:p w14:paraId="2D4C7B7F">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5</w:t>
            </w:r>
          </w:p>
        </w:tc>
        <w:tc>
          <w:tcPr>
            <w:tcW w:w="240" w:type="pct"/>
            <w:tcBorders>
              <w:top w:val="single" w:color="000000" w:sz="4" w:space="0"/>
              <w:left w:val="single" w:color="000000" w:sz="4" w:space="0"/>
              <w:bottom w:val="single" w:color="000000" w:sz="4" w:space="0"/>
              <w:right w:val="single" w:color="000000" w:sz="4" w:space="0"/>
            </w:tcBorders>
            <w:noWrap/>
            <w:vAlign w:val="center"/>
          </w:tcPr>
          <w:p w14:paraId="15F47E75">
            <w:pPr>
              <w:keepNext w:val="0"/>
              <w:keepLines w:val="0"/>
              <w:suppressLineNumbers w:val="0"/>
              <w:spacing w:before="0" w:beforeAutospacing="0" w:after="0" w:afterAutospacing="0" w:line="320" w:lineRule="exact"/>
              <w:ind w:left="0" w:right="0"/>
              <w:jc w:val="left"/>
              <w:rPr>
                <w:rFonts w:hint="eastAsia" w:ascii="宋体" w:eastAsia="宋体" w:cs="宋体"/>
                <w:color w:val="000000"/>
                <w:sz w:val="20"/>
                <w:szCs w:val="20"/>
              </w:rPr>
            </w:pPr>
          </w:p>
        </w:tc>
      </w:tr>
      <w:tr w14:paraId="00E0F67D">
        <w:tblPrEx>
          <w:tblCellMar>
            <w:top w:w="0" w:type="dxa"/>
            <w:left w:w="108" w:type="dxa"/>
            <w:bottom w:w="0" w:type="dxa"/>
            <w:right w:w="108" w:type="dxa"/>
          </w:tblCellMar>
        </w:tblPrEx>
        <w:trPr>
          <w:trHeight w:val="397" w:hRule="atLeast"/>
        </w:trPr>
        <w:tc>
          <w:tcPr>
            <w:tcW w:w="405" w:type="pct"/>
            <w:vMerge w:val="restart"/>
            <w:tcBorders>
              <w:top w:val="single" w:color="000000" w:sz="4" w:space="0"/>
              <w:left w:val="single" w:color="000000" w:sz="4" w:space="0"/>
              <w:bottom w:val="single" w:color="000000" w:sz="4" w:space="0"/>
              <w:right w:val="single" w:color="000000" w:sz="4" w:space="0"/>
            </w:tcBorders>
            <w:noWrap/>
            <w:vAlign w:val="center"/>
          </w:tcPr>
          <w:p w14:paraId="3DCCC1FA">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b/>
                <w:bCs/>
                <w:color w:val="000000"/>
                <w:sz w:val="20"/>
                <w:szCs w:val="20"/>
              </w:rPr>
            </w:pPr>
            <w:r>
              <w:rPr>
                <w:rFonts w:hint="eastAsia" w:ascii="宋体" w:eastAsia="宋体" w:cs="宋体"/>
                <w:b/>
                <w:bCs/>
                <w:color w:val="000000"/>
                <w:kern w:val="0"/>
                <w:sz w:val="20"/>
                <w:szCs w:val="20"/>
              </w:rPr>
              <w:t>信息资料管理30分</w:t>
            </w:r>
          </w:p>
        </w:tc>
        <w:tc>
          <w:tcPr>
            <w:tcW w:w="556" w:type="pct"/>
            <w:tcBorders>
              <w:top w:val="single" w:color="000000" w:sz="4" w:space="0"/>
              <w:left w:val="single" w:color="000000" w:sz="4" w:space="0"/>
              <w:bottom w:val="single" w:color="000000" w:sz="4" w:space="0"/>
              <w:right w:val="single" w:color="000000" w:sz="4" w:space="0"/>
            </w:tcBorders>
            <w:noWrap/>
            <w:vAlign w:val="center"/>
          </w:tcPr>
          <w:p w14:paraId="5AAB42B2">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1、信息资料准确</w:t>
            </w:r>
          </w:p>
        </w:tc>
        <w:tc>
          <w:tcPr>
            <w:tcW w:w="1566" w:type="pct"/>
            <w:tcBorders>
              <w:top w:val="single" w:color="000000" w:sz="4" w:space="0"/>
              <w:left w:val="single" w:color="000000" w:sz="4" w:space="0"/>
              <w:bottom w:val="single" w:color="000000" w:sz="4" w:space="0"/>
              <w:right w:val="single" w:color="000000" w:sz="4" w:space="0"/>
            </w:tcBorders>
            <w:noWrap/>
            <w:vAlign w:val="center"/>
          </w:tcPr>
          <w:p w14:paraId="7D540B62">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①固定资产台账信息准确。②设备类固定资产系统信息完料准确。</w:t>
            </w:r>
          </w:p>
        </w:tc>
        <w:tc>
          <w:tcPr>
            <w:tcW w:w="303" w:type="pct"/>
            <w:tcBorders>
              <w:top w:val="single" w:color="000000" w:sz="4" w:space="0"/>
              <w:left w:val="single" w:color="000000" w:sz="4" w:space="0"/>
              <w:bottom w:val="single" w:color="000000" w:sz="4" w:space="0"/>
              <w:right w:val="single" w:color="000000" w:sz="4" w:space="0"/>
            </w:tcBorders>
            <w:noWrap/>
            <w:vAlign w:val="center"/>
          </w:tcPr>
          <w:p w14:paraId="1F1B3862">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5</w:t>
            </w:r>
          </w:p>
        </w:tc>
        <w:tc>
          <w:tcPr>
            <w:tcW w:w="1641" w:type="pct"/>
            <w:tcBorders>
              <w:top w:val="single" w:color="000000" w:sz="4" w:space="0"/>
              <w:left w:val="single" w:color="000000" w:sz="4" w:space="0"/>
              <w:bottom w:val="single" w:color="000000" w:sz="4" w:space="0"/>
              <w:right w:val="single" w:color="000000" w:sz="4" w:space="0"/>
            </w:tcBorders>
            <w:noWrap/>
            <w:vAlign w:val="center"/>
          </w:tcPr>
          <w:p w14:paraId="59F5E7C1">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查现场和资料，信息资料不准确扣0.5分</w:t>
            </w:r>
          </w:p>
        </w:tc>
        <w:tc>
          <w:tcPr>
            <w:tcW w:w="289" w:type="pct"/>
            <w:tcBorders>
              <w:top w:val="single" w:color="000000" w:sz="4" w:space="0"/>
              <w:left w:val="single" w:color="000000" w:sz="4" w:space="0"/>
              <w:bottom w:val="single" w:color="000000" w:sz="4" w:space="0"/>
              <w:right w:val="single" w:color="000000" w:sz="4" w:space="0"/>
            </w:tcBorders>
            <w:noWrap/>
            <w:vAlign w:val="center"/>
          </w:tcPr>
          <w:p w14:paraId="239CDCA4">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5</w:t>
            </w:r>
          </w:p>
        </w:tc>
        <w:tc>
          <w:tcPr>
            <w:tcW w:w="240" w:type="pct"/>
            <w:tcBorders>
              <w:top w:val="single" w:color="000000" w:sz="4" w:space="0"/>
              <w:left w:val="single" w:color="000000" w:sz="4" w:space="0"/>
              <w:bottom w:val="single" w:color="000000" w:sz="4" w:space="0"/>
              <w:right w:val="single" w:color="000000" w:sz="4" w:space="0"/>
            </w:tcBorders>
            <w:noWrap/>
            <w:vAlign w:val="center"/>
          </w:tcPr>
          <w:p w14:paraId="212FEE89">
            <w:pPr>
              <w:keepNext w:val="0"/>
              <w:keepLines w:val="0"/>
              <w:suppressLineNumbers w:val="0"/>
              <w:spacing w:before="0" w:beforeAutospacing="0" w:after="0" w:afterAutospacing="0" w:line="320" w:lineRule="exact"/>
              <w:ind w:left="0" w:right="0"/>
              <w:jc w:val="left"/>
              <w:rPr>
                <w:rFonts w:hint="eastAsia" w:ascii="宋体" w:eastAsia="宋体" w:cs="宋体"/>
                <w:color w:val="000000"/>
                <w:sz w:val="20"/>
                <w:szCs w:val="20"/>
              </w:rPr>
            </w:pPr>
          </w:p>
        </w:tc>
      </w:tr>
      <w:tr w14:paraId="7A347973">
        <w:tblPrEx>
          <w:tblCellMar>
            <w:top w:w="0" w:type="dxa"/>
            <w:left w:w="108" w:type="dxa"/>
            <w:bottom w:w="0" w:type="dxa"/>
            <w:right w:w="108" w:type="dxa"/>
          </w:tblCellMar>
        </w:tblPrEx>
        <w:trPr>
          <w:trHeight w:val="397" w:hRule="atLeast"/>
        </w:trPr>
        <w:tc>
          <w:tcPr>
            <w:tcW w:w="405" w:type="pct"/>
            <w:vMerge w:val="continue"/>
            <w:tcBorders>
              <w:top w:val="single" w:color="000000" w:sz="4" w:space="0"/>
              <w:left w:val="single" w:color="000000" w:sz="4" w:space="0"/>
              <w:bottom w:val="single" w:color="000000" w:sz="4" w:space="0"/>
              <w:right w:val="single" w:color="000000" w:sz="4" w:space="0"/>
            </w:tcBorders>
            <w:noWrap/>
            <w:vAlign w:val="center"/>
          </w:tcPr>
          <w:p w14:paraId="2B516AF4">
            <w:pPr>
              <w:keepNext w:val="0"/>
              <w:keepLines w:val="0"/>
              <w:suppressLineNumbers w:val="0"/>
              <w:spacing w:before="0" w:beforeAutospacing="0" w:after="0" w:afterAutospacing="0" w:line="320" w:lineRule="exact"/>
              <w:ind w:left="0" w:right="0"/>
              <w:jc w:val="left"/>
              <w:rPr>
                <w:rFonts w:hint="default"/>
                <w:sz w:val="20"/>
                <w:szCs w:val="20"/>
              </w:rPr>
            </w:pPr>
          </w:p>
        </w:tc>
        <w:tc>
          <w:tcPr>
            <w:tcW w:w="556" w:type="pct"/>
            <w:tcBorders>
              <w:top w:val="single" w:color="000000" w:sz="4" w:space="0"/>
              <w:left w:val="single" w:color="000000" w:sz="4" w:space="0"/>
              <w:bottom w:val="single" w:color="000000" w:sz="4" w:space="0"/>
              <w:right w:val="single" w:color="000000" w:sz="4" w:space="0"/>
            </w:tcBorders>
            <w:noWrap/>
            <w:vAlign w:val="center"/>
          </w:tcPr>
          <w:p w14:paraId="218D11CB">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2.资产到货验收入账</w:t>
            </w:r>
          </w:p>
        </w:tc>
        <w:tc>
          <w:tcPr>
            <w:tcW w:w="1566" w:type="pct"/>
            <w:tcBorders>
              <w:top w:val="single" w:color="000000" w:sz="4" w:space="0"/>
              <w:left w:val="single" w:color="000000" w:sz="4" w:space="0"/>
              <w:bottom w:val="single" w:color="000000" w:sz="4" w:space="0"/>
              <w:right w:val="single" w:color="000000" w:sz="4" w:space="0"/>
            </w:tcBorders>
            <w:noWrap/>
            <w:vAlign w:val="center"/>
          </w:tcPr>
          <w:p w14:paraId="43EB324B">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国有资产交付使用后是否及时准确入账，是否及时转为固定资产</w:t>
            </w:r>
          </w:p>
        </w:tc>
        <w:tc>
          <w:tcPr>
            <w:tcW w:w="303" w:type="pct"/>
            <w:tcBorders>
              <w:top w:val="single" w:color="000000" w:sz="4" w:space="0"/>
              <w:left w:val="single" w:color="000000" w:sz="4" w:space="0"/>
              <w:bottom w:val="single" w:color="000000" w:sz="4" w:space="0"/>
              <w:right w:val="single" w:color="000000" w:sz="4" w:space="0"/>
            </w:tcBorders>
            <w:noWrap/>
            <w:vAlign w:val="center"/>
          </w:tcPr>
          <w:p w14:paraId="13050D56">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5</w:t>
            </w:r>
          </w:p>
        </w:tc>
        <w:tc>
          <w:tcPr>
            <w:tcW w:w="1641" w:type="pct"/>
            <w:tcBorders>
              <w:top w:val="single" w:color="000000" w:sz="4" w:space="0"/>
              <w:left w:val="single" w:color="000000" w:sz="4" w:space="0"/>
              <w:bottom w:val="single" w:color="000000" w:sz="4" w:space="0"/>
              <w:right w:val="single" w:color="000000" w:sz="4" w:space="0"/>
            </w:tcBorders>
            <w:noWrap/>
            <w:vAlign w:val="center"/>
          </w:tcPr>
          <w:p w14:paraId="7ACA2F55">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查现场和资料，查一年内资产到货或验收，一台（套）录入不准确规范扣0.5分，及时转为固定资产的扣5分</w:t>
            </w:r>
          </w:p>
        </w:tc>
        <w:tc>
          <w:tcPr>
            <w:tcW w:w="289" w:type="pct"/>
            <w:tcBorders>
              <w:top w:val="single" w:color="000000" w:sz="4" w:space="0"/>
              <w:left w:val="single" w:color="000000" w:sz="4" w:space="0"/>
              <w:bottom w:val="single" w:color="000000" w:sz="4" w:space="0"/>
              <w:right w:val="single" w:color="000000" w:sz="4" w:space="0"/>
            </w:tcBorders>
            <w:noWrap/>
            <w:vAlign w:val="center"/>
          </w:tcPr>
          <w:p w14:paraId="5B0D6B5B">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5</w:t>
            </w:r>
          </w:p>
        </w:tc>
        <w:tc>
          <w:tcPr>
            <w:tcW w:w="240" w:type="pct"/>
            <w:tcBorders>
              <w:top w:val="single" w:color="000000" w:sz="4" w:space="0"/>
              <w:left w:val="single" w:color="000000" w:sz="4" w:space="0"/>
              <w:bottom w:val="single" w:color="000000" w:sz="4" w:space="0"/>
              <w:right w:val="single" w:color="000000" w:sz="4" w:space="0"/>
            </w:tcBorders>
            <w:noWrap/>
            <w:vAlign w:val="bottom"/>
          </w:tcPr>
          <w:p w14:paraId="4BDC35B2">
            <w:pPr>
              <w:keepNext w:val="0"/>
              <w:keepLines w:val="0"/>
              <w:suppressLineNumbers w:val="0"/>
              <w:spacing w:before="0" w:beforeAutospacing="0" w:after="0" w:afterAutospacing="0" w:line="320" w:lineRule="exact"/>
              <w:ind w:left="0" w:right="0"/>
              <w:jc w:val="left"/>
              <w:rPr>
                <w:rFonts w:hint="eastAsia" w:ascii="宋体" w:eastAsia="宋体" w:cs="宋体"/>
                <w:color w:val="000000"/>
                <w:sz w:val="20"/>
                <w:szCs w:val="20"/>
              </w:rPr>
            </w:pPr>
          </w:p>
        </w:tc>
      </w:tr>
      <w:tr w14:paraId="0FD62043">
        <w:tblPrEx>
          <w:tblCellMar>
            <w:top w:w="0" w:type="dxa"/>
            <w:left w:w="108" w:type="dxa"/>
            <w:bottom w:w="0" w:type="dxa"/>
            <w:right w:w="108" w:type="dxa"/>
          </w:tblCellMar>
        </w:tblPrEx>
        <w:trPr>
          <w:trHeight w:val="397" w:hRule="atLeast"/>
        </w:trPr>
        <w:tc>
          <w:tcPr>
            <w:tcW w:w="405" w:type="pct"/>
            <w:vMerge w:val="continue"/>
            <w:tcBorders>
              <w:top w:val="single" w:color="000000" w:sz="4" w:space="0"/>
              <w:left w:val="single" w:color="000000" w:sz="4" w:space="0"/>
              <w:bottom w:val="single" w:color="000000" w:sz="4" w:space="0"/>
              <w:right w:val="single" w:color="000000" w:sz="4" w:space="0"/>
            </w:tcBorders>
            <w:noWrap/>
            <w:vAlign w:val="center"/>
          </w:tcPr>
          <w:p w14:paraId="1D959C2A">
            <w:pPr>
              <w:keepNext w:val="0"/>
              <w:keepLines w:val="0"/>
              <w:suppressLineNumbers w:val="0"/>
              <w:spacing w:before="0" w:beforeAutospacing="0" w:after="0" w:afterAutospacing="0" w:line="320" w:lineRule="exact"/>
              <w:ind w:left="0" w:right="0"/>
              <w:jc w:val="left"/>
              <w:rPr>
                <w:rFonts w:hint="default"/>
                <w:sz w:val="20"/>
                <w:szCs w:val="20"/>
              </w:rPr>
            </w:pPr>
          </w:p>
        </w:tc>
        <w:tc>
          <w:tcPr>
            <w:tcW w:w="556" w:type="pct"/>
            <w:tcBorders>
              <w:top w:val="single" w:color="000000" w:sz="4" w:space="0"/>
              <w:left w:val="single" w:color="000000" w:sz="4" w:space="0"/>
              <w:bottom w:val="single" w:color="000000" w:sz="4" w:space="0"/>
              <w:right w:val="single" w:color="000000" w:sz="4" w:space="0"/>
            </w:tcBorders>
            <w:noWrap/>
            <w:vAlign w:val="center"/>
          </w:tcPr>
          <w:p w14:paraId="476D2729">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3.设备选型规范</w:t>
            </w:r>
          </w:p>
        </w:tc>
        <w:tc>
          <w:tcPr>
            <w:tcW w:w="1566" w:type="pct"/>
            <w:tcBorders>
              <w:top w:val="single" w:color="000000" w:sz="4" w:space="0"/>
              <w:left w:val="single" w:color="000000" w:sz="4" w:space="0"/>
              <w:bottom w:val="single" w:color="000000" w:sz="4" w:space="0"/>
              <w:right w:val="single" w:color="000000" w:sz="4" w:space="0"/>
            </w:tcBorders>
            <w:noWrap/>
            <w:vAlign w:val="center"/>
          </w:tcPr>
          <w:p w14:paraId="6943EE13">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①日常设备选型有依据技术规格书。②大型设备选型有论证。</w:t>
            </w:r>
          </w:p>
        </w:tc>
        <w:tc>
          <w:tcPr>
            <w:tcW w:w="303" w:type="pct"/>
            <w:tcBorders>
              <w:top w:val="single" w:color="000000" w:sz="4" w:space="0"/>
              <w:left w:val="single" w:color="000000" w:sz="4" w:space="0"/>
              <w:bottom w:val="single" w:color="000000" w:sz="4" w:space="0"/>
              <w:right w:val="single" w:color="000000" w:sz="4" w:space="0"/>
            </w:tcBorders>
            <w:noWrap/>
            <w:vAlign w:val="center"/>
          </w:tcPr>
          <w:p w14:paraId="2D2B92D8">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5</w:t>
            </w:r>
          </w:p>
        </w:tc>
        <w:tc>
          <w:tcPr>
            <w:tcW w:w="1641" w:type="pct"/>
            <w:tcBorders>
              <w:top w:val="single" w:color="000000" w:sz="4" w:space="0"/>
              <w:left w:val="single" w:color="000000" w:sz="4" w:space="0"/>
              <w:bottom w:val="single" w:color="000000" w:sz="4" w:space="0"/>
              <w:right w:val="single" w:color="000000" w:sz="4" w:space="0"/>
            </w:tcBorders>
            <w:noWrap/>
            <w:vAlign w:val="center"/>
          </w:tcPr>
          <w:p w14:paraId="0F518B50">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查现场和资料：查一年内到货设备，一台（套）选型不准确规范扣1分，</w:t>
            </w:r>
          </w:p>
        </w:tc>
        <w:tc>
          <w:tcPr>
            <w:tcW w:w="289" w:type="pct"/>
            <w:tcBorders>
              <w:top w:val="single" w:color="000000" w:sz="4" w:space="0"/>
              <w:left w:val="single" w:color="000000" w:sz="4" w:space="0"/>
              <w:bottom w:val="single" w:color="000000" w:sz="4" w:space="0"/>
              <w:right w:val="single" w:color="000000" w:sz="4" w:space="0"/>
            </w:tcBorders>
            <w:noWrap/>
            <w:vAlign w:val="center"/>
          </w:tcPr>
          <w:p w14:paraId="3B449D77">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5</w:t>
            </w:r>
          </w:p>
        </w:tc>
        <w:tc>
          <w:tcPr>
            <w:tcW w:w="240" w:type="pct"/>
            <w:tcBorders>
              <w:top w:val="single" w:color="000000" w:sz="4" w:space="0"/>
              <w:left w:val="single" w:color="000000" w:sz="4" w:space="0"/>
              <w:bottom w:val="single" w:color="000000" w:sz="4" w:space="0"/>
              <w:right w:val="single" w:color="000000" w:sz="4" w:space="0"/>
            </w:tcBorders>
            <w:noWrap/>
            <w:vAlign w:val="center"/>
          </w:tcPr>
          <w:p w14:paraId="1D7F1601">
            <w:pPr>
              <w:keepNext w:val="0"/>
              <w:keepLines w:val="0"/>
              <w:suppressLineNumbers w:val="0"/>
              <w:spacing w:before="0" w:beforeAutospacing="0" w:after="0" w:afterAutospacing="0" w:line="320" w:lineRule="exact"/>
              <w:ind w:left="0" w:right="0"/>
              <w:jc w:val="left"/>
              <w:rPr>
                <w:rFonts w:hint="eastAsia" w:ascii="宋体" w:eastAsia="宋体" w:cs="宋体"/>
                <w:color w:val="000000"/>
                <w:sz w:val="20"/>
                <w:szCs w:val="20"/>
              </w:rPr>
            </w:pPr>
          </w:p>
        </w:tc>
      </w:tr>
      <w:tr w14:paraId="5EBFE577">
        <w:tblPrEx>
          <w:tblCellMar>
            <w:top w:w="0" w:type="dxa"/>
            <w:left w:w="108" w:type="dxa"/>
            <w:bottom w:w="0" w:type="dxa"/>
            <w:right w:w="108" w:type="dxa"/>
          </w:tblCellMar>
        </w:tblPrEx>
        <w:trPr>
          <w:trHeight w:val="397" w:hRule="atLeast"/>
        </w:trPr>
        <w:tc>
          <w:tcPr>
            <w:tcW w:w="405" w:type="pct"/>
            <w:vMerge w:val="continue"/>
            <w:tcBorders>
              <w:top w:val="single" w:color="000000" w:sz="4" w:space="0"/>
              <w:left w:val="single" w:color="000000" w:sz="4" w:space="0"/>
              <w:bottom w:val="single" w:color="000000" w:sz="4" w:space="0"/>
              <w:right w:val="single" w:color="000000" w:sz="4" w:space="0"/>
            </w:tcBorders>
            <w:noWrap/>
            <w:vAlign w:val="center"/>
          </w:tcPr>
          <w:p w14:paraId="3B109ACA">
            <w:pPr>
              <w:keepNext w:val="0"/>
              <w:keepLines w:val="0"/>
              <w:suppressLineNumbers w:val="0"/>
              <w:spacing w:before="0" w:beforeAutospacing="0" w:after="0" w:afterAutospacing="0" w:line="320" w:lineRule="exact"/>
              <w:ind w:left="0" w:right="0"/>
              <w:jc w:val="left"/>
              <w:rPr>
                <w:rFonts w:hint="default"/>
                <w:sz w:val="20"/>
                <w:szCs w:val="20"/>
              </w:rPr>
            </w:pPr>
          </w:p>
        </w:tc>
        <w:tc>
          <w:tcPr>
            <w:tcW w:w="556" w:type="pct"/>
            <w:tcBorders>
              <w:top w:val="single" w:color="000000" w:sz="4" w:space="0"/>
              <w:left w:val="single" w:color="000000" w:sz="4" w:space="0"/>
              <w:bottom w:val="single" w:color="000000" w:sz="4" w:space="0"/>
              <w:right w:val="single" w:color="000000" w:sz="4" w:space="0"/>
            </w:tcBorders>
            <w:noWrap/>
            <w:vAlign w:val="center"/>
          </w:tcPr>
          <w:p w14:paraId="25C67CD9">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4.资产技术档案</w:t>
            </w:r>
          </w:p>
        </w:tc>
        <w:tc>
          <w:tcPr>
            <w:tcW w:w="1566" w:type="pct"/>
            <w:tcBorders>
              <w:top w:val="single" w:color="000000" w:sz="4" w:space="0"/>
              <w:left w:val="single" w:color="000000" w:sz="4" w:space="0"/>
              <w:bottom w:val="single" w:color="000000" w:sz="4" w:space="0"/>
              <w:right w:val="single" w:color="000000" w:sz="4" w:space="0"/>
            </w:tcBorders>
            <w:noWrap/>
            <w:vAlign w:val="center"/>
          </w:tcPr>
          <w:p w14:paraId="1EFA2F97">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①有专人管理员。②大型设备实现一台一档。③设备类资产技术资料及时上传设备管理系统。</w:t>
            </w:r>
          </w:p>
        </w:tc>
        <w:tc>
          <w:tcPr>
            <w:tcW w:w="303" w:type="pct"/>
            <w:tcBorders>
              <w:top w:val="single" w:color="000000" w:sz="4" w:space="0"/>
              <w:left w:val="single" w:color="000000" w:sz="4" w:space="0"/>
              <w:bottom w:val="single" w:color="000000" w:sz="4" w:space="0"/>
              <w:right w:val="single" w:color="000000" w:sz="4" w:space="0"/>
            </w:tcBorders>
            <w:noWrap/>
            <w:vAlign w:val="center"/>
          </w:tcPr>
          <w:p w14:paraId="628EDDF3">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5</w:t>
            </w:r>
          </w:p>
        </w:tc>
        <w:tc>
          <w:tcPr>
            <w:tcW w:w="1641" w:type="pct"/>
            <w:tcBorders>
              <w:top w:val="single" w:color="000000" w:sz="4" w:space="0"/>
              <w:left w:val="single" w:color="000000" w:sz="4" w:space="0"/>
              <w:bottom w:val="single" w:color="000000" w:sz="4" w:space="0"/>
              <w:right w:val="single" w:color="000000" w:sz="4" w:space="0"/>
            </w:tcBorders>
            <w:noWrap/>
            <w:vAlign w:val="center"/>
          </w:tcPr>
          <w:p w14:paraId="3387F317">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查现场和资料：未实行专人管理不得分；大型设备固定设备未实现一台一档或者技术档案不健全，每台套扣0.5分；设备类资产技术资料不及时上传设备管理系统，每台套扣0.01分</w:t>
            </w:r>
          </w:p>
        </w:tc>
        <w:tc>
          <w:tcPr>
            <w:tcW w:w="289" w:type="pct"/>
            <w:tcBorders>
              <w:top w:val="single" w:color="000000" w:sz="4" w:space="0"/>
              <w:left w:val="single" w:color="000000" w:sz="4" w:space="0"/>
              <w:bottom w:val="single" w:color="000000" w:sz="4" w:space="0"/>
              <w:right w:val="single" w:color="000000" w:sz="4" w:space="0"/>
            </w:tcBorders>
            <w:noWrap/>
            <w:vAlign w:val="center"/>
          </w:tcPr>
          <w:p w14:paraId="39322944">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2</w:t>
            </w:r>
          </w:p>
        </w:tc>
        <w:tc>
          <w:tcPr>
            <w:tcW w:w="240" w:type="pct"/>
            <w:tcBorders>
              <w:top w:val="single" w:color="000000" w:sz="4" w:space="0"/>
              <w:left w:val="single" w:color="000000" w:sz="4" w:space="0"/>
              <w:bottom w:val="single" w:color="000000" w:sz="4" w:space="0"/>
              <w:right w:val="single" w:color="000000" w:sz="4" w:space="0"/>
            </w:tcBorders>
            <w:noWrap/>
            <w:vAlign w:val="center"/>
          </w:tcPr>
          <w:p w14:paraId="37F1AF9F">
            <w:pPr>
              <w:keepNext w:val="0"/>
              <w:keepLines w:val="0"/>
              <w:suppressLineNumbers w:val="0"/>
              <w:spacing w:before="0" w:beforeAutospacing="0" w:after="0" w:afterAutospacing="0" w:line="320" w:lineRule="exact"/>
              <w:ind w:left="0" w:right="0"/>
              <w:jc w:val="left"/>
              <w:rPr>
                <w:rFonts w:hint="eastAsia" w:ascii="宋体" w:eastAsia="宋体" w:cs="宋体"/>
                <w:color w:val="000000"/>
                <w:sz w:val="20"/>
                <w:szCs w:val="20"/>
              </w:rPr>
            </w:pPr>
          </w:p>
        </w:tc>
      </w:tr>
      <w:tr w14:paraId="2734B752">
        <w:tblPrEx>
          <w:tblCellMar>
            <w:top w:w="0" w:type="dxa"/>
            <w:left w:w="108" w:type="dxa"/>
            <w:bottom w:w="0" w:type="dxa"/>
            <w:right w:w="108" w:type="dxa"/>
          </w:tblCellMar>
        </w:tblPrEx>
        <w:trPr>
          <w:trHeight w:val="397" w:hRule="atLeast"/>
        </w:trPr>
        <w:tc>
          <w:tcPr>
            <w:tcW w:w="405" w:type="pct"/>
            <w:vMerge w:val="continue"/>
            <w:tcBorders>
              <w:top w:val="single" w:color="000000" w:sz="4" w:space="0"/>
              <w:left w:val="single" w:color="000000" w:sz="4" w:space="0"/>
              <w:bottom w:val="single" w:color="000000" w:sz="4" w:space="0"/>
              <w:right w:val="single" w:color="000000" w:sz="4" w:space="0"/>
            </w:tcBorders>
            <w:noWrap/>
            <w:vAlign w:val="center"/>
          </w:tcPr>
          <w:p w14:paraId="59C98D00">
            <w:pPr>
              <w:keepNext w:val="0"/>
              <w:keepLines w:val="0"/>
              <w:suppressLineNumbers w:val="0"/>
              <w:spacing w:before="0" w:beforeAutospacing="0" w:after="0" w:afterAutospacing="0" w:line="320" w:lineRule="exact"/>
              <w:ind w:left="0" w:right="0"/>
              <w:jc w:val="left"/>
              <w:rPr>
                <w:rFonts w:hint="default"/>
                <w:sz w:val="20"/>
                <w:szCs w:val="20"/>
              </w:rPr>
            </w:pPr>
          </w:p>
        </w:tc>
        <w:tc>
          <w:tcPr>
            <w:tcW w:w="556" w:type="pct"/>
            <w:tcBorders>
              <w:top w:val="single" w:color="000000" w:sz="4" w:space="0"/>
              <w:left w:val="single" w:color="000000" w:sz="4" w:space="0"/>
              <w:bottom w:val="single" w:color="000000" w:sz="4" w:space="0"/>
              <w:right w:val="single" w:color="000000" w:sz="4" w:space="0"/>
            </w:tcBorders>
            <w:noWrap/>
            <w:vAlign w:val="center"/>
          </w:tcPr>
          <w:p w14:paraId="5F6F14DE">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5.设备大修</w:t>
            </w:r>
          </w:p>
        </w:tc>
        <w:tc>
          <w:tcPr>
            <w:tcW w:w="1566" w:type="pct"/>
            <w:tcBorders>
              <w:top w:val="nil"/>
              <w:left w:val="nil"/>
              <w:bottom w:val="nil"/>
              <w:right w:val="nil"/>
            </w:tcBorders>
            <w:noWrap/>
            <w:vAlign w:val="center"/>
          </w:tcPr>
          <w:p w14:paraId="66CCECEA">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①有年度大修计划并按计划实施。②在大修过程中如有性能参数和结构发生改变的，必须有详细的技术说明。③大修后的设备必须有使用信息反馈资料。</w:t>
            </w:r>
          </w:p>
        </w:tc>
        <w:tc>
          <w:tcPr>
            <w:tcW w:w="303" w:type="pct"/>
            <w:tcBorders>
              <w:top w:val="single" w:color="000000" w:sz="4" w:space="0"/>
              <w:left w:val="single" w:color="000000" w:sz="4" w:space="0"/>
              <w:bottom w:val="single" w:color="000000" w:sz="4" w:space="0"/>
              <w:right w:val="single" w:color="000000" w:sz="4" w:space="0"/>
            </w:tcBorders>
            <w:noWrap/>
            <w:vAlign w:val="center"/>
          </w:tcPr>
          <w:p w14:paraId="51686118">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5</w:t>
            </w:r>
          </w:p>
        </w:tc>
        <w:tc>
          <w:tcPr>
            <w:tcW w:w="1641" w:type="pct"/>
            <w:tcBorders>
              <w:top w:val="single" w:color="000000" w:sz="4" w:space="0"/>
              <w:left w:val="single" w:color="000000" w:sz="4" w:space="0"/>
              <w:bottom w:val="single" w:color="000000" w:sz="4" w:space="0"/>
              <w:right w:val="single" w:color="000000" w:sz="4" w:space="0"/>
            </w:tcBorders>
            <w:noWrap/>
            <w:vAlign w:val="center"/>
          </w:tcPr>
          <w:p w14:paraId="45A24035">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查现场和资料</w:t>
            </w:r>
            <w:r>
              <w:rPr>
                <w:rFonts w:hint="eastAsia" w:ascii="宋体" w:cs="宋体"/>
                <w:color w:val="000000"/>
                <w:kern w:val="0"/>
                <w:sz w:val="20"/>
                <w:szCs w:val="20"/>
                <w:lang w:eastAsia="zh-CN"/>
              </w:rPr>
              <w:t>：</w:t>
            </w:r>
            <w:r>
              <w:rPr>
                <w:rFonts w:hint="eastAsia" w:ascii="宋体" w:eastAsia="宋体" w:cs="宋体"/>
                <w:color w:val="000000"/>
                <w:kern w:val="0"/>
                <w:sz w:val="20"/>
                <w:szCs w:val="20"/>
              </w:rPr>
              <w:t>无年度大修计划或未按计划实施的，每台</w:t>
            </w:r>
            <w:r>
              <w:rPr>
                <w:rFonts w:hint="eastAsia" w:ascii="宋体" w:cs="宋体"/>
                <w:color w:val="000000"/>
                <w:kern w:val="0"/>
                <w:sz w:val="20"/>
                <w:szCs w:val="20"/>
                <w:lang w:eastAsia="zh-CN"/>
              </w:rPr>
              <w:t>（</w:t>
            </w:r>
            <w:r>
              <w:rPr>
                <w:rFonts w:hint="eastAsia" w:ascii="宋体" w:eastAsia="宋体" w:cs="宋体"/>
                <w:color w:val="000000"/>
                <w:kern w:val="0"/>
                <w:sz w:val="20"/>
                <w:szCs w:val="20"/>
              </w:rPr>
              <w:t>套)扣5分</w:t>
            </w:r>
            <w:r>
              <w:rPr>
                <w:rFonts w:hint="eastAsia" w:ascii="宋体" w:cs="宋体"/>
                <w:color w:val="000000"/>
                <w:kern w:val="0"/>
                <w:sz w:val="20"/>
                <w:szCs w:val="20"/>
                <w:lang w:eastAsia="zh-CN"/>
              </w:rPr>
              <w:t>：</w:t>
            </w:r>
            <w:r>
              <w:rPr>
                <w:rFonts w:hint="eastAsia" w:ascii="宋体" w:eastAsia="宋体" w:cs="宋体"/>
                <w:color w:val="000000"/>
                <w:kern w:val="0"/>
                <w:sz w:val="20"/>
                <w:szCs w:val="20"/>
              </w:rPr>
              <w:t>大修设备发生性能、参数和结构改变，无详细的技术说明，每台</w:t>
            </w:r>
            <w:r>
              <w:rPr>
                <w:rFonts w:hint="eastAsia" w:ascii="宋体" w:cs="宋体"/>
                <w:color w:val="000000"/>
                <w:kern w:val="0"/>
                <w:sz w:val="20"/>
                <w:szCs w:val="20"/>
                <w:lang w:eastAsia="zh-CN"/>
              </w:rPr>
              <w:t>（</w:t>
            </w:r>
            <w:r>
              <w:rPr>
                <w:rFonts w:hint="eastAsia" w:ascii="宋体" w:eastAsia="宋体" w:cs="宋体"/>
                <w:color w:val="000000"/>
                <w:kern w:val="0"/>
                <w:sz w:val="20"/>
                <w:szCs w:val="20"/>
              </w:rPr>
              <w:t>套)扣0.5分</w:t>
            </w:r>
            <w:r>
              <w:rPr>
                <w:rFonts w:hint="eastAsia" w:ascii="宋体" w:cs="宋体"/>
                <w:color w:val="000000"/>
                <w:kern w:val="0"/>
                <w:sz w:val="20"/>
                <w:szCs w:val="20"/>
                <w:lang w:eastAsia="zh-CN"/>
              </w:rPr>
              <w:t>：</w:t>
            </w:r>
            <w:r>
              <w:rPr>
                <w:rFonts w:hint="eastAsia" w:ascii="宋体" w:eastAsia="宋体" w:cs="宋体"/>
                <w:color w:val="000000"/>
                <w:kern w:val="0"/>
                <w:sz w:val="20"/>
                <w:szCs w:val="20"/>
              </w:rPr>
              <w:t>大修后的设备无使用信息反馈资料的，每台</w:t>
            </w:r>
            <w:r>
              <w:rPr>
                <w:rFonts w:hint="eastAsia" w:ascii="宋体" w:cs="宋体"/>
                <w:color w:val="000000"/>
                <w:kern w:val="0"/>
                <w:sz w:val="20"/>
                <w:szCs w:val="20"/>
                <w:lang w:eastAsia="zh-CN"/>
              </w:rPr>
              <w:t>（</w:t>
            </w:r>
            <w:r>
              <w:rPr>
                <w:rFonts w:hint="eastAsia" w:ascii="宋体" w:eastAsia="宋体" w:cs="宋体"/>
                <w:color w:val="000000"/>
                <w:kern w:val="0"/>
                <w:sz w:val="20"/>
                <w:szCs w:val="20"/>
              </w:rPr>
              <w:t>套)扣0. 5分</w:t>
            </w:r>
            <w:r>
              <w:rPr>
                <w:rFonts w:hint="eastAsia" w:ascii="宋体" w:cs="宋体"/>
                <w:color w:val="000000"/>
                <w:kern w:val="0"/>
                <w:sz w:val="20"/>
                <w:szCs w:val="20"/>
                <w:lang w:eastAsia="zh-CN"/>
              </w:rPr>
              <w:t>：</w:t>
            </w:r>
          </w:p>
        </w:tc>
        <w:tc>
          <w:tcPr>
            <w:tcW w:w="289" w:type="pct"/>
            <w:tcBorders>
              <w:top w:val="single" w:color="000000" w:sz="4" w:space="0"/>
              <w:left w:val="single" w:color="000000" w:sz="4" w:space="0"/>
              <w:bottom w:val="single" w:color="000000" w:sz="4" w:space="0"/>
              <w:right w:val="single" w:color="000000" w:sz="4" w:space="0"/>
            </w:tcBorders>
            <w:noWrap/>
            <w:vAlign w:val="center"/>
          </w:tcPr>
          <w:p w14:paraId="2BF934D3">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5</w:t>
            </w:r>
          </w:p>
        </w:tc>
        <w:tc>
          <w:tcPr>
            <w:tcW w:w="240" w:type="pct"/>
            <w:tcBorders>
              <w:top w:val="single" w:color="000000" w:sz="4" w:space="0"/>
              <w:left w:val="single" w:color="000000" w:sz="4" w:space="0"/>
              <w:bottom w:val="single" w:color="000000" w:sz="4" w:space="0"/>
              <w:right w:val="single" w:color="000000" w:sz="4" w:space="0"/>
            </w:tcBorders>
            <w:noWrap/>
            <w:vAlign w:val="center"/>
          </w:tcPr>
          <w:p w14:paraId="77EC1093">
            <w:pPr>
              <w:keepNext w:val="0"/>
              <w:keepLines w:val="0"/>
              <w:suppressLineNumbers w:val="0"/>
              <w:spacing w:before="0" w:beforeAutospacing="0" w:after="0" w:afterAutospacing="0" w:line="320" w:lineRule="exact"/>
              <w:ind w:left="0" w:right="0"/>
              <w:jc w:val="left"/>
              <w:rPr>
                <w:rFonts w:hint="eastAsia" w:ascii="宋体" w:eastAsia="宋体" w:cs="宋体"/>
                <w:color w:val="000000"/>
                <w:sz w:val="20"/>
                <w:szCs w:val="20"/>
              </w:rPr>
            </w:pPr>
          </w:p>
        </w:tc>
      </w:tr>
      <w:tr w14:paraId="0BA3C51D">
        <w:tblPrEx>
          <w:tblCellMar>
            <w:top w:w="0" w:type="dxa"/>
            <w:left w:w="108" w:type="dxa"/>
            <w:bottom w:w="0" w:type="dxa"/>
            <w:right w:w="108" w:type="dxa"/>
          </w:tblCellMar>
        </w:tblPrEx>
        <w:trPr>
          <w:trHeight w:val="397" w:hRule="atLeast"/>
        </w:trPr>
        <w:tc>
          <w:tcPr>
            <w:tcW w:w="405" w:type="pct"/>
            <w:vMerge w:val="continue"/>
            <w:tcBorders>
              <w:top w:val="single" w:color="000000" w:sz="4" w:space="0"/>
              <w:left w:val="single" w:color="000000" w:sz="4" w:space="0"/>
              <w:bottom w:val="single" w:color="000000" w:sz="4" w:space="0"/>
              <w:right w:val="single" w:color="000000" w:sz="4" w:space="0"/>
            </w:tcBorders>
            <w:noWrap/>
            <w:vAlign w:val="center"/>
          </w:tcPr>
          <w:p w14:paraId="2997BEFC">
            <w:pPr>
              <w:keepNext w:val="0"/>
              <w:keepLines w:val="0"/>
              <w:suppressLineNumbers w:val="0"/>
              <w:spacing w:before="0" w:beforeAutospacing="0" w:after="0" w:afterAutospacing="0" w:line="320" w:lineRule="exact"/>
              <w:ind w:left="0" w:right="0"/>
              <w:jc w:val="left"/>
              <w:rPr>
                <w:rFonts w:hint="default"/>
                <w:sz w:val="20"/>
                <w:szCs w:val="20"/>
              </w:rPr>
            </w:pPr>
          </w:p>
        </w:tc>
        <w:tc>
          <w:tcPr>
            <w:tcW w:w="556" w:type="pct"/>
            <w:tcBorders>
              <w:top w:val="single" w:color="000000" w:sz="4" w:space="0"/>
              <w:left w:val="single" w:color="000000" w:sz="4" w:space="0"/>
              <w:bottom w:val="single" w:color="000000" w:sz="4" w:space="0"/>
              <w:right w:val="single" w:color="000000" w:sz="4" w:space="0"/>
            </w:tcBorders>
            <w:noWrap/>
            <w:vAlign w:val="center"/>
          </w:tcPr>
          <w:p w14:paraId="5CFB5211">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6.资产报废</w:t>
            </w:r>
          </w:p>
        </w:tc>
        <w:tc>
          <w:tcPr>
            <w:tcW w:w="1566" w:type="pct"/>
            <w:tcBorders>
              <w:top w:val="single" w:color="000000" w:sz="4" w:space="0"/>
              <w:left w:val="single" w:color="000000" w:sz="4" w:space="0"/>
              <w:bottom w:val="single" w:color="000000" w:sz="4" w:space="0"/>
              <w:right w:val="single" w:color="000000" w:sz="4" w:space="0"/>
            </w:tcBorders>
            <w:noWrap/>
            <w:vAlign w:val="center"/>
          </w:tcPr>
          <w:p w14:paraId="1E101BE3">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①应有设备报废报告及相关审批手续。②报废待处理的资产应有残体，且实物残体应有报告数量一致。</w:t>
            </w:r>
          </w:p>
        </w:tc>
        <w:tc>
          <w:tcPr>
            <w:tcW w:w="303" w:type="pct"/>
            <w:tcBorders>
              <w:top w:val="single" w:color="000000" w:sz="4" w:space="0"/>
              <w:left w:val="single" w:color="000000" w:sz="4" w:space="0"/>
              <w:bottom w:val="single" w:color="000000" w:sz="4" w:space="0"/>
              <w:right w:val="single" w:color="000000" w:sz="4" w:space="0"/>
            </w:tcBorders>
            <w:noWrap/>
            <w:vAlign w:val="center"/>
          </w:tcPr>
          <w:p w14:paraId="329B116D">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5</w:t>
            </w:r>
          </w:p>
        </w:tc>
        <w:tc>
          <w:tcPr>
            <w:tcW w:w="1641" w:type="pct"/>
            <w:tcBorders>
              <w:top w:val="single" w:color="000000" w:sz="4" w:space="0"/>
              <w:left w:val="single" w:color="000000" w:sz="4" w:space="0"/>
              <w:bottom w:val="single" w:color="000000" w:sz="4" w:space="0"/>
              <w:right w:val="single" w:color="000000" w:sz="4" w:space="0"/>
            </w:tcBorders>
            <w:noWrap/>
            <w:vAlign w:val="center"/>
          </w:tcPr>
          <w:p w14:paraId="4773F544">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查现场资料，设备报废相关手续不齐全的，每台（套）扣0.5，残体与数量不符，每台（套）扣0.5。</w:t>
            </w:r>
          </w:p>
        </w:tc>
        <w:tc>
          <w:tcPr>
            <w:tcW w:w="289" w:type="pct"/>
            <w:tcBorders>
              <w:top w:val="single" w:color="000000" w:sz="4" w:space="0"/>
              <w:left w:val="single" w:color="000000" w:sz="4" w:space="0"/>
              <w:bottom w:val="single" w:color="000000" w:sz="4" w:space="0"/>
              <w:right w:val="single" w:color="000000" w:sz="4" w:space="0"/>
            </w:tcBorders>
            <w:noWrap/>
            <w:vAlign w:val="center"/>
          </w:tcPr>
          <w:p w14:paraId="79F2DC5F">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5</w:t>
            </w:r>
          </w:p>
        </w:tc>
        <w:tc>
          <w:tcPr>
            <w:tcW w:w="240" w:type="pct"/>
            <w:tcBorders>
              <w:top w:val="single" w:color="000000" w:sz="4" w:space="0"/>
              <w:left w:val="single" w:color="000000" w:sz="4" w:space="0"/>
              <w:bottom w:val="single" w:color="000000" w:sz="4" w:space="0"/>
              <w:right w:val="single" w:color="000000" w:sz="4" w:space="0"/>
            </w:tcBorders>
            <w:noWrap/>
            <w:vAlign w:val="center"/>
          </w:tcPr>
          <w:p w14:paraId="3EC5907C">
            <w:pPr>
              <w:keepNext w:val="0"/>
              <w:keepLines w:val="0"/>
              <w:suppressLineNumbers w:val="0"/>
              <w:spacing w:before="0" w:beforeAutospacing="0" w:after="0" w:afterAutospacing="0" w:line="320" w:lineRule="exact"/>
              <w:ind w:left="0" w:right="0"/>
              <w:jc w:val="left"/>
              <w:rPr>
                <w:rFonts w:hint="eastAsia" w:ascii="宋体" w:eastAsia="宋体" w:cs="宋体"/>
                <w:color w:val="000000"/>
                <w:sz w:val="20"/>
                <w:szCs w:val="20"/>
              </w:rPr>
            </w:pPr>
          </w:p>
        </w:tc>
      </w:tr>
      <w:tr w14:paraId="75D2F3A4">
        <w:tblPrEx>
          <w:tblCellMar>
            <w:top w:w="0" w:type="dxa"/>
            <w:left w:w="108" w:type="dxa"/>
            <w:bottom w:w="0" w:type="dxa"/>
            <w:right w:w="108" w:type="dxa"/>
          </w:tblCellMar>
        </w:tblPrEx>
        <w:trPr>
          <w:trHeight w:val="397" w:hRule="atLeast"/>
        </w:trPr>
        <w:tc>
          <w:tcPr>
            <w:tcW w:w="405" w:type="pct"/>
            <w:vMerge w:val="restart"/>
            <w:tcBorders>
              <w:top w:val="single" w:color="000000" w:sz="4" w:space="0"/>
              <w:left w:val="single" w:color="000000" w:sz="4" w:space="0"/>
              <w:bottom w:val="nil"/>
              <w:right w:val="single" w:color="000000" w:sz="4" w:space="0"/>
            </w:tcBorders>
            <w:noWrap/>
            <w:vAlign w:val="center"/>
          </w:tcPr>
          <w:p w14:paraId="3EE8137A">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b/>
                <w:bCs/>
                <w:color w:val="000000"/>
                <w:sz w:val="20"/>
                <w:szCs w:val="20"/>
              </w:rPr>
            </w:pPr>
            <w:r>
              <w:rPr>
                <w:rFonts w:hint="eastAsia" w:ascii="宋体" w:eastAsia="宋体" w:cs="宋体"/>
                <w:b/>
                <w:bCs/>
                <w:color w:val="000000"/>
                <w:kern w:val="0"/>
                <w:sz w:val="20"/>
                <w:szCs w:val="20"/>
              </w:rPr>
              <w:t>现场管理情况25分</w:t>
            </w:r>
          </w:p>
        </w:tc>
        <w:tc>
          <w:tcPr>
            <w:tcW w:w="556" w:type="pct"/>
            <w:tcBorders>
              <w:top w:val="single" w:color="000000" w:sz="4" w:space="0"/>
              <w:left w:val="single" w:color="000000" w:sz="4" w:space="0"/>
              <w:bottom w:val="single" w:color="000000" w:sz="4" w:space="0"/>
              <w:right w:val="single" w:color="000000" w:sz="4" w:space="0"/>
            </w:tcBorders>
            <w:noWrap/>
            <w:vAlign w:val="center"/>
          </w:tcPr>
          <w:p w14:paraId="00E2C3C0">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1.现场环境</w:t>
            </w:r>
          </w:p>
        </w:tc>
        <w:tc>
          <w:tcPr>
            <w:tcW w:w="1566" w:type="pct"/>
            <w:tcBorders>
              <w:top w:val="single" w:color="000000" w:sz="4" w:space="0"/>
              <w:left w:val="single" w:color="000000" w:sz="4" w:space="0"/>
              <w:bottom w:val="single" w:color="000000" w:sz="4" w:space="0"/>
              <w:right w:val="single" w:color="000000" w:sz="4" w:space="0"/>
            </w:tcBorders>
            <w:noWrap/>
            <w:vAlign w:val="center"/>
          </w:tcPr>
          <w:p w14:paraId="67738458">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①现场使用环境必须满足资产本身的使用性能和安全的要求。②现场环境不具备资产使用条件时。必须采取有效措施，达到使用要求时方可投入使用。</w:t>
            </w:r>
          </w:p>
        </w:tc>
        <w:tc>
          <w:tcPr>
            <w:tcW w:w="303" w:type="pct"/>
            <w:tcBorders>
              <w:top w:val="single" w:color="000000" w:sz="4" w:space="0"/>
              <w:left w:val="single" w:color="000000" w:sz="4" w:space="0"/>
              <w:bottom w:val="single" w:color="000000" w:sz="4" w:space="0"/>
              <w:right w:val="single" w:color="000000" w:sz="4" w:space="0"/>
            </w:tcBorders>
            <w:noWrap/>
            <w:vAlign w:val="center"/>
          </w:tcPr>
          <w:p w14:paraId="1FA861E7">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5</w:t>
            </w:r>
          </w:p>
        </w:tc>
        <w:tc>
          <w:tcPr>
            <w:tcW w:w="1641" w:type="pct"/>
            <w:tcBorders>
              <w:top w:val="single" w:color="000000" w:sz="4" w:space="0"/>
              <w:left w:val="single" w:color="000000" w:sz="4" w:space="0"/>
              <w:bottom w:val="single" w:color="000000" w:sz="4" w:space="0"/>
              <w:right w:val="single" w:color="000000" w:sz="4" w:space="0"/>
            </w:tcBorders>
            <w:noWrap/>
            <w:vAlign w:val="center"/>
          </w:tcPr>
          <w:p w14:paraId="1FBDA86B">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现场不符合资产使用条件强行使用资产的，每台扣0.5分，没有采取有效措施，对使用资产有威胁的，每处扣0.5分，因条件限制或者防护措施落实不到位造成设备损坏的，每台扣1分，</w:t>
            </w:r>
          </w:p>
        </w:tc>
        <w:tc>
          <w:tcPr>
            <w:tcW w:w="289" w:type="pct"/>
            <w:tcBorders>
              <w:top w:val="single" w:color="000000" w:sz="4" w:space="0"/>
              <w:left w:val="single" w:color="000000" w:sz="4" w:space="0"/>
              <w:bottom w:val="single" w:color="000000" w:sz="4" w:space="0"/>
              <w:right w:val="single" w:color="000000" w:sz="4" w:space="0"/>
            </w:tcBorders>
            <w:noWrap/>
            <w:vAlign w:val="center"/>
          </w:tcPr>
          <w:p w14:paraId="169914DE">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5</w:t>
            </w:r>
          </w:p>
        </w:tc>
        <w:tc>
          <w:tcPr>
            <w:tcW w:w="240" w:type="pct"/>
            <w:tcBorders>
              <w:top w:val="single" w:color="000000" w:sz="4" w:space="0"/>
              <w:left w:val="single" w:color="000000" w:sz="4" w:space="0"/>
              <w:bottom w:val="single" w:color="000000" w:sz="4" w:space="0"/>
              <w:right w:val="single" w:color="000000" w:sz="4" w:space="0"/>
            </w:tcBorders>
            <w:noWrap/>
            <w:vAlign w:val="center"/>
          </w:tcPr>
          <w:p w14:paraId="121F2826">
            <w:pPr>
              <w:keepNext w:val="0"/>
              <w:keepLines w:val="0"/>
              <w:suppressLineNumbers w:val="0"/>
              <w:spacing w:before="0" w:beforeAutospacing="0" w:after="0" w:afterAutospacing="0" w:line="320" w:lineRule="exact"/>
              <w:ind w:left="0" w:right="0"/>
              <w:jc w:val="left"/>
              <w:rPr>
                <w:rFonts w:hint="eastAsia" w:ascii="宋体" w:eastAsia="宋体" w:cs="宋体"/>
                <w:b/>
                <w:bCs/>
                <w:color w:val="000000"/>
                <w:sz w:val="20"/>
                <w:szCs w:val="20"/>
              </w:rPr>
            </w:pPr>
          </w:p>
        </w:tc>
      </w:tr>
      <w:tr w14:paraId="60734760">
        <w:tblPrEx>
          <w:tblCellMar>
            <w:top w:w="0" w:type="dxa"/>
            <w:left w:w="108" w:type="dxa"/>
            <w:bottom w:w="0" w:type="dxa"/>
            <w:right w:w="108" w:type="dxa"/>
          </w:tblCellMar>
        </w:tblPrEx>
        <w:trPr>
          <w:trHeight w:val="397" w:hRule="atLeast"/>
        </w:trPr>
        <w:tc>
          <w:tcPr>
            <w:tcW w:w="405" w:type="pct"/>
            <w:vMerge w:val="continue"/>
            <w:tcBorders>
              <w:top w:val="single" w:color="000000" w:sz="4" w:space="0"/>
              <w:left w:val="single" w:color="000000" w:sz="4" w:space="0"/>
              <w:bottom w:val="nil"/>
              <w:right w:val="single" w:color="000000" w:sz="4" w:space="0"/>
            </w:tcBorders>
            <w:noWrap/>
            <w:vAlign w:val="center"/>
          </w:tcPr>
          <w:p w14:paraId="62133621">
            <w:pPr>
              <w:keepNext w:val="0"/>
              <w:keepLines w:val="0"/>
              <w:suppressLineNumbers w:val="0"/>
              <w:spacing w:before="0" w:beforeAutospacing="0" w:after="0" w:afterAutospacing="0" w:line="320" w:lineRule="exact"/>
              <w:ind w:left="0" w:right="0"/>
              <w:jc w:val="left"/>
              <w:rPr>
                <w:rFonts w:hint="default"/>
                <w:sz w:val="20"/>
                <w:szCs w:val="20"/>
              </w:rPr>
            </w:pPr>
          </w:p>
        </w:tc>
        <w:tc>
          <w:tcPr>
            <w:tcW w:w="556" w:type="pct"/>
            <w:tcBorders>
              <w:top w:val="single" w:color="000000" w:sz="4" w:space="0"/>
              <w:left w:val="single" w:color="000000" w:sz="4" w:space="0"/>
              <w:bottom w:val="single" w:color="000000" w:sz="4" w:space="0"/>
              <w:right w:val="single" w:color="000000" w:sz="4" w:space="0"/>
            </w:tcBorders>
            <w:noWrap/>
            <w:vAlign w:val="center"/>
          </w:tcPr>
          <w:p w14:paraId="58069BBA">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2.现场管理制度</w:t>
            </w:r>
          </w:p>
        </w:tc>
        <w:tc>
          <w:tcPr>
            <w:tcW w:w="1566" w:type="pct"/>
            <w:tcBorders>
              <w:top w:val="single" w:color="000000" w:sz="4" w:space="0"/>
              <w:left w:val="single" w:color="000000" w:sz="4" w:space="0"/>
              <w:bottom w:val="single" w:color="000000" w:sz="4" w:space="0"/>
              <w:right w:val="single" w:color="000000" w:sz="4" w:space="0"/>
            </w:tcBorders>
            <w:noWrap/>
            <w:vAlign w:val="center"/>
          </w:tcPr>
          <w:p w14:paraId="422AB540">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①有操作规程、规章制度等，符合相关规程和标准要求。②操作规程、规章制度与实际相符、可操作性强。</w:t>
            </w:r>
          </w:p>
        </w:tc>
        <w:tc>
          <w:tcPr>
            <w:tcW w:w="303" w:type="pct"/>
            <w:tcBorders>
              <w:top w:val="single" w:color="000000" w:sz="4" w:space="0"/>
              <w:left w:val="single" w:color="000000" w:sz="4" w:space="0"/>
              <w:bottom w:val="single" w:color="000000" w:sz="4" w:space="0"/>
              <w:right w:val="single" w:color="000000" w:sz="4" w:space="0"/>
            </w:tcBorders>
            <w:noWrap/>
            <w:vAlign w:val="center"/>
          </w:tcPr>
          <w:p w14:paraId="4134FD0B">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5</w:t>
            </w:r>
          </w:p>
        </w:tc>
        <w:tc>
          <w:tcPr>
            <w:tcW w:w="1641" w:type="pct"/>
            <w:tcBorders>
              <w:top w:val="single" w:color="000000" w:sz="4" w:space="0"/>
              <w:left w:val="single" w:color="000000" w:sz="4" w:space="0"/>
              <w:bottom w:val="single" w:color="000000" w:sz="4" w:space="0"/>
              <w:right w:val="single" w:color="000000" w:sz="4" w:space="0"/>
            </w:tcBorders>
            <w:noWrap/>
            <w:vAlign w:val="center"/>
          </w:tcPr>
          <w:p w14:paraId="20CED311">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查现场和资料；无操作规程、规章制度或不符合相关规章和标准要求，每台扣1分，操作规程、规章制度与实际不符，每台扣1分。</w:t>
            </w:r>
          </w:p>
        </w:tc>
        <w:tc>
          <w:tcPr>
            <w:tcW w:w="289" w:type="pct"/>
            <w:tcBorders>
              <w:top w:val="single" w:color="000000" w:sz="4" w:space="0"/>
              <w:left w:val="single" w:color="000000" w:sz="4" w:space="0"/>
              <w:bottom w:val="single" w:color="000000" w:sz="4" w:space="0"/>
              <w:right w:val="single" w:color="000000" w:sz="4" w:space="0"/>
            </w:tcBorders>
            <w:noWrap/>
            <w:vAlign w:val="center"/>
          </w:tcPr>
          <w:p w14:paraId="43784841">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5</w:t>
            </w:r>
          </w:p>
        </w:tc>
        <w:tc>
          <w:tcPr>
            <w:tcW w:w="240" w:type="pct"/>
            <w:tcBorders>
              <w:top w:val="single" w:color="000000" w:sz="4" w:space="0"/>
              <w:left w:val="single" w:color="000000" w:sz="4" w:space="0"/>
              <w:bottom w:val="single" w:color="000000" w:sz="4" w:space="0"/>
              <w:right w:val="single" w:color="000000" w:sz="4" w:space="0"/>
            </w:tcBorders>
            <w:noWrap/>
            <w:vAlign w:val="center"/>
          </w:tcPr>
          <w:p w14:paraId="74FCABF0">
            <w:pPr>
              <w:keepNext w:val="0"/>
              <w:keepLines w:val="0"/>
              <w:suppressLineNumbers w:val="0"/>
              <w:spacing w:before="0" w:beforeAutospacing="0" w:after="0" w:afterAutospacing="0" w:line="320" w:lineRule="exact"/>
              <w:ind w:left="0" w:right="0"/>
              <w:jc w:val="left"/>
              <w:rPr>
                <w:rFonts w:hint="eastAsia" w:ascii="宋体" w:eastAsia="宋体" w:cs="宋体"/>
                <w:b/>
                <w:bCs/>
                <w:color w:val="000000"/>
                <w:sz w:val="20"/>
                <w:szCs w:val="20"/>
              </w:rPr>
            </w:pPr>
          </w:p>
        </w:tc>
      </w:tr>
      <w:tr w14:paraId="3E929C57">
        <w:tblPrEx>
          <w:tblCellMar>
            <w:top w:w="0" w:type="dxa"/>
            <w:left w:w="108" w:type="dxa"/>
            <w:bottom w:w="0" w:type="dxa"/>
            <w:right w:w="108" w:type="dxa"/>
          </w:tblCellMar>
        </w:tblPrEx>
        <w:trPr>
          <w:trHeight w:val="397" w:hRule="atLeast"/>
        </w:trPr>
        <w:tc>
          <w:tcPr>
            <w:tcW w:w="405" w:type="pct"/>
            <w:vMerge w:val="continue"/>
            <w:tcBorders>
              <w:top w:val="single" w:color="000000" w:sz="4" w:space="0"/>
              <w:left w:val="single" w:color="000000" w:sz="4" w:space="0"/>
              <w:bottom w:val="nil"/>
              <w:right w:val="single" w:color="000000" w:sz="4" w:space="0"/>
            </w:tcBorders>
            <w:noWrap/>
            <w:vAlign w:val="center"/>
          </w:tcPr>
          <w:p w14:paraId="52122F47">
            <w:pPr>
              <w:keepNext w:val="0"/>
              <w:keepLines w:val="0"/>
              <w:suppressLineNumbers w:val="0"/>
              <w:spacing w:before="0" w:beforeAutospacing="0" w:after="0" w:afterAutospacing="0" w:line="320" w:lineRule="exact"/>
              <w:ind w:left="0" w:right="0"/>
              <w:jc w:val="left"/>
              <w:rPr>
                <w:rFonts w:hint="default"/>
                <w:sz w:val="20"/>
                <w:szCs w:val="20"/>
              </w:rPr>
            </w:pPr>
          </w:p>
        </w:tc>
        <w:tc>
          <w:tcPr>
            <w:tcW w:w="556" w:type="pct"/>
            <w:tcBorders>
              <w:top w:val="single" w:color="000000" w:sz="4" w:space="0"/>
              <w:left w:val="single" w:color="000000" w:sz="4" w:space="0"/>
              <w:bottom w:val="single" w:color="000000" w:sz="4" w:space="0"/>
              <w:right w:val="single" w:color="000000" w:sz="4" w:space="0"/>
            </w:tcBorders>
            <w:noWrap/>
            <w:vAlign w:val="center"/>
          </w:tcPr>
          <w:p w14:paraId="19EC3AF4">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3.资产使用</w:t>
            </w:r>
          </w:p>
        </w:tc>
        <w:tc>
          <w:tcPr>
            <w:tcW w:w="1566" w:type="pct"/>
            <w:tcBorders>
              <w:top w:val="single" w:color="000000" w:sz="4" w:space="0"/>
              <w:left w:val="single" w:color="000000" w:sz="4" w:space="0"/>
              <w:bottom w:val="single" w:color="000000" w:sz="4" w:space="0"/>
              <w:right w:val="single" w:color="000000" w:sz="4" w:space="0"/>
            </w:tcBorders>
            <w:noWrap/>
            <w:vAlign w:val="center"/>
          </w:tcPr>
          <w:p w14:paraId="385B68B0">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①严禁野蛮使用设备等资产。②严禁随意改变</w:t>
            </w:r>
            <w:r>
              <w:rPr>
                <w:rFonts w:hint="eastAsia" w:ascii="宋体" w:cs="宋体"/>
                <w:color w:val="000000"/>
                <w:kern w:val="0"/>
                <w:sz w:val="20"/>
                <w:szCs w:val="20"/>
                <w:lang w:eastAsia="zh-CN"/>
              </w:rPr>
              <w:t>（</w:t>
            </w:r>
            <w:r>
              <w:rPr>
                <w:rFonts w:hint="eastAsia" w:ascii="宋体" w:eastAsia="宋体" w:cs="宋体"/>
                <w:color w:val="000000"/>
                <w:kern w:val="0"/>
                <w:sz w:val="20"/>
                <w:szCs w:val="20"/>
              </w:rPr>
              <w:t>造)资产的使用性能、结构等。③严格落实“设备包机制”。④设备现场管理应严格执行《设备管理规程》、及相关的操作维护规程、规定等。⑤资产使用单位</w:t>
            </w:r>
            <w:r>
              <w:rPr>
                <w:rFonts w:hint="eastAsia" w:ascii="宋体" w:cs="宋体"/>
                <w:color w:val="000000"/>
                <w:kern w:val="0"/>
                <w:sz w:val="20"/>
                <w:szCs w:val="20"/>
                <w:lang w:eastAsia="zh-CN"/>
              </w:rPr>
              <w:t>（</w:t>
            </w:r>
            <w:r>
              <w:rPr>
                <w:rFonts w:hint="eastAsia" w:ascii="宋体" w:eastAsia="宋体" w:cs="宋体"/>
                <w:color w:val="000000"/>
                <w:kern w:val="0"/>
                <w:sz w:val="20"/>
                <w:szCs w:val="20"/>
              </w:rPr>
              <w:t>人) .使用地点发生变化时，应及时办理相关手续。</w:t>
            </w:r>
          </w:p>
        </w:tc>
        <w:tc>
          <w:tcPr>
            <w:tcW w:w="303" w:type="pct"/>
            <w:tcBorders>
              <w:top w:val="single" w:color="000000" w:sz="4" w:space="0"/>
              <w:left w:val="single" w:color="000000" w:sz="4" w:space="0"/>
              <w:bottom w:val="single" w:color="000000" w:sz="4" w:space="0"/>
              <w:right w:val="single" w:color="000000" w:sz="4" w:space="0"/>
            </w:tcBorders>
            <w:noWrap/>
            <w:vAlign w:val="center"/>
          </w:tcPr>
          <w:p w14:paraId="4B8F2C7C">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5</w:t>
            </w:r>
          </w:p>
        </w:tc>
        <w:tc>
          <w:tcPr>
            <w:tcW w:w="1641" w:type="pct"/>
            <w:tcBorders>
              <w:top w:val="single" w:color="000000" w:sz="4" w:space="0"/>
              <w:left w:val="single" w:color="000000" w:sz="4" w:space="0"/>
              <w:bottom w:val="single" w:color="000000" w:sz="4" w:space="0"/>
              <w:right w:val="single" w:color="000000" w:sz="4" w:space="0"/>
            </w:tcBorders>
            <w:noWrap/>
            <w:vAlign w:val="center"/>
          </w:tcPr>
          <w:p w14:paraId="3AB4A84F">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查现场和资料。严禁野蛮使用设备等资产的。每台</w:t>
            </w:r>
            <w:r>
              <w:rPr>
                <w:rFonts w:hint="eastAsia" w:ascii="宋体" w:cs="宋体"/>
                <w:color w:val="000000"/>
                <w:kern w:val="0"/>
                <w:sz w:val="20"/>
                <w:szCs w:val="20"/>
                <w:lang w:eastAsia="zh-CN"/>
              </w:rPr>
              <w:t>（</w:t>
            </w:r>
            <w:r>
              <w:rPr>
                <w:rFonts w:hint="eastAsia" w:ascii="宋体" w:eastAsia="宋体" w:cs="宋体"/>
                <w:color w:val="000000"/>
                <w:kern w:val="0"/>
                <w:sz w:val="20"/>
                <w:szCs w:val="20"/>
              </w:rPr>
              <w:t>套)扣5分</w:t>
            </w:r>
            <w:r>
              <w:rPr>
                <w:rFonts w:hint="eastAsia" w:ascii="宋体" w:cs="宋体"/>
                <w:color w:val="000000"/>
                <w:kern w:val="0"/>
                <w:sz w:val="20"/>
                <w:szCs w:val="20"/>
                <w:lang w:eastAsia="zh-CN"/>
              </w:rPr>
              <w:t>：</w:t>
            </w:r>
            <w:r>
              <w:rPr>
                <w:rFonts w:hint="eastAsia" w:ascii="宋体" w:eastAsia="宋体" w:cs="宋体"/>
                <w:color w:val="000000"/>
                <w:kern w:val="0"/>
                <w:sz w:val="20"/>
                <w:szCs w:val="20"/>
              </w:rPr>
              <w:t>随意改变</w:t>
            </w:r>
            <w:r>
              <w:rPr>
                <w:rFonts w:hint="eastAsia" w:ascii="宋体" w:cs="宋体"/>
                <w:color w:val="000000"/>
                <w:kern w:val="0"/>
                <w:sz w:val="20"/>
                <w:szCs w:val="20"/>
                <w:lang w:eastAsia="zh-CN"/>
              </w:rPr>
              <w:t>（</w:t>
            </w:r>
            <w:r>
              <w:rPr>
                <w:rFonts w:hint="eastAsia" w:ascii="宋体" w:eastAsia="宋体" w:cs="宋体"/>
                <w:color w:val="000000"/>
                <w:kern w:val="0"/>
                <w:sz w:val="20"/>
                <w:szCs w:val="20"/>
              </w:rPr>
              <w:t>造)资产的使用性值.结构的，每台</w:t>
            </w:r>
            <w:r>
              <w:rPr>
                <w:rFonts w:hint="eastAsia" w:ascii="宋体" w:cs="宋体"/>
                <w:color w:val="000000"/>
                <w:kern w:val="0"/>
                <w:sz w:val="20"/>
                <w:szCs w:val="20"/>
                <w:lang w:eastAsia="zh-CN"/>
              </w:rPr>
              <w:t>（</w:t>
            </w:r>
            <w:r>
              <w:rPr>
                <w:rFonts w:hint="eastAsia" w:ascii="宋体" w:eastAsia="宋体" w:cs="宋体"/>
                <w:color w:val="000000"/>
                <w:kern w:val="0"/>
                <w:sz w:val="20"/>
                <w:szCs w:val="20"/>
              </w:rPr>
              <w:t>套)扣15分</w:t>
            </w:r>
            <w:r>
              <w:rPr>
                <w:rFonts w:hint="eastAsia" w:ascii="宋体" w:cs="宋体"/>
                <w:color w:val="000000"/>
                <w:kern w:val="0"/>
                <w:sz w:val="20"/>
                <w:szCs w:val="20"/>
                <w:lang w:eastAsia="zh-CN"/>
              </w:rPr>
              <w:t>：</w:t>
            </w:r>
            <w:r>
              <w:rPr>
                <w:rFonts w:hint="eastAsia" w:ascii="宋体" w:eastAsia="宋体" w:cs="宋体"/>
                <w:color w:val="000000"/>
                <w:kern w:val="0"/>
                <w:sz w:val="20"/>
                <w:szCs w:val="20"/>
              </w:rPr>
              <w:t>设备没有落实“设备包机制"的。每台</w:t>
            </w:r>
            <w:r>
              <w:rPr>
                <w:rFonts w:hint="eastAsia" w:ascii="宋体" w:cs="宋体"/>
                <w:color w:val="000000"/>
                <w:kern w:val="0"/>
                <w:sz w:val="20"/>
                <w:szCs w:val="20"/>
                <w:lang w:eastAsia="zh-CN"/>
              </w:rPr>
              <w:t>（</w:t>
            </w:r>
            <w:r>
              <w:rPr>
                <w:rFonts w:hint="eastAsia" w:ascii="宋体" w:eastAsia="宋体" w:cs="宋体"/>
                <w:color w:val="000000"/>
                <w:kern w:val="0"/>
                <w:sz w:val="20"/>
                <w:szCs w:val="20"/>
              </w:rPr>
              <w:t>套)扣5分</w:t>
            </w:r>
            <w:r>
              <w:rPr>
                <w:rFonts w:hint="eastAsia" w:ascii="宋体" w:cs="宋体"/>
                <w:color w:val="000000"/>
                <w:kern w:val="0"/>
                <w:sz w:val="20"/>
                <w:szCs w:val="20"/>
                <w:lang w:eastAsia="zh-CN"/>
              </w:rPr>
              <w:t>：</w:t>
            </w:r>
            <w:r>
              <w:rPr>
                <w:rFonts w:hint="eastAsia" w:ascii="宋体" w:eastAsia="宋体" w:cs="宋体"/>
                <w:color w:val="000000"/>
                <w:kern w:val="0"/>
                <w:sz w:val="20"/>
                <w:szCs w:val="20"/>
              </w:rPr>
              <w:t>设备现场管理违反《设备管理规程》及相关的操作维护规程、规定的。每台</w:t>
            </w:r>
            <w:r>
              <w:rPr>
                <w:rFonts w:hint="eastAsia" w:ascii="宋体" w:cs="宋体"/>
                <w:color w:val="000000"/>
                <w:kern w:val="0"/>
                <w:sz w:val="20"/>
                <w:szCs w:val="20"/>
                <w:lang w:eastAsia="zh-CN"/>
              </w:rPr>
              <w:t>（</w:t>
            </w:r>
            <w:r>
              <w:rPr>
                <w:rFonts w:hint="eastAsia" w:ascii="宋体" w:eastAsia="宋体" w:cs="宋体"/>
                <w:color w:val="000000"/>
                <w:kern w:val="0"/>
                <w:sz w:val="20"/>
                <w:szCs w:val="20"/>
              </w:rPr>
              <w:t>套) 10分</w:t>
            </w:r>
            <w:r>
              <w:rPr>
                <w:rFonts w:hint="eastAsia" w:ascii="宋体" w:cs="宋体"/>
                <w:color w:val="000000"/>
                <w:kern w:val="0"/>
                <w:sz w:val="20"/>
                <w:szCs w:val="20"/>
                <w:lang w:eastAsia="zh-CN"/>
              </w:rPr>
              <w:t>：</w:t>
            </w:r>
            <w:r>
              <w:rPr>
                <w:rFonts w:hint="eastAsia" w:ascii="宋体" w:eastAsia="宋体" w:cs="宋体"/>
                <w:color w:val="000000"/>
                <w:kern w:val="0"/>
                <w:sz w:val="20"/>
                <w:szCs w:val="20"/>
              </w:rPr>
              <w:t>资产使用单位</w:t>
            </w:r>
            <w:r>
              <w:rPr>
                <w:rFonts w:hint="eastAsia" w:ascii="宋体" w:cs="宋体"/>
                <w:color w:val="000000"/>
                <w:kern w:val="0"/>
                <w:sz w:val="20"/>
                <w:szCs w:val="20"/>
                <w:lang w:eastAsia="zh-CN"/>
              </w:rPr>
              <w:t>（</w:t>
            </w:r>
            <w:r>
              <w:rPr>
                <w:rFonts w:hint="eastAsia" w:ascii="宋体" w:eastAsia="宋体" w:cs="宋体"/>
                <w:color w:val="000000"/>
                <w:kern w:val="0"/>
                <w:sz w:val="20"/>
                <w:szCs w:val="20"/>
              </w:rPr>
              <w:t>人)，使用地点发生变化时，未及时办理相关手续的。每次扣1分。</w:t>
            </w:r>
          </w:p>
        </w:tc>
        <w:tc>
          <w:tcPr>
            <w:tcW w:w="289" w:type="pct"/>
            <w:tcBorders>
              <w:top w:val="single" w:color="000000" w:sz="4" w:space="0"/>
              <w:left w:val="single" w:color="000000" w:sz="4" w:space="0"/>
              <w:bottom w:val="single" w:color="000000" w:sz="4" w:space="0"/>
              <w:right w:val="single" w:color="000000" w:sz="4" w:space="0"/>
            </w:tcBorders>
            <w:noWrap/>
            <w:vAlign w:val="center"/>
          </w:tcPr>
          <w:p w14:paraId="302603D9">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5</w:t>
            </w:r>
          </w:p>
        </w:tc>
        <w:tc>
          <w:tcPr>
            <w:tcW w:w="240" w:type="pct"/>
            <w:tcBorders>
              <w:top w:val="single" w:color="000000" w:sz="4" w:space="0"/>
              <w:left w:val="single" w:color="000000" w:sz="4" w:space="0"/>
              <w:bottom w:val="single" w:color="000000" w:sz="4" w:space="0"/>
              <w:right w:val="single" w:color="000000" w:sz="4" w:space="0"/>
            </w:tcBorders>
            <w:noWrap/>
            <w:vAlign w:val="center"/>
          </w:tcPr>
          <w:p w14:paraId="50F87B33">
            <w:pPr>
              <w:keepNext w:val="0"/>
              <w:keepLines w:val="0"/>
              <w:suppressLineNumbers w:val="0"/>
              <w:spacing w:before="0" w:beforeAutospacing="0" w:after="0" w:afterAutospacing="0" w:line="320" w:lineRule="exact"/>
              <w:ind w:left="0" w:right="0"/>
              <w:jc w:val="left"/>
              <w:rPr>
                <w:rFonts w:hint="eastAsia" w:ascii="宋体" w:eastAsia="宋体" w:cs="宋体"/>
                <w:b/>
                <w:bCs/>
                <w:color w:val="000000"/>
                <w:sz w:val="20"/>
                <w:szCs w:val="20"/>
              </w:rPr>
            </w:pPr>
          </w:p>
        </w:tc>
      </w:tr>
      <w:tr w14:paraId="614969D1">
        <w:tblPrEx>
          <w:tblCellMar>
            <w:top w:w="0" w:type="dxa"/>
            <w:left w:w="108" w:type="dxa"/>
            <w:bottom w:w="0" w:type="dxa"/>
            <w:right w:w="108" w:type="dxa"/>
          </w:tblCellMar>
        </w:tblPrEx>
        <w:trPr>
          <w:trHeight w:val="397" w:hRule="atLeast"/>
        </w:trPr>
        <w:tc>
          <w:tcPr>
            <w:tcW w:w="405" w:type="pct"/>
            <w:vMerge w:val="continue"/>
            <w:tcBorders>
              <w:top w:val="single" w:color="000000" w:sz="4" w:space="0"/>
              <w:left w:val="single" w:color="000000" w:sz="4" w:space="0"/>
              <w:bottom w:val="nil"/>
              <w:right w:val="single" w:color="000000" w:sz="4" w:space="0"/>
            </w:tcBorders>
            <w:noWrap/>
            <w:vAlign w:val="center"/>
          </w:tcPr>
          <w:p w14:paraId="2ECF25B5">
            <w:pPr>
              <w:keepNext w:val="0"/>
              <w:keepLines w:val="0"/>
              <w:suppressLineNumbers w:val="0"/>
              <w:spacing w:before="0" w:beforeAutospacing="0" w:after="0" w:afterAutospacing="0" w:line="320" w:lineRule="exact"/>
              <w:ind w:left="0" w:right="0"/>
              <w:jc w:val="left"/>
              <w:rPr>
                <w:rFonts w:hint="default"/>
                <w:sz w:val="20"/>
                <w:szCs w:val="20"/>
              </w:rPr>
            </w:pPr>
          </w:p>
        </w:tc>
        <w:tc>
          <w:tcPr>
            <w:tcW w:w="556" w:type="pct"/>
            <w:tcBorders>
              <w:top w:val="single" w:color="000000" w:sz="4" w:space="0"/>
              <w:left w:val="single" w:color="000000" w:sz="4" w:space="0"/>
              <w:bottom w:val="single" w:color="000000" w:sz="4" w:space="0"/>
              <w:right w:val="single" w:color="000000" w:sz="4" w:space="0"/>
            </w:tcBorders>
            <w:noWrap/>
            <w:vAlign w:val="center"/>
          </w:tcPr>
          <w:p w14:paraId="5392BDED">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4.仪器设备管理</w:t>
            </w:r>
          </w:p>
        </w:tc>
        <w:tc>
          <w:tcPr>
            <w:tcW w:w="1566" w:type="pct"/>
            <w:tcBorders>
              <w:top w:val="single" w:color="000000" w:sz="4" w:space="0"/>
              <w:left w:val="single" w:color="000000" w:sz="4" w:space="0"/>
              <w:bottom w:val="single" w:color="000000" w:sz="4" w:space="0"/>
              <w:right w:val="single" w:color="000000" w:sz="4" w:space="0"/>
            </w:tcBorders>
            <w:noWrap/>
            <w:vAlign w:val="center"/>
          </w:tcPr>
          <w:p w14:paraId="2122B330">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①资产应及时编制设备编码，并保持完好。②建立仪器设备档案。</w:t>
            </w:r>
          </w:p>
        </w:tc>
        <w:tc>
          <w:tcPr>
            <w:tcW w:w="303" w:type="pct"/>
            <w:tcBorders>
              <w:top w:val="single" w:color="000000" w:sz="4" w:space="0"/>
              <w:left w:val="single" w:color="000000" w:sz="4" w:space="0"/>
              <w:bottom w:val="single" w:color="000000" w:sz="4" w:space="0"/>
              <w:right w:val="single" w:color="000000" w:sz="4" w:space="0"/>
            </w:tcBorders>
            <w:noWrap/>
            <w:vAlign w:val="center"/>
          </w:tcPr>
          <w:p w14:paraId="2A6D7B3C">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5</w:t>
            </w:r>
          </w:p>
        </w:tc>
        <w:tc>
          <w:tcPr>
            <w:tcW w:w="1641" w:type="pct"/>
            <w:tcBorders>
              <w:top w:val="single" w:color="000000" w:sz="4" w:space="0"/>
              <w:left w:val="single" w:color="000000" w:sz="4" w:space="0"/>
              <w:bottom w:val="single" w:color="000000" w:sz="4" w:space="0"/>
              <w:right w:val="single" w:color="000000" w:sz="4" w:space="0"/>
            </w:tcBorders>
            <w:noWrap/>
            <w:vAlign w:val="center"/>
          </w:tcPr>
          <w:p w14:paraId="3A30924B">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查现场和资料：仪器设备没有设备编码号或不完好的，每台</w:t>
            </w:r>
            <w:r>
              <w:rPr>
                <w:rFonts w:hint="eastAsia" w:ascii="宋体" w:cs="宋体"/>
                <w:color w:val="000000"/>
                <w:kern w:val="0"/>
                <w:sz w:val="20"/>
                <w:szCs w:val="20"/>
                <w:lang w:eastAsia="zh-CN"/>
              </w:rPr>
              <w:t>（</w:t>
            </w:r>
            <w:r>
              <w:rPr>
                <w:rFonts w:hint="eastAsia" w:ascii="宋体" w:eastAsia="宋体" w:cs="宋体"/>
                <w:color w:val="000000"/>
                <w:kern w:val="0"/>
                <w:sz w:val="20"/>
                <w:szCs w:val="20"/>
              </w:rPr>
              <w:t>套) 扣0.5分</w:t>
            </w:r>
            <w:r>
              <w:rPr>
                <w:rFonts w:hint="eastAsia" w:ascii="宋体" w:cs="宋体"/>
                <w:color w:val="000000"/>
                <w:kern w:val="0"/>
                <w:sz w:val="20"/>
                <w:szCs w:val="20"/>
                <w:lang w:eastAsia="zh-CN"/>
              </w:rPr>
              <w:t>：</w:t>
            </w:r>
            <w:r>
              <w:rPr>
                <w:rFonts w:hint="eastAsia" w:ascii="宋体" w:eastAsia="宋体" w:cs="宋体"/>
                <w:color w:val="000000"/>
                <w:kern w:val="0"/>
                <w:sz w:val="20"/>
                <w:szCs w:val="20"/>
              </w:rPr>
              <w:t>②建立健全仪器设备档案，每台</w:t>
            </w:r>
            <w:r>
              <w:rPr>
                <w:rFonts w:hint="eastAsia" w:ascii="宋体" w:cs="宋体"/>
                <w:color w:val="000000"/>
                <w:kern w:val="0"/>
                <w:sz w:val="20"/>
                <w:szCs w:val="20"/>
                <w:lang w:eastAsia="zh-CN"/>
              </w:rPr>
              <w:t>（</w:t>
            </w:r>
            <w:r>
              <w:rPr>
                <w:rFonts w:hint="eastAsia" w:ascii="宋体" w:eastAsia="宋体" w:cs="宋体"/>
                <w:color w:val="000000"/>
                <w:kern w:val="0"/>
                <w:sz w:val="20"/>
                <w:szCs w:val="20"/>
              </w:rPr>
              <w:t>套) 扣0.5分</w:t>
            </w:r>
          </w:p>
        </w:tc>
        <w:tc>
          <w:tcPr>
            <w:tcW w:w="289" w:type="pct"/>
            <w:tcBorders>
              <w:top w:val="single" w:color="000000" w:sz="4" w:space="0"/>
              <w:left w:val="single" w:color="000000" w:sz="4" w:space="0"/>
              <w:bottom w:val="single" w:color="000000" w:sz="4" w:space="0"/>
              <w:right w:val="single" w:color="000000" w:sz="4" w:space="0"/>
            </w:tcBorders>
            <w:noWrap/>
            <w:vAlign w:val="center"/>
          </w:tcPr>
          <w:p w14:paraId="607D844B">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5</w:t>
            </w:r>
          </w:p>
        </w:tc>
        <w:tc>
          <w:tcPr>
            <w:tcW w:w="240" w:type="pct"/>
            <w:tcBorders>
              <w:top w:val="single" w:color="000000" w:sz="4" w:space="0"/>
              <w:left w:val="single" w:color="000000" w:sz="4" w:space="0"/>
              <w:bottom w:val="single" w:color="000000" w:sz="4" w:space="0"/>
              <w:right w:val="single" w:color="000000" w:sz="4" w:space="0"/>
            </w:tcBorders>
            <w:noWrap/>
            <w:vAlign w:val="center"/>
          </w:tcPr>
          <w:p w14:paraId="78949F92">
            <w:pPr>
              <w:keepNext w:val="0"/>
              <w:keepLines w:val="0"/>
              <w:suppressLineNumbers w:val="0"/>
              <w:spacing w:before="0" w:beforeAutospacing="0" w:after="0" w:afterAutospacing="0" w:line="320" w:lineRule="exact"/>
              <w:ind w:left="0" w:right="0"/>
              <w:jc w:val="left"/>
              <w:rPr>
                <w:rFonts w:hint="eastAsia" w:ascii="宋体" w:eastAsia="宋体" w:cs="宋体"/>
                <w:b/>
                <w:bCs/>
                <w:color w:val="000000"/>
                <w:sz w:val="20"/>
                <w:szCs w:val="20"/>
              </w:rPr>
            </w:pPr>
          </w:p>
        </w:tc>
      </w:tr>
      <w:tr w14:paraId="67AA5998">
        <w:tblPrEx>
          <w:tblCellMar>
            <w:top w:w="0" w:type="dxa"/>
            <w:left w:w="108" w:type="dxa"/>
            <w:bottom w:w="0" w:type="dxa"/>
            <w:right w:w="108" w:type="dxa"/>
          </w:tblCellMar>
        </w:tblPrEx>
        <w:trPr>
          <w:trHeight w:val="397" w:hRule="atLeast"/>
        </w:trPr>
        <w:tc>
          <w:tcPr>
            <w:tcW w:w="405" w:type="pct"/>
            <w:vMerge w:val="continue"/>
            <w:tcBorders>
              <w:top w:val="single" w:color="000000" w:sz="4" w:space="0"/>
              <w:left w:val="single" w:color="000000" w:sz="4" w:space="0"/>
              <w:bottom w:val="nil"/>
              <w:right w:val="single" w:color="000000" w:sz="4" w:space="0"/>
            </w:tcBorders>
            <w:noWrap/>
            <w:vAlign w:val="center"/>
          </w:tcPr>
          <w:p w14:paraId="6FC8615F">
            <w:pPr>
              <w:keepNext w:val="0"/>
              <w:keepLines w:val="0"/>
              <w:suppressLineNumbers w:val="0"/>
              <w:spacing w:before="0" w:beforeAutospacing="0" w:after="0" w:afterAutospacing="0" w:line="320" w:lineRule="exact"/>
              <w:ind w:left="0" w:right="0"/>
              <w:jc w:val="left"/>
              <w:rPr>
                <w:rFonts w:hint="default"/>
                <w:sz w:val="20"/>
                <w:szCs w:val="20"/>
              </w:rPr>
            </w:pPr>
          </w:p>
        </w:tc>
        <w:tc>
          <w:tcPr>
            <w:tcW w:w="556" w:type="pct"/>
            <w:tcBorders>
              <w:top w:val="single" w:color="000000" w:sz="4" w:space="0"/>
              <w:left w:val="single" w:color="000000" w:sz="4" w:space="0"/>
              <w:bottom w:val="single" w:color="000000" w:sz="4" w:space="0"/>
              <w:right w:val="single" w:color="000000" w:sz="4" w:space="0"/>
            </w:tcBorders>
            <w:noWrap/>
            <w:vAlign w:val="center"/>
          </w:tcPr>
          <w:p w14:paraId="4E231FF6">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5.资产变更</w:t>
            </w:r>
          </w:p>
        </w:tc>
        <w:tc>
          <w:tcPr>
            <w:tcW w:w="1566" w:type="pct"/>
            <w:tcBorders>
              <w:top w:val="single" w:color="000000" w:sz="4" w:space="0"/>
              <w:left w:val="single" w:color="000000" w:sz="4" w:space="0"/>
              <w:bottom w:val="single" w:color="000000" w:sz="4" w:space="0"/>
              <w:right w:val="single" w:color="000000" w:sz="4" w:space="0"/>
            </w:tcBorders>
            <w:noWrap/>
            <w:vAlign w:val="center"/>
          </w:tcPr>
          <w:p w14:paraId="2CC48DA2">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发生重大资产变更（被盗、丢失、权属变更、土建改造等）事项应及时上报</w:t>
            </w:r>
          </w:p>
        </w:tc>
        <w:tc>
          <w:tcPr>
            <w:tcW w:w="303" w:type="pct"/>
            <w:tcBorders>
              <w:top w:val="single" w:color="000000" w:sz="4" w:space="0"/>
              <w:left w:val="single" w:color="000000" w:sz="4" w:space="0"/>
              <w:bottom w:val="single" w:color="000000" w:sz="4" w:space="0"/>
              <w:right w:val="single" w:color="000000" w:sz="4" w:space="0"/>
            </w:tcBorders>
            <w:noWrap/>
            <w:vAlign w:val="center"/>
          </w:tcPr>
          <w:p w14:paraId="683A6CAB">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5</w:t>
            </w:r>
          </w:p>
        </w:tc>
        <w:tc>
          <w:tcPr>
            <w:tcW w:w="1641" w:type="pct"/>
            <w:tcBorders>
              <w:top w:val="single" w:color="000000" w:sz="4" w:space="0"/>
              <w:left w:val="single" w:color="000000" w:sz="4" w:space="0"/>
              <w:bottom w:val="single" w:color="000000" w:sz="4" w:space="0"/>
              <w:right w:val="single" w:color="000000" w:sz="4" w:space="0"/>
            </w:tcBorders>
            <w:noWrap/>
            <w:vAlign w:val="center"/>
          </w:tcPr>
          <w:p w14:paraId="417610A8">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发生重大资产变更（被盗、丢失、权属变更、土建改造等）事项未及时上报扣5分</w:t>
            </w:r>
          </w:p>
        </w:tc>
        <w:tc>
          <w:tcPr>
            <w:tcW w:w="289" w:type="pct"/>
            <w:tcBorders>
              <w:top w:val="single" w:color="000000" w:sz="4" w:space="0"/>
              <w:left w:val="single" w:color="000000" w:sz="4" w:space="0"/>
              <w:bottom w:val="single" w:color="000000" w:sz="4" w:space="0"/>
              <w:right w:val="single" w:color="000000" w:sz="4" w:space="0"/>
            </w:tcBorders>
            <w:noWrap/>
            <w:vAlign w:val="center"/>
          </w:tcPr>
          <w:p w14:paraId="504200FC">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5</w:t>
            </w:r>
          </w:p>
        </w:tc>
        <w:tc>
          <w:tcPr>
            <w:tcW w:w="240" w:type="pct"/>
            <w:tcBorders>
              <w:top w:val="single" w:color="000000" w:sz="4" w:space="0"/>
              <w:left w:val="single" w:color="000000" w:sz="4" w:space="0"/>
              <w:bottom w:val="single" w:color="000000" w:sz="4" w:space="0"/>
              <w:right w:val="single" w:color="000000" w:sz="4" w:space="0"/>
            </w:tcBorders>
            <w:noWrap/>
            <w:vAlign w:val="center"/>
          </w:tcPr>
          <w:p w14:paraId="78891AC7">
            <w:pPr>
              <w:keepNext w:val="0"/>
              <w:keepLines w:val="0"/>
              <w:suppressLineNumbers w:val="0"/>
              <w:spacing w:before="0" w:beforeAutospacing="0" w:after="0" w:afterAutospacing="0" w:line="320" w:lineRule="exact"/>
              <w:ind w:left="0" w:right="0"/>
              <w:jc w:val="left"/>
              <w:rPr>
                <w:rFonts w:hint="eastAsia" w:ascii="宋体" w:eastAsia="宋体" w:cs="宋体"/>
                <w:b/>
                <w:bCs/>
                <w:color w:val="000000"/>
                <w:sz w:val="20"/>
                <w:szCs w:val="20"/>
              </w:rPr>
            </w:pPr>
          </w:p>
        </w:tc>
      </w:tr>
      <w:tr w14:paraId="044FC843">
        <w:tblPrEx>
          <w:tblCellMar>
            <w:top w:w="0" w:type="dxa"/>
            <w:left w:w="108" w:type="dxa"/>
            <w:bottom w:w="0" w:type="dxa"/>
            <w:right w:w="108" w:type="dxa"/>
          </w:tblCellMar>
        </w:tblPrEx>
        <w:trPr>
          <w:trHeight w:val="397" w:hRule="atLeast"/>
        </w:trPr>
        <w:tc>
          <w:tcPr>
            <w:tcW w:w="405" w:type="pct"/>
            <w:vMerge w:val="restart"/>
            <w:tcBorders>
              <w:top w:val="single" w:color="000000" w:sz="4" w:space="0"/>
              <w:left w:val="single" w:color="000000" w:sz="4" w:space="0"/>
              <w:bottom w:val="nil"/>
              <w:right w:val="single" w:color="000000" w:sz="4" w:space="0"/>
            </w:tcBorders>
            <w:noWrap/>
            <w:vAlign w:val="center"/>
          </w:tcPr>
          <w:p w14:paraId="183E0289">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b/>
                <w:bCs/>
                <w:color w:val="000000"/>
                <w:sz w:val="20"/>
                <w:szCs w:val="20"/>
              </w:rPr>
            </w:pPr>
            <w:r>
              <w:rPr>
                <w:rFonts w:hint="eastAsia" w:ascii="宋体" w:eastAsia="宋体" w:cs="宋体"/>
                <w:b/>
                <w:bCs/>
                <w:color w:val="000000"/>
                <w:kern w:val="0"/>
                <w:sz w:val="20"/>
                <w:szCs w:val="20"/>
              </w:rPr>
              <w:t>考核情况20分</w:t>
            </w:r>
          </w:p>
        </w:tc>
        <w:tc>
          <w:tcPr>
            <w:tcW w:w="556" w:type="pct"/>
            <w:tcBorders>
              <w:top w:val="single" w:color="000000" w:sz="4" w:space="0"/>
              <w:left w:val="single" w:color="000000" w:sz="4" w:space="0"/>
              <w:bottom w:val="single" w:color="000000" w:sz="4" w:space="0"/>
              <w:right w:val="single" w:color="000000" w:sz="4" w:space="0"/>
            </w:tcBorders>
            <w:noWrap/>
            <w:vAlign w:val="center"/>
          </w:tcPr>
          <w:p w14:paraId="20FBD92F">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1.资产清查</w:t>
            </w:r>
          </w:p>
        </w:tc>
        <w:tc>
          <w:tcPr>
            <w:tcW w:w="1566" w:type="pct"/>
            <w:tcBorders>
              <w:top w:val="single" w:color="000000" w:sz="4" w:space="0"/>
              <w:left w:val="single" w:color="000000" w:sz="4" w:space="0"/>
              <w:bottom w:val="single" w:color="000000" w:sz="4" w:space="0"/>
              <w:right w:val="single" w:color="000000" w:sz="4" w:space="0"/>
            </w:tcBorders>
            <w:noWrap/>
            <w:vAlign w:val="center"/>
          </w:tcPr>
          <w:p w14:paraId="2E838443">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①是否每年进行一次资产清查，并及时编报资产清查报告。</w:t>
            </w:r>
          </w:p>
        </w:tc>
        <w:tc>
          <w:tcPr>
            <w:tcW w:w="303" w:type="pct"/>
            <w:tcBorders>
              <w:top w:val="single" w:color="000000" w:sz="4" w:space="0"/>
              <w:left w:val="single" w:color="000000" w:sz="4" w:space="0"/>
              <w:bottom w:val="single" w:color="000000" w:sz="4" w:space="0"/>
              <w:right w:val="single" w:color="000000" w:sz="4" w:space="0"/>
            </w:tcBorders>
            <w:noWrap/>
            <w:vAlign w:val="center"/>
          </w:tcPr>
          <w:p w14:paraId="634E15EC">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5</w:t>
            </w:r>
          </w:p>
        </w:tc>
        <w:tc>
          <w:tcPr>
            <w:tcW w:w="1641" w:type="pct"/>
            <w:tcBorders>
              <w:top w:val="single" w:color="000000" w:sz="4" w:space="0"/>
              <w:left w:val="single" w:color="000000" w:sz="4" w:space="0"/>
              <w:bottom w:val="single" w:color="000000" w:sz="4" w:space="0"/>
              <w:right w:val="single" w:color="000000" w:sz="4" w:space="0"/>
            </w:tcBorders>
            <w:noWrap/>
            <w:vAlign w:val="center"/>
          </w:tcPr>
          <w:p w14:paraId="6D9E12A1">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查文件资料和现场</w:t>
            </w:r>
            <w:r>
              <w:rPr>
                <w:rFonts w:hint="eastAsia" w:ascii="宋体" w:cs="宋体"/>
                <w:color w:val="000000"/>
                <w:kern w:val="0"/>
                <w:sz w:val="20"/>
                <w:szCs w:val="20"/>
                <w:lang w:eastAsia="zh-CN"/>
              </w:rPr>
              <w:t>：</w:t>
            </w:r>
            <w:r>
              <w:rPr>
                <w:rFonts w:hint="eastAsia" w:ascii="宋体" w:eastAsia="宋体" w:cs="宋体"/>
                <w:color w:val="000000"/>
                <w:kern w:val="0"/>
                <w:sz w:val="20"/>
                <w:szCs w:val="20"/>
              </w:rPr>
              <w:t>没有按照规定进行资产清查，此项不得分</w:t>
            </w:r>
            <w:r>
              <w:rPr>
                <w:rFonts w:hint="eastAsia" w:ascii="宋体" w:cs="宋体"/>
                <w:color w:val="000000"/>
                <w:kern w:val="0"/>
                <w:sz w:val="20"/>
                <w:szCs w:val="20"/>
                <w:lang w:eastAsia="zh-CN"/>
              </w:rPr>
              <w:t>：</w:t>
            </w:r>
            <w:r>
              <w:rPr>
                <w:rFonts w:hint="eastAsia" w:ascii="宋体" w:eastAsia="宋体" w:cs="宋体"/>
                <w:color w:val="000000"/>
                <w:kern w:val="0"/>
                <w:sz w:val="20"/>
                <w:szCs w:val="20"/>
              </w:rPr>
              <w:t>清查不实，材料不全。每处</w:t>
            </w:r>
            <w:r>
              <w:rPr>
                <w:rFonts w:hint="eastAsia" w:ascii="宋体" w:cs="宋体"/>
                <w:color w:val="000000"/>
                <w:kern w:val="0"/>
                <w:sz w:val="20"/>
                <w:szCs w:val="20"/>
                <w:lang w:eastAsia="zh-CN"/>
              </w:rPr>
              <w:t>（</w:t>
            </w:r>
            <w:r>
              <w:rPr>
                <w:rFonts w:hint="eastAsia" w:ascii="宋体" w:eastAsia="宋体" w:cs="宋体"/>
                <w:color w:val="000000"/>
                <w:kern w:val="0"/>
                <w:sz w:val="20"/>
                <w:szCs w:val="20"/>
              </w:rPr>
              <w:t>项)扣0.5分。</w:t>
            </w:r>
          </w:p>
        </w:tc>
        <w:tc>
          <w:tcPr>
            <w:tcW w:w="289" w:type="pct"/>
            <w:tcBorders>
              <w:top w:val="single" w:color="000000" w:sz="4" w:space="0"/>
              <w:left w:val="single" w:color="000000" w:sz="4" w:space="0"/>
              <w:bottom w:val="single" w:color="000000" w:sz="4" w:space="0"/>
              <w:right w:val="single" w:color="000000" w:sz="4" w:space="0"/>
            </w:tcBorders>
            <w:noWrap/>
            <w:vAlign w:val="center"/>
          </w:tcPr>
          <w:p w14:paraId="5BAE61E1">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5</w:t>
            </w:r>
          </w:p>
        </w:tc>
        <w:tc>
          <w:tcPr>
            <w:tcW w:w="240" w:type="pct"/>
            <w:tcBorders>
              <w:top w:val="single" w:color="000000" w:sz="4" w:space="0"/>
              <w:left w:val="single" w:color="000000" w:sz="4" w:space="0"/>
              <w:bottom w:val="single" w:color="000000" w:sz="4" w:space="0"/>
              <w:right w:val="single" w:color="000000" w:sz="4" w:space="0"/>
            </w:tcBorders>
            <w:noWrap/>
            <w:vAlign w:val="center"/>
          </w:tcPr>
          <w:p w14:paraId="5C35C2FC">
            <w:pPr>
              <w:keepNext w:val="0"/>
              <w:keepLines w:val="0"/>
              <w:suppressLineNumbers w:val="0"/>
              <w:spacing w:before="0" w:beforeAutospacing="0" w:after="0" w:afterAutospacing="0" w:line="320" w:lineRule="exact"/>
              <w:ind w:left="0" w:right="0"/>
              <w:jc w:val="left"/>
              <w:rPr>
                <w:rFonts w:hint="eastAsia" w:ascii="宋体" w:eastAsia="宋体" w:cs="宋体"/>
                <w:b/>
                <w:bCs/>
                <w:color w:val="000000"/>
                <w:sz w:val="20"/>
                <w:szCs w:val="20"/>
              </w:rPr>
            </w:pPr>
          </w:p>
        </w:tc>
      </w:tr>
      <w:tr w14:paraId="3078E28A">
        <w:tblPrEx>
          <w:tblCellMar>
            <w:top w:w="0" w:type="dxa"/>
            <w:left w:w="108" w:type="dxa"/>
            <w:bottom w:w="0" w:type="dxa"/>
            <w:right w:w="108" w:type="dxa"/>
          </w:tblCellMar>
        </w:tblPrEx>
        <w:trPr>
          <w:trHeight w:val="397" w:hRule="atLeast"/>
        </w:trPr>
        <w:tc>
          <w:tcPr>
            <w:tcW w:w="405" w:type="pct"/>
            <w:vMerge w:val="continue"/>
            <w:tcBorders>
              <w:top w:val="single" w:color="000000" w:sz="4" w:space="0"/>
              <w:left w:val="single" w:color="000000" w:sz="4" w:space="0"/>
              <w:bottom w:val="nil"/>
              <w:right w:val="single" w:color="000000" w:sz="4" w:space="0"/>
            </w:tcBorders>
            <w:noWrap/>
            <w:vAlign w:val="center"/>
          </w:tcPr>
          <w:p w14:paraId="50494478">
            <w:pPr>
              <w:keepNext w:val="0"/>
              <w:keepLines w:val="0"/>
              <w:suppressLineNumbers w:val="0"/>
              <w:spacing w:before="0" w:beforeAutospacing="0" w:after="0" w:afterAutospacing="0" w:line="320" w:lineRule="exact"/>
              <w:ind w:left="0" w:right="0"/>
              <w:jc w:val="left"/>
              <w:rPr>
                <w:rFonts w:hint="default"/>
                <w:sz w:val="20"/>
                <w:szCs w:val="20"/>
              </w:rPr>
            </w:pPr>
          </w:p>
        </w:tc>
        <w:tc>
          <w:tcPr>
            <w:tcW w:w="556" w:type="pct"/>
            <w:tcBorders>
              <w:top w:val="single" w:color="000000" w:sz="4" w:space="0"/>
              <w:left w:val="single" w:color="000000" w:sz="4" w:space="0"/>
              <w:bottom w:val="single" w:color="000000" w:sz="4" w:space="0"/>
              <w:right w:val="single" w:color="000000" w:sz="4" w:space="0"/>
            </w:tcBorders>
            <w:noWrap/>
            <w:vAlign w:val="center"/>
          </w:tcPr>
          <w:p w14:paraId="2FF407B1">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2.政府采购情况</w:t>
            </w:r>
          </w:p>
        </w:tc>
        <w:tc>
          <w:tcPr>
            <w:tcW w:w="1566" w:type="pct"/>
            <w:tcBorders>
              <w:top w:val="single" w:color="000000" w:sz="4" w:space="0"/>
              <w:left w:val="single" w:color="000000" w:sz="4" w:space="0"/>
              <w:bottom w:val="single" w:color="000000" w:sz="4" w:space="0"/>
              <w:right w:val="single" w:color="000000" w:sz="4" w:space="0"/>
            </w:tcBorders>
            <w:noWrap/>
            <w:vAlign w:val="center"/>
          </w:tcPr>
          <w:p w14:paraId="483BB57D">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①是否按法定采购方式和程序实施采购，②是否按规定进行政府采购计划备案</w:t>
            </w:r>
          </w:p>
        </w:tc>
        <w:tc>
          <w:tcPr>
            <w:tcW w:w="303" w:type="pct"/>
            <w:tcBorders>
              <w:top w:val="single" w:color="000000" w:sz="4" w:space="0"/>
              <w:left w:val="single" w:color="000000" w:sz="4" w:space="0"/>
              <w:bottom w:val="single" w:color="000000" w:sz="4" w:space="0"/>
              <w:right w:val="single" w:color="000000" w:sz="4" w:space="0"/>
            </w:tcBorders>
            <w:noWrap/>
            <w:vAlign w:val="center"/>
          </w:tcPr>
          <w:p w14:paraId="4E85BEA6">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5</w:t>
            </w:r>
          </w:p>
        </w:tc>
        <w:tc>
          <w:tcPr>
            <w:tcW w:w="1641" w:type="pct"/>
            <w:tcBorders>
              <w:top w:val="single" w:color="000000" w:sz="4" w:space="0"/>
              <w:left w:val="single" w:color="000000" w:sz="4" w:space="0"/>
              <w:bottom w:val="single" w:color="000000" w:sz="4" w:space="0"/>
              <w:right w:val="single" w:color="000000" w:sz="4" w:space="0"/>
            </w:tcBorders>
            <w:noWrap/>
            <w:vAlign w:val="center"/>
          </w:tcPr>
          <w:p w14:paraId="360C7AFB">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查资料：未按法定采购方式和程序实施采购每次扣2分；未按规定进行政府采购计划备案每次扣2分</w:t>
            </w:r>
          </w:p>
        </w:tc>
        <w:tc>
          <w:tcPr>
            <w:tcW w:w="289" w:type="pct"/>
            <w:tcBorders>
              <w:top w:val="single" w:color="000000" w:sz="4" w:space="0"/>
              <w:left w:val="single" w:color="000000" w:sz="4" w:space="0"/>
              <w:bottom w:val="single" w:color="000000" w:sz="4" w:space="0"/>
              <w:right w:val="single" w:color="000000" w:sz="4" w:space="0"/>
            </w:tcBorders>
            <w:noWrap/>
            <w:vAlign w:val="center"/>
          </w:tcPr>
          <w:p w14:paraId="6C7E29F0">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5</w:t>
            </w:r>
          </w:p>
        </w:tc>
        <w:tc>
          <w:tcPr>
            <w:tcW w:w="240" w:type="pct"/>
            <w:tcBorders>
              <w:top w:val="single" w:color="000000" w:sz="4" w:space="0"/>
              <w:left w:val="single" w:color="000000" w:sz="4" w:space="0"/>
              <w:bottom w:val="single" w:color="000000" w:sz="4" w:space="0"/>
              <w:right w:val="single" w:color="000000" w:sz="4" w:space="0"/>
            </w:tcBorders>
            <w:noWrap/>
            <w:vAlign w:val="center"/>
          </w:tcPr>
          <w:p w14:paraId="1A27277D">
            <w:pPr>
              <w:keepNext w:val="0"/>
              <w:keepLines w:val="0"/>
              <w:suppressLineNumbers w:val="0"/>
              <w:spacing w:before="0" w:beforeAutospacing="0" w:after="0" w:afterAutospacing="0" w:line="320" w:lineRule="exact"/>
              <w:ind w:left="0" w:right="0"/>
              <w:jc w:val="left"/>
              <w:rPr>
                <w:rFonts w:hint="eastAsia" w:ascii="宋体" w:eastAsia="宋体" w:cs="宋体"/>
                <w:b/>
                <w:bCs/>
                <w:color w:val="000000"/>
                <w:sz w:val="20"/>
                <w:szCs w:val="20"/>
              </w:rPr>
            </w:pPr>
          </w:p>
        </w:tc>
      </w:tr>
      <w:tr w14:paraId="0D266013">
        <w:tblPrEx>
          <w:tblCellMar>
            <w:top w:w="0" w:type="dxa"/>
            <w:left w:w="108" w:type="dxa"/>
            <w:bottom w:w="0" w:type="dxa"/>
            <w:right w:w="108" w:type="dxa"/>
          </w:tblCellMar>
        </w:tblPrEx>
        <w:trPr>
          <w:trHeight w:val="397" w:hRule="atLeast"/>
        </w:trPr>
        <w:tc>
          <w:tcPr>
            <w:tcW w:w="405" w:type="pct"/>
            <w:vMerge w:val="continue"/>
            <w:tcBorders>
              <w:top w:val="single" w:color="000000" w:sz="4" w:space="0"/>
              <w:left w:val="single" w:color="000000" w:sz="4" w:space="0"/>
              <w:bottom w:val="nil"/>
              <w:right w:val="single" w:color="000000" w:sz="4" w:space="0"/>
            </w:tcBorders>
            <w:noWrap/>
            <w:vAlign w:val="center"/>
          </w:tcPr>
          <w:p w14:paraId="13F515AE">
            <w:pPr>
              <w:keepNext w:val="0"/>
              <w:keepLines w:val="0"/>
              <w:suppressLineNumbers w:val="0"/>
              <w:spacing w:before="0" w:beforeAutospacing="0" w:after="0" w:afterAutospacing="0" w:line="320" w:lineRule="exact"/>
              <w:ind w:left="0" w:right="0"/>
              <w:jc w:val="left"/>
              <w:rPr>
                <w:rFonts w:hint="default"/>
                <w:sz w:val="20"/>
                <w:szCs w:val="20"/>
              </w:rPr>
            </w:pPr>
          </w:p>
        </w:tc>
        <w:tc>
          <w:tcPr>
            <w:tcW w:w="556" w:type="pct"/>
            <w:tcBorders>
              <w:top w:val="single" w:color="000000" w:sz="4" w:space="0"/>
              <w:left w:val="single" w:color="000000" w:sz="4" w:space="0"/>
              <w:bottom w:val="single" w:color="000000" w:sz="4" w:space="0"/>
              <w:right w:val="single" w:color="000000" w:sz="4" w:space="0"/>
            </w:tcBorders>
            <w:noWrap/>
            <w:vAlign w:val="center"/>
          </w:tcPr>
          <w:p w14:paraId="3E9D87C6">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3.仪器设备定期检定校准</w:t>
            </w:r>
          </w:p>
        </w:tc>
        <w:tc>
          <w:tcPr>
            <w:tcW w:w="1566" w:type="pct"/>
            <w:tcBorders>
              <w:top w:val="single" w:color="000000" w:sz="4" w:space="0"/>
              <w:left w:val="single" w:color="000000" w:sz="4" w:space="0"/>
              <w:bottom w:val="single" w:color="000000" w:sz="4" w:space="0"/>
              <w:right w:val="single" w:color="000000" w:sz="4" w:space="0"/>
            </w:tcBorders>
            <w:noWrap/>
            <w:vAlign w:val="center"/>
          </w:tcPr>
          <w:p w14:paraId="0A5FB70D">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①严格按照《规程》规定进行定期检定校准</w:t>
            </w:r>
          </w:p>
        </w:tc>
        <w:tc>
          <w:tcPr>
            <w:tcW w:w="303" w:type="pct"/>
            <w:tcBorders>
              <w:top w:val="single" w:color="000000" w:sz="4" w:space="0"/>
              <w:left w:val="single" w:color="000000" w:sz="4" w:space="0"/>
              <w:bottom w:val="single" w:color="000000" w:sz="4" w:space="0"/>
              <w:right w:val="single" w:color="000000" w:sz="4" w:space="0"/>
            </w:tcBorders>
            <w:noWrap/>
            <w:vAlign w:val="center"/>
          </w:tcPr>
          <w:p w14:paraId="09358F9D">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5</w:t>
            </w:r>
          </w:p>
        </w:tc>
        <w:tc>
          <w:tcPr>
            <w:tcW w:w="1641" w:type="pct"/>
            <w:tcBorders>
              <w:top w:val="single" w:color="000000" w:sz="4" w:space="0"/>
              <w:left w:val="single" w:color="000000" w:sz="4" w:space="0"/>
              <w:bottom w:val="single" w:color="000000" w:sz="4" w:space="0"/>
              <w:right w:val="single" w:color="000000" w:sz="4" w:space="0"/>
            </w:tcBorders>
            <w:noWrap/>
            <w:vAlign w:val="center"/>
          </w:tcPr>
          <w:p w14:paraId="599A72DD">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查现场和资料</w:t>
            </w:r>
            <w:r>
              <w:rPr>
                <w:rFonts w:hint="eastAsia" w:ascii="宋体" w:cs="宋体"/>
                <w:color w:val="000000"/>
                <w:kern w:val="0"/>
                <w:sz w:val="20"/>
                <w:szCs w:val="20"/>
                <w:lang w:eastAsia="zh-CN"/>
              </w:rPr>
              <w:t>：</w:t>
            </w:r>
            <w:r>
              <w:rPr>
                <w:rFonts w:hint="eastAsia" w:ascii="宋体" w:eastAsia="宋体" w:cs="宋体"/>
                <w:color w:val="000000"/>
                <w:kern w:val="0"/>
                <w:sz w:val="20"/>
                <w:szCs w:val="20"/>
              </w:rPr>
              <w:t>未进行测定或测定存在的隐患未有整改措施的扣1分</w:t>
            </w:r>
            <w:r>
              <w:rPr>
                <w:rFonts w:hint="eastAsia" w:ascii="宋体" w:cs="宋体"/>
                <w:color w:val="000000"/>
                <w:kern w:val="0"/>
                <w:sz w:val="20"/>
                <w:szCs w:val="20"/>
                <w:lang w:eastAsia="zh-CN"/>
              </w:rPr>
              <w:t>：</w:t>
            </w:r>
            <w:r>
              <w:rPr>
                <w:rFonts w:hint="eastAsia" w:ascii="宋体" w:eastAsia="宋体" w:cs="宋体"/>
                <w:color w:val="000000"/>
                <w:kern w:val="0"/>
                <w:sz w:val="20"/>
                <w:szCs w:val="20"/>
              </w:rPr>
              <w:t>没有或检测报告不全的，每处</w:t>
            </w:r>
            <w:r>
              <w:rPr>
                <w:rFonts w:hint="eastAsia" w:ascii="宋体" w:cs="宋体"/>
                <w:color w:val="000000"/>
                <w:kern w:val="0"/>
                <w:sz w:val="20"/>
                <w:szCs w:val="20"/>
                <w:lang w:eastAsia="zh-CN"/>
              </w:rPr>
              <w:t>（</w:t>
            </w:r>
            <w:r>
              <w:rPr>
                <w:rFonts w:hint="eastAsia" w:ascii="宋体" w:eastAsia="宋体" w:cs="宋体"/>
                <w:color w:val="000000"/>
                <w:kern w:val="0"/>
                <w:sz w:val="20"/>
                <w:szCs w:val="20"/>
              </w:rPr>
              <w:t>项)扣0. 1分。</w:t>
            </w:r>
          </w:p>
        </w:tc>
        <w:tc>
          <w:tcPr>
            <w:tcW w:w="289" w:type="pct"/>
            <w:tcBorders>
              <w:top w:val="single" w:color="000000" w:sz="4" w:space="0"/>
              <w:left w:val="single" w:color="000000" w:sz="4" w:space="0"/>
              <w:bottom w:val="single" w:color="000000" w:sz="4" w:space="0"/>
              <w:right w:val="single" w:color="000000" w:sz="4" w:space="0"/>
            </w:tcBorders>
            <w:noWrap/>
            <w:vAlign w:val="center"/>
          </w:tcPr>
          <w:p w14:paraId="692B6393">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5</w:t>
            </w:r>
          </w:p>
        </w:tc>
        <w:tc>
          <w:tcPr>
            <w:tcW w:w="240" w:type="pct"/>
            <w:tcBorders>
              <w:top w:val="single" w:color="000000" w:sz="4" w:space="0"/>
              <w:left w:val="single" w:color="000000" w:sz="4" w:space="0"/>
              <w:bottom w:val="single" w:color="000000" w:sz="4" w:space="0"/>
              <w:right w:val="single" w:color="000000" w:sz="4" w:space="0"/>
            </w:tcBorders>
            <w:noWrap/>
            <w:vAlign w:val="center"/>
          </w:tcPr>
          <w:p w14:paraId="7D6EEFC8">
            <w:pPr>
              <w:keepNext w:val="0"/>
              <w:keepLines w:val="0"/>
              <w:suppressLineNumbers w:val="0"/>
              <w:spacing w:before="0" w:beforeAutospacing="0" w:after="0" w:afterAutospacing="0" w:line="320" w:lineRule="exact"/>
              <w:ind w:left="0" w:right="0"/>
              <w:jc w:val="left"/>
              <w:rPr>
                <w:rFonts w:hint="eastAsia" w:ascii="宋体" w:eastAsia="宋体" w:cs="宋体"/>
                <w:b/>
                <w:bCs/>
                <w:color w:val="000000"/>
                <w:sz w:val="20"/>
                <w:szCs w:val="20"/>
              </w:rPr>
            </w:pPr>
          </w:p>
        </w:tc>
      </w:tr>
      <w:tr w14:paraId="24E07FD5">
        <w:tblPrEx>
          <w:tblCellMar>
            <w:top w:w="0" w:type="dxa"/>
            <w:left w:w="108" w:type="dxa"/>
            <w:bottom w:w="0" w:type="dxa"/>
            <w:right w:w="108" w:type="dxa"/>
          </w:tblCellMar>
        </w:tblPrEx>
        <w:trPr>
          <w:trHeight w:val="397" w:hRule="atLeast"/>
        </w:trPr>
        <w:tc>
          <w:tcPr>
            <w:tcW w:w="405" w:type="pct"/>
            <w:vMerge w:val="continue"/>
            <w:tcBorders>
              <w:top w:val="single" w:color="000000" w:sz="4" w:space="0"/>
              <w:left w:val="single" w:color="000000" w:sz="4" w:space="0"/>
              <w:bottom w:val="nil"/>
              <w:right w:val="single" w:color="000000" w:sz="4" w:space="0"/>
            </w:tcBorders>
            <w:noWrap/>
            <w:vAlign w:val="center"/>
          </w:tcPr>
          <w:p w14:paraId="2CEC5A71">
            <w:pPr>
              <w:keepNext w:val="0"/>
              <w:keepLines w:val="0"/>
              <w:suppressLineNumbers w:val="0"/>
              <w:spacing w:before="0" w:beforeAutospacing="0" w:after="0" w:afterAutospacing="0" w:line="320" w:lineRule="exact"/>
              <w:ind w:left="0" w:right="0"/>
              <w:jc w:val="left"/>
              <w:rPr>
                <w:rFonts w:hint="default"/>
                <w:sz w:val="20"/>
                <w:szCs w:val="20"/>
              </w:rPr>
            </w:pPr>
          </w:p>
        </w:tc>
        <w:tc>
          <w:tcPr>
            <w:tcW w:w="556" w:type="pct"/>
            <w:tcBorders>
              <w:top w:val="single" w:color="000000" w:sz="4" w:space="0"/>
              <w:left w:val="single" w:color="000000" w:sz="4" w:space="0"/>
              <w:bottom w:val="single" w:color="000000" w:sz="4" w:space="0"/>
              <w:right w:val="single" w:color="000000" w:sz="4" w:space="0"/>
            </w:tcBorders>
            <w:noWrap/>
            <w:vAlign w:val="center"/>
          </w:tcPr>
          <w:p w14:paraId="4E1370ED">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4.工作创新情况</w:t>
            </w:r>
          </w:p>
        </w:tc>
        <w:tc>
          <w:tcPr>
            <w:tcW w:w="1566" w:type="pct"/>
            <w:tcBorders>
              <w:top w:val="single" w:color="000000" w:sz="4" w:space="0"/>
              <w:left w:val="single" w:color="000000" w:sz="4" w:space="0"/>
              <w:bottom w:val="single" w:color="000000" w:sz="4" w:space="0"/>
              <w:right w:val="single" w:color="000000" w:sz="4" w:space="0"/>
            </w:tcBorders>
            <w:noWrap/>
            <w:vAlign w:val="center"/>
          </w:tcPr>
          <w:p w14:paraId="08E9E577">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资产再利用</w:t>
            </w:r>
          </w:p>
        </w:tc>
        <w:tc>
          <w:tcPr>
            <w:tcW w:w="303" w:type="pct"/>
            <w:tcBorders>
              <w:top w:val="single" w:color="000000" w:sz="4" w:space="0"/>
              <w:left w:val="single" w:color="000000" w:sz="4" w:space="0"/>
              <w:bottom w:val="single" w:color="000000" w:sz="4" w:space="0"/>
              <w:right w:val="single" w:color="000000" w:sz="4" w:space="0"/>
            </w:tcBorders>
            <w:noWrap/>
            <w:vAlign w:val="center"/>
          </w:tcPr>
          <w:p w14:paraId="207E4FD5">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5</w:t>
            </w:r>
          </w:p>
        </w:tc>
        <w:tc>
          <w:tcPr>
            <w:tcW w:w="1641" w:type="pct"/>
            <w:tcBorders>
              <w:top w:val="single" w:color="000000" w:sz="4" w:space="0"/>
              <w:left w:val="single" w:color="000000" w:sz="4" w:space="0"/>
              <w:bottom w:val="single" w:color="000000" w:sz="4" w:space="0"/>
              <w:right w:val="single" w:color="000000" w:sz="4" w:space="0"/>
            </w:tcBorders>
            <w:noWrap/>
            <w:vAlign w:val="center"/>
          </w:tcPr>
          <w:p w14:paraId="6CC17267">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开展小改小革、修旧利废、变废为宝；积极调拔利用闲置资产。</w:t>
            </w:r>
          </w:p>
        </w:tc>
        <w:tc>
          <w:tcPr>
            <w:tcW w:w="289" w:type="pct"/>
            <w:tcBorders>
              <w:top w:val="single" w:color="000000" w:sz="4" w:space="0"/>
              <w:left w:val="single" w:color="000000" w:sz="4" w:space="0"/>
              <w:bottom w:val="single" w:color="000000" w:sz="4" w:space="0"/>
              <w:right w:val="single" w:color="000000" w:sz="4" w:space="0"/>
            </w:tcBorders>
            <w:noWrap/>
            <w:vAlign w:val="center"/>
          </w:tcPr>
          <w:p w14:paraId="4686577B">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5</w:t>
            </w:r>
          </w:p>
        </w:tc>
        <w:tc>
          <w:tcPr>
            <w:tcW w:w="240" w:type="pct"/>
            <w:tcBorders>
              <w:top w:val="single" w:color="000000" w:sz="4" w:space="0"/>
              <w:left w:val="single" w:color="000000" w:sz="4" w:space="0"/>
              <w:bottom w:val="single" w:color="000000" w:sz="4" w:space="0"/>
              <w:right w:val="single" w:color="000000" w:sz="4" w:space="0"/>
            </w:tcBorders>
            <w:noWrap/>
            <w:vAlign w:val="center"/>
          </w:tcPr>
          <w:p w14:paraId="696156D2">
            <w:pPr>
              <w:keepNext w:val="0"/>
              <w:keepLines w:val="0"/>
              <w:suppressLineNumbers w:val="0"/>
              <w:spacing w:before="0" w:beforeAutospacing="0" w:after="0" w:afterAutospacing="0" w:line="320" w:lineRule="exact"/>
              <w:ind w:left="0" w:right="0"/>
              <w:jc w:val="left"/>
              <w:rPr>
                <w:rFonts w:hint="eastAsia" w:ascii="宋体" w:eastAsia="宋体" w:cs="宋体"/>
                <w:b/>
                <w:bCs/>
                <w:color w:val="000000"/>
                <w:sz w:val="20"/>
                <w:szCs w:val="20"/>
              </w:rPr>
            </w:pPr>
          </w:p>
        </w:tc>
      </w:tr>
      <w:tr w14:paraId="4E8A8344">
        <w:tblPrEx>
          <w:tblCellMar>
            <w:top w:w="0" w:type="dxa"/>
            <w:left w:w="108" w:type="dxa"/>
            <w:bottom w:w="0" w:type="dxa"/>
            <w:right w:w="108" w:type="dxa"/>
          </w:tblCellMar>
        </w:tblPrEx>
        <w:trPr>
          <w:trHeight w:val="397" w:hRule="atLeast"/>
        </w:trPr>
        <w:tc>
          <w:tcPr>
            <w:tcW w:w="4471" w:type="pct"/>
            <w:gridSpan w:val="5"/>
            <w:tcBorders>
              <w:top w:val="single" w:color="000000" w:sz="4" w:space="0"/>
              <w:left w:val="single" w:color="000000" w:sz="4" w:space="0"/>
              <w:bottom w:val="single" w:color="000000" w:sz="4" w:space="0"/>
              <w:right w:val="single" w:color="000000" w:sz="4" w:space="0"/>
            </w:tcBorders>
            <w:noWrap/>
            <w:vAlign w:val="center"/>
          </w:tcPr>
          <w:p w14:paraId="25DB1220">
            <w:pPr>
              <w:keepNext w:val="0"/>
              <w:keepLines w:val="0"/>
              <w:suppressLineNumbers w:val="0"/>
              <w:spacing w:before="0" w:beforeAutospacing="0" w:after="0" w:afterAutospacing="0" w:line="320" w:lineRule="exact"/>
              <w:ind w:left="0" w:right="0"/>
              <w:jc w:val="left"/>
              <w:textAlignment w:val="center"/>
              <w:rPr>
                <w:rFonts w:hint="eastAsia" w:ascii="宋体" w:eastAsia="宋体" w:cs="宋体"/>
                <w:b/>
                <w:bCs/>
                <w:color w:val="000000"/>
                <w:sz w:val="20"/>
                <w:szCs w:val="20"/>
              </w:rPr>
            </w:pPr>
            <w:r>
              <w:rPr>
                <w:rFonts w:hint="eastAsia" w:ascii="宋体" w:eastAsia="宋体" w:cs="宋体"/>
                <w:b/>
                <w:bCs/>
                <w:color w:val="000000"/>
                <w:kern w:val="0"/>
                <w:sz w:val="20"/>
                <w:szCs w:val="20"/>
              </w:rPr>
              <w:t>总分</w:t>
            </w:r>
          </w:p>
        </w:tc>
        <w:tc>
          <w:tcPr>
            <w:tcW w:w="289" w:type="pct"/>
            <w:tcBorders>
              <w:top w:val="single" w:color="000000" w:sz="4" w:space="0"/>
              <w:left w:val="single" w:color="000000" w:sz="4" w:space="0"/>
              <w:bottom w:val="single" w:color="000000" w:sz="4" w:space="0"/>
              <w:right w:val="single" w:color="000000" w:sz="4" w:space="0"/>
            </w:tcBorders>
            <w:noWrap/>
            <w:vAlign w:val="center"/>
          </w:tcPr>
          <w:p w14:paraId="1C299E27">
            <w:pPr>
              <w:keepNext w:val="0"/>
              <w:keepLines w:val="0"/>
              <w:suppressLineNumbers w:val="0"/>
              <w:spacing w:before="0" w:beforeAutospacing="0" w:after="0" w:afterAutospacing="0" w:line="320" w:lineRule="exact"/>
              <w:ind w:left="0" w:right="0"/>
              <w:jc w:val="left"/>
              <w:textAlignment w:val="center"/>
              <w:rPr>
                <w:rFonts w:hint="default" w:ascii="宋体" w:eastAsia="宋体" w:cs="宋体"/>
                <w:b/>
                <w:bCs/>
                <w:color w:val="000000"/>
                <w:sz w:val="20"/>
                <w:szCs w:val="20"/>
              </w:rPr>
            </w:pPr>
            <w:r>
              <w:rPr>
                <w:rFonts w:hint="eastAsia" w:ascii="宋体" w:eastAsia="宋体" w:cs="宋体"/>
                <w:b/>
                <w:bCs/>
                <w:color w:val="000000"/>
                <w:kern w:val="0"/>
                <w:sz w:val="20"/>
                <w:szCs w:val="20"/>
              </w:rPr>
              <w:t>97</w:t>
            </w:r>
          </w:p>
        </w:tc>
        <w:tc>
          <w:tcPr>
            <w:tcW w:w="240" w:type="pct"/>
            <w:tcBorders>
              <w:top w:val="single" w:color="000000" w:sz="4" w:space="0"/>
              <w:left w:val="single" w:color="000000" w:sz="4" w:space="0"/>
              <w:bottom w:val="single" w:color="000000" w:sz="4" w:space="0"/>
              <w:right w:val="single" w:color="000000" w:sz="4" w:space="0"/>
            </w:tcBorders>
            <w:noWrap/>
            <w:vAlign w:val="center"/>
          </w:tcPr>
          <w:p w14:paraId="258941EC">
            <w:pPr>
              <w:keepNext w:val="0"/>
              <w:keepLines w:val="0"/>
              <w:suppressLineNumbers w:val="0"/>
              <w:spacing w:before="0" w:beforeAutospacing="0" w:after="0" w:afterAutospacing="0" w:line="320" w:lineRule="exact"/>
              <w:ind w:left="0" w:right="0"/>
              <w:jc w:val="left"/>
              <w:rPr>
                <w:rFonts w:hint="eastAsia" w:ascii="宋体" w:eastAsia="宋体" w:cs="宋体"/>
                <w:color w:val="000000"/>
                <w:sz w:val="20"/>
                <w:szCs w:val="20"/>
              </w:rPr>
            </w:pPr>
          </w:p>
        </w:tc>
      </w:tr>
    </w:tbl>
    <w:p w14:paraId="72B713D1">
      <w:pPr>
        <w:kinsoku w:val="0"/>
        <w:autoSpaceDE w:val="0"/>
        <w:autoSpaceDN w:val="0"/>
        <w:adjustRightInd w:val="0"/>
        <w:snapToGrid w:val="0"/>
        <w:spacing w:line="576" w:lineRule="exact"/>
        <w:ind w:firstLine="420" w:firstLineChars="200"/>
        <w:textAlignment w:val="baseline"/>
        <w:rPr>
          <w:rFonts w:ascii="仿宋_GB2312" w:cs="宋体"/>
          <w:color w:val="000000"/>
          <w:kern w:val="0"/>
          <w:szCs w:val="32"/>
        </w:rPr>
        <w:sectPr>
          <w:pgSz w:w="16838" w:h="11906" w:orient="landscape"/>
          <w:pgMar w:top="1588" w:right="2098" w:bottom="1474" w:left="1701" w:header="851" w:footer="1418" w:gutter="0"/>
          <w:pgNumType w:fmt="decimal"/>
          <w:cols w:space="720" w:num="1"/>
          <w:docGrid w:type="linesAndChars" w:linePitch="435" w:charSpace="0"/>
        </w:sectPr>
      </w:pPr>
    </w:p>
    <w:p w14:paraId="2469FD6F">
      <w:pPr>
        <w:adjustRightInd w:val="0"/>
        <w:snapToGrid w:val="0"/>
        <w:spacing w:line="576" w:lineRule="exact"/>
        <w:ind w:firstLine="640" w:firstLineChars="200"/>
        <w:contextualSpacing/>
        <w:rPr>
          <w:rFonts w:ascii="Times New Roman" w:hAnsi="Times New Roman" w:eastAsia="楷体_GB2312" w:cs="Times New Roman"/>
          <w:sz w:val="32"/>
          <w:szCs w:val="32"/>
          <w:lang w:val="zh-CN"/>
        </w:rPr>
      </w:pPr>
      <w:r>
        <w:rPr>
          <w:rFonts w:ascii="Times New Roman" w:hAnsi="Times New Roman" w:eastAsia="楷体_GB2312" w:cs="Times New Roman"/>
          <w:sz w:val="32"/>
          <w:szCs w:val="32"/>
          <w:lang w:val="zh-CN"/>
        </w:rPr>
        <w:t>（四）绩效结果应用情况</w:t>
      </w:r>
    </w:p>
    <w:p w14:paraId="5B28241A">
      <w:pPr>
        <w:adjustRightInd w:val="0"/>
        <w:snapToGrid w:val="0"/>
        <w:spacing w:line="576" w:lineRule="exact"/>
        <w:ind w:firstLine="640" w:firstLineChars="200"/>
        <w:contextualSpacing/>
        <w:rPr>
          <w:rFonts w:hint="eastAsia" w:ascii="仿宋_GB2312" w:hAnsi="Times New Roman" w:eastAsia="仿宋_GB2312" w:cs="宋体"/>
          <w:color w:val="000000"/>
          <w:kern w:val="0"/>
          <w:sz w:val="32"/>
          <w:szCs w:val="32"/>
          <w:shd w:val="clear" w:color="auto" w:fill="FFFFFF"/>
          <w:lang w:val="zh-CN"/>
        </w:rPr>
      </w:pPr>
      <w:r>
        <w:rPr>
          <w:rFonts w:hint="eastAsia" w:ascii="仿宋_GB2312" w:hAnsi="Times New Roman" w:eastAsia="仿宋_GB2312" w:cs="宋体"/>
          <w:color w:val="000000"/>
          <w:kern w:val="0"/>
          <w:sz w:val="32"/>
          <w:szCs w:val="32"/>
          <w:shd w:val="clear" w:color="auto" w:fill="FFFFFF"/>
          <w:lang w:val="zh-CN"/>
        </w:rPr>
        <w:t>按照《广元市市级财政预算结果应用管理办法》相关规定和要求，我委在年初预算公开时同时将绩效目标同步在政府门户网站、委网站上公开，接受社会监督。积极参与市财政绩效中心聘请的专家对全市重点项目经费绩效指标设定指导，2023年我委无项目经费绩效指标整改情况。</w:t>
      </w:r>
    </w:p>
    <w:p w14:paraId="657C762D">
      <w:pPr>
        <w:adjustRightInd w:val="0"/>
        <w:snapToGrid w:val="0"/>
        <w:spacing w:line="576" w:lineRule="exact"/>
        <w:ind w:firstLine="640" w:firstLineChars="200"/>
        <w:contextualSpacing/>
        <w:jc w:val="left"/>
        <w:rPr>
          <w:rFonts w:ascii="Times New Roman" w:hAnsi="Times New Roman" w:eastAsia="黑体" w:cs="Times New Roman"/>
          <w:color w:val="000000"/>
          <w:kern w:val="0"/>
          <w:sz w:val="32"/>
          <w:szCs w:val="32"/>
          <w:shd w:val="clear" w:color="auto" w:fill="FFFFFF"/>
        </w:rPr>
      </w:pPr>
      <w:r>
        <w:rPr>
          <w:rFonts w:ascii="Times New Roman" w:hAnsi="Times New Roman" w:eastAsia="黑体" w:cs="Times New Roman"/>
          <w:color w:val="000000"/>
          <w:kern w:val="0"/>
          <w:sz w:val="32"/>
          <w:szCs w:val="32"/>
          <w:shd w:val="clear" w:color="auto" w:fill="FFFFFF"/>
        </w:rPr>
        <w:t>四、评价结论及建议</w:t>
      </w:r>
    </w:p>
    <w:p w14:paraId="2F48DB90">
      <w:pPr>
        <w:adjustRightInd w:val="0"/>
        <w:snapToGrid w:val="0"/>
        <w:spacing w:line="576" w:lineRule="exact"/>
        <w:ind w:firstLine="640" w:firstLineChars="200"/>
        <w:contextualSpacing/>
        <w:rPr>
          <w:rFonts w:ascii="Times New Roman" w:hAnsi="Times New Roman" w:eastAsia="楷体_GB2312" w:cs="Times New Roman"/>
          <w:color w:val="000000"/>
          <w:kern w:val="0"/>
          <w:sz w:val="32"/>
          <w:szCs w:val="32"/>
          <w:shd w:val="clear" w:color="auto" w:fill="FFFFFF"/>
          <w:lang w:val="zh-CN"/>
        </w:rPr>
      </w:pPr>
      <w:r>
        <w:rPr>
          <w:rFonts w:ascii="Times New Roman" w:hAnsi="Times New Roman" w:eastAsia="楷体_GB2312" w:cs="Times New Roman"/>
          <w:color w:val="000000"/>
          <w:kern w:val="0"/>
          <w:sz w:val="32"/>
          <w:szCs w:val="32"/>
          <w:shd w:val="clear" w:color="auto" w:fill="FFFFFF"/>
          <w:lang w:val="zh-CN"/>
        </w:rPr>
        <w:t>（一）评价结论</w:t>
      </w:r>
    </w:p>
    <w:p w14:paraId="5DCFF8BA">
      <w:pPr>
        <w:adjustRightInd w:val="0"/>
        <w:snapToGrid w:val="0"/>
        <w:spacing w:line="576" w:lineRule="exact"/>
        <w:ind w:firstLine="640" w:firstLineChars="200"/>
        <w:contextualSpacing/>
        <w:rPr>
          <w:rFonts w:hint="eastAsia" w:ascii="仿宋_GB2312" w:hAnsi="Times New Roman" w:eastAsia="仿宋_GB2312" w:cs="宋体"/>
          <w:kern w:val="0"/>
          <w:sz w:val="32"/>
          <w:szCs w:val="32"/>
          <w:shd w:val="clear" w:color="auto" w:fill="FFFFFF"/>
          <w:lang w:val="zh-CN"/>
        </w:rPr>
      </w:pPr>
      <w:r>
        <w:rPr>
          <w:rFonts w:hint="eastAsia" w:ascii="仿宋_GB2312" w:hAnsi="Times New Roman" w:eastAsia="仿宋_GB2312" w:cs="宋体"/>
          <w:kern w:val="0"/>
          <w:sz w:val="32"/>
          <w:szCs w:val="32"/>
          <w:shd w:val="clear" w:color="auto" w:fill="FFFFFF"/>
          <w:lang w:val="zh-CN"/>
        </w:rPr>
        <w:t>经自评，我委2023年部门年整体支出绩效评价得分93.18分，其中总体绩效得分59.69分；项目绩效33.49；无扣分项</w:t>
      </w:r>
      <w:r>
        <w:rPr>
          <w:rFonts w:hint="eastAsia" w:ascii="仿宋_GB2312" w:eastAsia="仿宋_GB2312" w:cs="宋体"/>
          <w:kern w:val="0"/>
          <w:sz w:val="32"/>
          <w:szCs w:val="32"/>
          <w:shd w:val="clear" w:color="auto" w:fill="FFFFFF"/>
          <w:lang w:val="zh-CN"/>
        </w:rPr>
        <w:t>（</w:t>
      </w:r>
      <w:r>
        <w:rPr>
          <w:rFonts w:hint="eastAsia" w:ascii="仿宋_GB2312" w:hAnsi="Times New Roman" w:eastAsia="仿宋_GB2312" w:cs="宋体"/>
          <w:kern w:val="0"/>
          <w:sz w:val="32"/>
          <w:szCs w:val="32"/>
          <w:shd w:val="clear" w:color="auto" w:fill="FFFFFF"/>
          <w:lang w:val="zh-CN"/>
        </w:rPr>
        <w:t>详见附表2）。</w:t>
      </w:r>
    </w:p>
    <w:p w14:paraId="2A817F06">
      <w:pPr>
        <w:adjustRightInd w:val="0"/>
        <w:snapToGrid w:val="0"/>
        <w:spacing w:line="576" w:lineRule="exact"/>
        <w:ind w:firstLine="640" w:firstLineChars="200"/>
        <w:contextualSpacing/>
        <w:rPr>
          <w:rFonts w:ascii="Times New Roman" w:hAnsi="Times New Roman" w:eastAsia="楷体_GB2312" w:cs="Times New Roman"/>
          <w:color w:val="000000"/>
          <w:kern w:val="0"/>
          <w:sz w:val="32"/>
          <w:szCs w:val="32"/>
          <w:shd w:val="clear" w:color="auto" w:fill="FFFFFF"/>
          <w:lang w:val="zh-CN"/>
        </w:rPr>
      </w:pPr>
      <w:r>
        <w:rPr>
          <w:rFonts w:ascii="Times New Roman" w:hAnsi="Times New Roman" w:eastAsia="楷体_GB2312" w:cs="Times New Roman"/>
          <w:color w:val="000000"/>
          <w:kern w:val="0"/>
          <w:sz w:val="32"/>
          <w:szCs w:val="32"/>
          <w:shd w:val="clear" w:color="auto" w:fill="FFFFFF"/>
          <w:lang w:val="zh-CN"/>
        </w:rPr>
        <w:t>（二）存在问题</w:t>
      </w:r>
    </w:p>
    <w:p w14:paraId="0ABAC6B3">
      <w:pPr>
        <w:adjustRightInd w:val="0"/>
        <w:snapToGrid w:val="0"/>
        <w:spacing w:line="576" w:lineRule="exact"/>
        <w:ind w:firstLine="640" w:firstLineChars="200"/>
        <w:contextualSpacing/>
        <w:jc w:val="left"/>
        <w:rPr>
          <w:rFonts w:hint="eastAsia" w:ascii="仿宋_GB2312" w:hAnsi="Times New Roman" w:eastAsia="仿宋_GB2312" w:cs="仿宋_GB2312"/>
          <w:kern w:val="0"/>
          <w:sz w:val="32"/>
          <w:szCs w:val="32"/>
          <w:lang w:val="zh-CN"/>
        </w:rPr>
      </w:pPr>
      <w:r>
        <w:rPr>
          <w:rFonts w:hint="eastAsia" w:ascii="Times New Roman" w:hAnsi="Times New Roman" w:eastAsia="楷体_GB2312" w:cs="Times New Roman"/>
          <w:color w:val="000000"/>
          <w:kern w:val="0"/>
          <w:sz w:val="32"/>
          <w:szCs w:val="32"/>
          <w:shd w:val="clear" w:color="auto" w:fill="FFFFFF"/>
          <w:lang w:val="zh-CN"/>
        </w:rPr>
        <w:t>一是</w:t>
      </w:r>
      <w:r>
        <w:rPr>
          <w:rFonts w:hint="eastAsia" w:ascii="仿宋_GB2312" w:hAnsi="Times New Roman" w:eastAsia="仿宋_GB2312" w:cs="仿宋_GB2312"/>
          <w:kern w:val="0"/>
          <w:sz w:val="32"/>
          <w:szCs w:val="32"/>
          <w:lang w:val="zh-CN"/>
        </w:rPr>
        <w:t>年初预算的编制较为精细，按照费用支出的使用范围和内容，进行了类、款、项三个层级的明细预算，进行了基本支出、项目支出的严格区分，同时在基本支出和项目支出中又进行了更为明细的预算，并按照预算的最末级明细进行预算支出管理，专款专用。但对于追加的项目支出、上年结余结转的项目资金，没有进行预算分解，编制明细预算，因此涉及上年结转和追加预算的项目支出的预算管理均仅从总额进行控制，不便于对其进行精细化的预算管理和分析评价；</w:t>
      </w:r>
      <w:r>
        <w:rPr>
          <w:rFonts w:hint="eastAsia" w:ascii="Times New Roman" w:hAnsi="Times New Roman" w:eastAsia="楷体_GB2312" w:cs="Times New Roman"/>
          <w:color w:val="000000"/>
          <w:kern w:val="0"/>
          <w:sz w:val="32"/>
          <w:szCs w:val="32"/>
          <w:shd w:val="clear" w:color="auto" w:fill="FFFFFF"/>
          <w:lang w:val="zh-CN"/>
        </w:rPr>
        <w:t>二是</w:t>
      </w:r>
      <w:r>
        <w:rPr>
          <w:rFonts w:hint="eastAsia" w:ascii="仿宋_GB2312" w:hAnsi="Times New Roman" w:eastAsia="仿宋_GB2312" w:cs="仿宋_GB2312"/>
          <w:kern w:val="0"/>
          <w:sz w:val="32"/>
          <w:szCs w:val="32"/>
          <w:lang w:val="zh-CN"/>
        </w:rPr>
        <w:t>个别项目经费受不可控因素影响，当年无法全面完成支付，需跨年度继续执行，故执行率达不到预期。</w:t>
      </w:r>
    </w:p>
    <w:p w14:paraId="6B0D314F">
      <w:pPr>
        <w:adjustRightInd w:val="0"/>
        <w:snapToGrid w:val="0"/>
        <w:spacing w:line="576" w:lineRule="exact"/>
        <w:ind w:firstLine="640" w:firstLineChars="200"/>
        <w:contextualSpacing/>
        <w:jc w:val="left"/>
        <w:rPr>
          <w:rFonts w:ascii="Times New Roman" w:hAnsi="Times New Roman" w:eastAsia="楷体_GB2312" w:cs="Times New Roman"/>
          <w:color w:val="000000"/>
          <w:kern w:val="0"/>
          <w:sz w:val="32"/>
          <w:szCs w:val="32"/>
          <w:shd w:val="clear" w:color="auto" w:fill="FFFFFF"/>
          <w:lang w:val="zh-CN"/>
        </w:rPr>
      </w:pPr>
      <w:r>
        <w:rPr>
          <w:rFonts w:ascii="Times New Roman" w:hAnsi="Times New Roman" w:eastAsia="楷体_GB2312" w:cs="Times New Roman"/>
          <w:color w:val="000000"/>
          <w:kern w:val="0"/>
          <w:sz w:val="32"/>
          <w:szCs w:val="32"/>
          <w:shd w:val="clear" w:color="auto" w:fill="FFFFFF"/>
          <w:lang w:val="zh-CN"/>
        </w:rPr>
        <w:t>（三）改进建议</w:t>
      </w:r>
    </w:p>
    <w:p w14:paraId="4986FA16">
      <w:pPr>
        <w:adjustRightInd w:val="0"/>
        <w:snapToGrid w:val="0"/>
        <w:spacing w:line="576" w:lineRule="exact"/>
        <w:ind w:firstLine="640" w:firstLineChars="200"/>
        <w:contextualSpacing/>
        <w:jc w:val="left"/>
        <w:rPr>
          <w:rFonts w:hint="eastAsia" w:ascii="仿宋_GB2312" w:hAnsi="Times New Roman" w:eastAsia="仿宋_GB2312" w:cs="仿宋_GB2312"/>
          <w:kern w:val="0"/>
          <w:sz w:val="32"/>
          <w:szCs w:val="32"/>
          <w:lang w:val="zh-CN"/>
        </w:rPr>
      </w:pPr>
      <w:r>
        <w:rPr>
          <w:rFonts w:hint="eastAsia" w:ascii="Times New Roman" w:hAnsi="Times New Roman" w:eastAsia="楷体_GB2312" w:cs="Times New Roman"/>
          <w:color w:val="000000"/>
          <w:kern w:val="0"/>
          <w:sz w:val="32"/>
          <w:szCs w:val="32"/>
          <w:shd w:val="clear" w:color="auto" w:fill="FFFFFF"/>
          <w:lang w:val="zh-CN"/>
        </w:rPr>
        <w:t>一是</w:t>
      </w:r>
      <w:r>
        <w:rPr>
          <w:rFonts w:hint="eastAsia" w:ascii="仿宋_GB2312" w:hAnsi="Times New Roman" w:eastAsia="仿宋_GB2312" w:cs="仿宋_GB2312"/>
          <w:kern w:val="0"/>
          <w:sz w:val="32"/>
          <w:szCs w:val="32"/>
          <w:lang w:val="zh-CN"/>
        </w:rPr>
        <w:t>细化预算编制工作，认真做好预算的编制。严格按照预算编制的相关制度和要求进行预算的编制;编制范围尽可能的全面、不漏项，进一步提高预算编制的科学性、合理性、严谨性和可控性；</w:t>
      </w:r>
      <w:r>
        <w:rPr>
          <w:rFonts w:hint="eastAsia" w:ascii="Times New Roman" w:hAnsi="Times New Roman" w:eastAsia="楷体_GB2312" w:cs="Times New Roman"/>
          <w:color w:val="000000"/>
          <w:kern w:val="0"/>
          <w:sz w:val="32"/>
          <w:szCs w:val="32"/>
          <w:shd w:val="clear" w:color="auto" w:fill="FFFFFF"/>
          <w:lang w:val="zh-CN"/>
        </w:rPr>
        <w:t>二是</w:t>
      </w:r>
      <w:r>
        <w:rPr>
          <w:rFonts w:hint="eastAsia" w:ascii="仿宋_GB2312" w:hAnsi="Times New Roman" w:eastAsia="仿宋_GB2312" w:cs="仿宋_GB2312"/>
          <w:kern w:val="0"/>
          <w:sz w:val="32"/>
          <w:szCs w:val="32"/>
          <w:lang w:val="zh-CN"/>
        </w:rPr>
        <w:t>在日常预算管理过程中，进一步加强支出的审核、跟踪及预算执行情况分析，加快经费执行进度，确保财政预算项目经费发挥积极作用，并达到实效。</w:t>
      </w:r>
    </w:p>
    <w:p w14:paraId="1FAB36AD">
      <w:pPr>
        <w:pStyle w:val="19"/>
        <w:spacing w:after="120"/>
        <w:ind w:left="0" w:leftChars="0" w:firstLine="640" w:firstLineChars="200"/>
        <w:rPr>
          <w:rFonts w:hint="eastAsia" w:ascii="仿宋_GB2312" w:hAnsi="Times New Roman" w:eastAsia="仿宋_GB2312" w:cs="Times New Roman"/>
          <w:sz w:val="32"/>
          <w:szCs w:val="32"/>
        </w:rPr>
      </w:pPr>
      <w:r>
        <w:rPr>
          <w:rFonts w:ascii="仿宋_GB2312" w:hAnsi="Times New Roman" w:eastAsia="仿宋_GB2312" w:cs="Times New Roman"/>
          <w:sz w:val="32"/>
          <w:szCs w:val="32"/>
        </w:rPr>
        <w:t>此函。</w:t>
      </w:r>
    </w:p>
    <w:p w14:paraId="78560086">
      <w:pPr>
        <w:spacing w:line="576" w:lineRule="exact"/>
        <w:ind w:firstLine="420" w:firstLineChars="200"/>
        <w:rPr>
          <w:color w:val="000000"/>
          <w:kern w:val="0"/>
          <w:szCs w:val="32"/>
          <w:shd w:val="clear" w:color="auto" w:fill="FFFFFF"/>
        </w:rPr>
      </w:pPr>
    </w:p>
    <w:p w14:paraId="31B90BFD">
      <w:pPr>
        <w:spacing w:line="576" w:lineRule="exact"/>
        <w:ind w:firstLine="640" w:firstLineChars="200"/>
        <w:rPr>
          <w:rFonts w:hint="eastAsia" w:ascii="Times New Roman" w:hAnsi="Times New Roman" w:eastAsia="仿宋_GB2312" w:cs="Times New Roman"/>
          <w:color w:val="000000"/>
          <w:kern w:val="0"/>
          <w:sz w:val="32"/>
          <w:szCs w:val="32"/>
          <w:shd w:val="clear" w:color="auto" w:fill="FFFFFF"/>
        </w:rPr>
      </w:pPr>
      <w:r>
        <w:rPr>
          <w:rFonts w:hint="eastAsia" w:ascii="Times New Roman" w:hAnsi="Times New Roman" w:eastAsia="仿宋_GB2312" w:cs="Times New Roman"/>
          <w:color w:val="000000"/>
          <w:kern w:val="0"/>
          <w:sz w:val="32"/>
          <w:szCs w:val="32"/>
          <w:shd w:val="clear" w:color="auto" w:fill="FFFFFF"/>
        </w:rPr>
        <w:t>附表：1.部门整体支出绩效目标完成情况自评表</w:t>
      </w:r>
    </w:p>
    <w:p w14:paraId="4B899F6A">
      <w:pPr>
        <w:spacing w:line="576" w:lineRule="exact"/>
        <w:ind w:firstLine="1600" w:firstLineChars="500"/>
        <w:rPr>
          <w:rFonts w:hint="eastAsia" w:ascii="Times New Roman" w:hAnsi="Times New Roman" w:eastAsia="仿宋_GB2312" w:cs="Times New Roman"/>
          <w:color w:val="000000"/>
          <w:kern w:val="0"/>
          <w:sz w:val="32"/>
          <w:szCs w:val="32"/>
          <w:shd w:val="clear" w:color="auto" w:fill="FFFFFF"/>
        </w:rPr>
      </w:pPr>
      <w:r>
        <w:rPr>
          <w:rFonts w:hint="eastAsia" w:ascii="Times New Roman" w:hAnsi="Times New Roman" w:eastAsia="仿宋_GB2312" w:cs="Times New Roman"/>
          <w:color w:val="000000"/>
          <w:kern w:val="0"/>
          <w:sz w:val="32"/>
          <w:szCs w:val="32"/>
          <w:shd w:val="clear" w:color="auto" w:fill="FFFFFF"/>
        </w:rPr>
        <w:t>2.部门整体绩效评价评分表</w:t>
      </w:r>
    </w:p>
    <w:p w14:paraId="60D62BA4">
      <w:pPr>
        <w:spacing w:line="576" w:lineRule="exact"/>
        <w:ind w:firstLine="1050" w:firstLineChars="500"/>
        <w:rPr>
          <w:color w:val="000000"/>
          <w:kern w:val="0"/>
          <w:szCs w:val="32"/>
          <w:shd w:val="clear" w:color="auto" w:fill="FFFFFF"/>
        </w:rPr>
      </w:pPr>
    </w:p>
    <w:p w14:paraId="097ABF43">
      <w:pPr>
        <w:spacing w:line="576" w:lineRule="exact"/>
        <w:ind w:firstLine="1050" w:firstLineChars="500"/>
        <w:rPr>
          <w:color w:val="000000"/>
          <w:kern w:val="0"/>
          <w:szCs w:val="32"/>
          <w:shd w:val="clear" w:color="auto" w:fill="FFFFFF"/>
        </w:rPr>
      </w:pPr>
    </w:p>
    <w:p w14:paraId="452116AC">
      <w:pPr>
        <w:spacing w:line="576" w:lineRule="exact"/>
        <w:rPr>
          <w:rFonts w:ascii="黑体" w:eastAsia="黑体" w:cs="黑体"/>
        </w:rPr>
        <w:sectPr>
          <w:pgSz w:w="16838" w:h="11906" w:orient="landscape"/>
          <w:pgMar w:top="1588" w:right="2098" w:bottom="1474" w:left="1701" w:header="851" w:footer="1418" w:gutter="0"/>
          <w:pgNumType w:fmt="decimal"/>
          <w:cols w:space="720" w:num="1"/>
          <w:docGrid w:type="lines" w:linePitch="435" w:charSpace="0"/>
        </w:sectPr>
      </w:pPr>
    </w:p>
    <w:p w14:paraId="0B63F150">
      <w:pPr>
        <w:spacing w:line="576" w:lineRule="exact"/>
        <w:rPr>
          <w:rFonts w:hint="eastAsia"/>
          <w:color w:val="000000"/>
          <w:kern w:val="0"/>
          <w:szCs w:val="32"/>
          <w:shd w:val="clear" w:color="auto" w:fill="FFFFFF"/>
        </w:rPr>
      </w:pPr>
      <w:r>
        <w:rPr>
          <w:rFonts w:hint="eastAsia" w:ascii="黑体" w:eastAsia="黑体" w:cs="黑体"/>
        </w:rPr>
        <w:t>附表1</w:t>
      </w:r>
    </w:p>
    <w:tbl>
      <w:tblPr>
        <w:tblStyle w:val="20"/>
        <w:tblW w:w="5000" w:type="pct"/>
        <w:tblInd w:w="0" w:type="dxa"/>
        <w:tblLayout w:type="autofit"/>
        <w:tblCellMar>
          <w:top w:w="0" w:type="dxa"/>
          <w:left w:w="108" w:type="dxa"/>
          <w:bottom w:w="0" w:type="dxa"/>
          <w:right w:w="108" w:type="dxa"/>
        </w:tblCellMar>
      </w:tblPr>
      <w:tblGrid>
        <w:gridCol w:w="1094"/>
        <w:gridCol w:w="3428"/>
        <w:gridCol w:w="5098"/>
        <w:gridCol w:w="3635"/>
      </w:tblGrid>
      <w:tr w14:paraId="271D0550">
        <w:tblPrEx>
          <w:tblCellMar>
            <w:top w:w="0" w:type="dxa"/>
            <w:left w:w="108" w:type="dxa"/>
            <w:bottom w:w="0" w:type="dxa"/>
            <w:right w:w="108" w:type="dxa"/>
          </w:tblCellMar>
        </w:tblPrEx>
        <w:trPr>
          <w:trHeight w:val="740" w:hRule="atLeast"/>
        </w:trPr>
        <w:tc>
          <w:tcPr>
            <w:tcW w:w="13255" w:type="dxa"/>
            <w:gridSpan w:val="4"/>
            <w:tcBorders>
              <w:top w:val="nil"/>
              <w:left w:val="nil"/>
              <w:bottom w:val="nil"/>
              <w:right w:val="nil"/>
            </w:tcBorders>
            <w:noWrap/>
            <w:vAlign w:val="center"/>
          </w:tcPr>
          <w:p w14:paraId="60F11E25">
            <w:pPr>
              <w:keepNext w:val="0"/>
              <w:keepLines w:val="0"/>
              <w:suppressLineNumbers w:val="0"/>
              <w:spacing w:before="0" w:beforeAutospacing="0" w:after="0" w:afterAutospacing="0"/>
              <w:ind w:left="0" w:right="0"/>
              <w:jc w:val="center"/>
              <w:textAlignment w:val="center"/>
              <w:rPr>
                <w:rFonts w:hint="default" w:eastAsia="方正小标宋简体"/>
                <w:color w:val="000000"/>
                <w:kern w:val="0"/>
                <w:sz w:val="44"/>
                <w:szCs w:val="44"/>
              </w:rPr>
            </w:pPr>
            <w:r>
              <w:rPr>
                <w:rFonts w:hint="default" w:eastAsia="方正小标宋简体"/>
                <w:color w:val="000000"/>
                <w:kern w:val="0"/>
                <w:sz w:val="44"/>
                <w:szCs w:val="44"/>
              </w:rPr>
              <w:t>部门整体支出绩效目标完成情况自评表</w:t>
            </w:r>
          </w:p>
          <w:p w14:paraId="01F2B32E">
            <w:pPr>
              <w:keepNext w:val="0"/>
              <w:keepLines w:val="0"/>
              <w:suppressLineNumbers w:val="0"/>
              <w:spacing w:before="0" w:beforeAutospacing="0" w:after="0" w:afterAutospacing="0"/>
              <w:ind w:left="0" w:right="0"/>
              <w:jc w:val="center"/>
              <w:textAlignment w:val="center"/>
              <w:rPr>
                <w:rFonts w:hint="eastAsia" w:ascii="方正小标宋简体" w:eastAsia="方正小标宋简体" w:cs="方正小标宋简体"/>
                <w:color w:val="000000"/>
                <w:sz w:val="44"/>
                <w:szCs w:val="44"/>
              </w:rPr>
            </w:pPr>
            <w:r>
              <w:rPr>
                <w:rFonts w:hint="eastAsia" w:ascii="楷体_GB2312" w:eastAsia="楷体_GB2312" w:cs="楷体_GB2312"/>
                <w:color w:val="000000"/>
                <w:kern w:val="0"/>
                <w:sz w:val="28"/>
                <w:szCs w:val="28"/>
              </w:rPr>
              <w:t>（2023年度）</w:t>
            </w:r>
          </w:p>
        </w:tc>
      </w:tr>
      <w:tr w14:paraId="66501C53">
        <w:tblPrEx>
          <w:tblCellMar>
            <w:top w:w="0" w:type="dxa"/>
            <w:left w:w="108" w:type="dxa"/>
            <w:bottom w:w="0" w:type="dxa"/>
            <w:right w:w="108" w:type="dxa"/>
          </w:tblCellMar>
        </w:tblPrEx>
        <w:trPr>
          <w:trHeight w:val="460" w:hRule="atLeast"/>
        </w:trPr>
        <w:tc>
          <w:tcPr>
            <w:tcW w:w="4522" w:type="dxa"/>
            <w:gridSpan w:val="2"/>
            <w:tcBorders>
              <w:top w:val="single" w:color="000000" w:sz="4" w:space="0"/>
              <w:left w:val="single" w:color="000000" w:sz="4" w:space="0"/>
              <w:bottom w:val="single" w:color="000000" w:sz="4" w:space="0"/>
              <w:right w:val="nil"/>
            </w:tcBorders>
            <w:noWrap/>
            <w:vAlign w:val="center"/>
          </w:tcPr>
          <w:p w14:paraId="3DF2266C">
            <w:pPr>
              <w:keepNext w:val="0"/>
              <w:keepLines w:val="0"/>
              <w:suppressLineNumbers w:val="0"/>
              <w:spacing w:before="0" w:beforeAutospacing="0" w:after="0" w:afterAutospacing="0" w:line="280" w:lineRule="exact"/>
              <w:ind w:left="0" w:right="0"/>
              <w:jc w:val="center"/>
              <w:rPr>
                <w:rFonts w:hint="eastAsia" w:ascii="宋体" w:eastAsia="宋体" w:cs="宋体"/>
                <w:color w:val="000000"/>
                <w:sz w:val="20"/>
                <w:szCs w:val="20"/>
              </w:rPr>
            </w:pPr>
            <w:r>
              <w:rPr>
                <w:rFonts w:hint="eastAsia" w:ascii="宋体" w:eastAsia="宋体" w:cs="宋体"/>
                <w:color w:val="000000"/>
                <w:kern w:val="0"/>
                <w:sz w:val="20"/>
                <w:szCs w:val="20"/>
              </w:rPr>
              <w:t>部门名称</w:t>
            </w:r>
          </w:p>
        </w:tc>
        <w:tc>
          <w:tcPr>
            <w:tcW w:w="8733" w:type="dxa"/>
            <w:gridSpan w:val="2"/>
            <w:tcBorders>
              <w:top w:val="single" w:color="000000" w:sz="4" w:space="0"/>
              <w:left w:val="single" w:color="000000" w:sz="4" w:space="0"/>
              <w:bottom w:val="single" w:color="000000" w:sz="4" w:space="0"/>
              <w:right w:val="single" w:color="000000" w:sz="4" w:space="0"/>
            </w:tcBorders>
            <w:noWrap/>
            <w:vAlign w:val="center"/>
          </w:tcPr>
          <w:p w14:paraId="353C82FC">
            <w:pPr>
              <w:keepNext w:val="0"/>
              <w:keepLines w:val="0"/>
              <w:suppressLineNumbers w:val="0"/>
              <w:spacing w:before="0" w:beforeAutospacing="0" w:after="0" w:afterAutospacing="0" w:line="28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广元市发展和改革委员会</w:t>
            </w:r>
          </w:p>
        </w:tc>
      </w:tr>
      <w:tr w14:paraId="404E1929">
        <w:tblPrEx>
          <w:tblCellMar>
            <w:top w:w="0" w:type="dxa"/>
            <w:left w:w="108" w:type="dxa"/>
            <w:bottom w:w="0" w:type="dxa"/>
            <w:right w:w="108" w:type="dxa"/>
          </w:tblCellMar>
        </w:tblPrEx>
        <w:trPr>
          <w:trHeight w:val="460" w:hRule="atLeast"/>
        </w:trPr>
        <w:tc>
          <w:tcPr>
            <w:tcW w:w="1094" w:type="dxa"/>
            <w:vMerge w:val="restart"/>
            <w:tcBorders>
              <w:top w:val="single" w:color="000000" w:sz="4" w:space="0"/>
              <w:left w:val="single" w:color="000000" w:sz="4" w:space="0"/>
              <w:bottom w:val="single" w:color="000000" w:sz="4" w:space="0"/>
              <w:right w:val="single" w:color="000000" w:sz="4" w:space="0"/>
            </w:tcBorders>
            <w:noWrap/>
            <w:vAlign w:val="center"/>
          </w:tcPr>
          <w:p w14:paraId="4D49EA3F">
            <w:pPr>
              <w:keepNext w:val="0"/>
              <w:keepLines w:val="0"/>
              <w:suppressLineNumbers w:val="0"/>
              <w:spacing w:before="0" w:beforeAutospacing="0" w:after="0" w:afterAutospacing="0" w:line="28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年度部门整体支出预算</w:t>
            </w:r>
          </w:p>
        </w:tc>
        <w:tc>
          <w:tcPr>
            <w:tcW w:w="3428" w:type="dxa"/>
            <w:tcBorders>
              <w:top w:val="single" w:color="000000" w:sz="4" w:space="0"/>
              <w:left w:val="single" w:color="000000" w:sz="4" w:space="0"/>
              <w:bottom w:val="single" w:color="000000" w:sz="4" w:space="0"/>
              <w:right w:val="nil"/>
            </w:tcBorders>
            <w:noWrap/>
            <w:vAlign w:val="center"/>
          </w:tcPr>
          <w:p w14:paraId="4C02CB5C">
            <w:pPr>
              <w:keepNext w:val="0"/>
              <w:keepLines w:val="0"/>
              <w:suppressLineNumbers w:val="0"/>
              <w:spacing w:before="0" w:beforeAutospacing="0" w:after="0" w:afterAutospacing="0" w:line="280" w:lineRule="exact"/>
              <w:ind w:left="0" w:right="0"/>
              <w:jc w:val="center"/>
              <w:rPr>
                <w:rFonts w:hint="eastAsia" w:ascii="宋体" w:eastAsia="宋体" w:cs="宋体"/>
                <w:color w:val="000000"/>
                <w:sz w:val="20"/>
                <w:szCs w:val="20"/>
              </w:rPr>
            </w:pPr>
            <w:r>
              <w:rPr>
                <w:rFonts w:hint="eastAsia" w:ascii="宋体" w:eastAsia="宋体" w:cs="宋体"/>
                <w:color w:val="000000"/>
                <w:kern w:val="0"/>
                <w:sz w:val="20"/>
                <w:szCs w:val="20"/>
              </w:rPr>
              <w:t>资金总额</w:t>
            </w:r>
          </w:p>
        </w:tc>
        <w:tc>
          <w:tcPr>
            <w:tcW w:w="5098" w:type="dxa"/>
            <w:tcBorders>
              <w:top w:val="single" w:color="000000" w:sz="4" w:space="0"/>
              <w:left w:val="single" w:color="000000" w:sz="4" w:space="0"/>
              <w:bottom w:val="single" w:color="000000" w:sz="4" w:space="0"/>
              <w:right w:val="single" w:color="000000" w:sz="4" w:space="0"/>
            </w:tcBorders>
            <w:noWrap/>
            <w:vAlign w:val="center"/>
          </w:tcPr>
          <w:p w14:paraId="7035AA3F">
            <w:pPr>
              <w:keepNext w:val="0"/>
              <w:keepLines w:val="0"/>
              <w:suppressLineNumbers w:val="0"/>
              <w:spacing w:before="0" w:beforeAutospacing="0" w:after="0" w:afterAutospacing="0" w:line="28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财政拨款</w:t>
            </w:r>
          </w:p>
        </w:tc>
        <w:tc>
          <w:tcPr>
            <w:tcW w:w="3635" w:type="dxa"/>
            <w:tcBorders>
              <w:top w:val="single" w:color="000000" w:sz="4" w:space="0"/>
              <w:left w:val="nil"/>
              <w:bottom w:val="single" w:color="000000" w:sz="4" w:space="0"/>
              <w:right w:val="single" w:color="000000" w:sz="4" w:space="0"/>
            </w:tcBorders>
            <w:noWrap/>
            <w:vAlign w:val="center"/>
          </w:tcPr>
          <w:p w14:paraId="1D061AE9">
            <w:pPr>
              <w:keepNext w:val="0"/>
              <w:keepLines w:val="0"/>
              <w:suppressLineNumbers w:val="0"/>
              <w:spacing w:before="0" w:beforeAutospacing="0" w:after="0" w:afterAutospacing="0" w:line="28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其他资金</w:t>
            </w:r>
          </w:p>
        </w:tc>
      </w:tr>
      <w:tr w14:paraId="0C7934C4">
        <w:tblPrEx>
          <w:tblCellMar>
            <w:top w:w="0" w:type="dxa"/>
            <w:left w:w="108" w:type="dxa"/>
            <w:bottom w:w="0" w:type="dxa"/>
            <w:right w:w="108" w:type="dxa"/>
          </w:tblCellMar>
        </w:tblPrEx>
        <w:trPr>
          <w:trHeight w:val="460" w:hRule="atLeast"/>
        </w:trPr>
        <w:tc>
          <w:tcPr>
            <w:tcW w:w="1094" w:type="dxa"/>
            <w:vMerge w:val="continue"/>
            <w:tcBorders>
              <w:top w:val="single" w:color="000000" w:sz="4" w:space="0"/>
              <w:left w:val="single" w:color="000000" w:sz="4" w:space="0"/>
              <w:bottom w:val="single" w:color="000000" w:sz="4" w:space="0"/>
              <w:right w:val="single" w:color="000000" w:sz="4" w:space="0"/>
            </w:tcBorders>
            <w:noWrap/>
            <w:vAlign w:val="center"/>
          </w:tcPr>
          <w:p w14:paraId="66DE0017">
            <w:pPr>
              <w:keepNext w:val="0"/>
              <w:keepLines w:val="0"/>
              <w:suppressLineNumbers w:val="0"/>
              <w:spacing w:before="0" w:beforeAutospacing="0" w:after="0" w:afterAutospacing="0"/>
              <w:ind w:left="0" w:right="0"/>
              <w:rPr>
                <w:rFonts w:hint="default"/>
              </w:rPr>
            </w:pPr>
          </w:p>
        </w:tc>
        <w:tc>
          <w:tcPr>
            <w:tcW w:w="3428" w:type="dxa"/>
            <w:tcBorders>
              <w:top w:val="single" w:color="000000" w:sz="4" w:space="0"/>
              <w:left w:val="single" w:color="000000" w:sz="4" w:space="0"/>
              <w:bottom w:val="single" w:color="000000" w:sz="4" w:space="0"/>
              <w:right w:val="nil"/>
            </w:tcBorders>
            <w:noWrap/>
            <w:vAlign w:val="center"/>
          </w:tcPr>
          <w:p w14:paraId="1BF4DA8F">
            <w:pPr>
              <w:keepNext w:val="0"/>
              <w:keepLines w:val="0"/>
              <w:suppressLineNumbers w:val="0"/>
              <w:spacing w:before="0" w:beforeAutospacing="0" w:after="0" w:afterAutospacing="0"/>
              <w:ind w:left="0" w:right="0"/>
              <w:jc w:val="center"/>
              <w:rPr>
                <w:rFonts w:hint="eastAsia" w:ascii="宋体" w:eastAsia="宋体" w:cs="宋体"/>
                <w:color w:val="000000"/>
                <w:sz w:val="20"/>
                <w:szCs w:val="20"/>
              </w:rPr>
            </w:pPr>
            <w:r>
              <w:rPr>
                <w:rFonts w:hint="eastAsia" w:ascii="宋体" w:eastAsia="宋体" w:cs="宋体"/>
                <w:color w:val="000000"/>
                <w:sz w:val="20"/>
                <w:szCs w:val="20"/>
              </w:rPr>
              <w:t>4053.66</w:t>
            </w:r>
          </w:p>
        </w:tc>
        <w:tc>
          <w:tcPr>
            <w:tcW w:w="5098" w:type="dxa"/>
            <w:tcBorders>
              <w:top w:val="single" w:color="000000" w:sz="4" w:space="0"/>
              <w:left w:val="single" w:color="000000" w:sz="4" w:space="0"/>
              <w:bottom w:val="single" w:color="000000" w:sz="4" w:space="0"/>
              <w:right w:val="single" w:color="000000" w:sz="4" w:space="0"/>
            </w:tcBorders>
            <w:noWrap/>
            <w:vAlign w:val="center"/>
          </w:tcPr>
          <w:p w14:paraId="7D9A6E2C">
            <w:pPr>
              <w:keepNext w:val="0"/>
              <w:keepLines w:val="0"/>
              <w:suppressLineNumbers w:val="0"/>
              <w:spacing w:before="0" w:beforeAutospacing="0" w:after="0" w:afterAutospacing="0"/>
              <w:ind w:left="0" w:right="0"/>
              <w:jc w:val="center"/>
              <w:rPr>
                <w:rFonts w:hint="eastAsia" w:ascii="宋体" w:eastAsia="宋体" w:cs="宋体"/>
                <w:color w:val="000000"/>
                <w:sz w:val="20"/>
                <w:szCs w:val="20"/>
              </w:rPr>
            </w:pPr>
            <w:r>
              <w:rPr>
                <w:rFonts w:hint="eastAsia" w:ascii="宋体" w:eastAsia="宋体" w:cs="宋体"/>
                <w:color w:val="000000"/>
                <w:sz w:val="20"/>
                <w:szCs w:val="20"/>
              </w:rPr>
              <w:t>4053.66</w:t>
            </w:r>
          </w:p>
        </w:tc>
        <w:tc>
          <w:tcPr>
            <w:tcW w:w="3635" w:type="dxa"/>
            <w:tcBorders>
              <w:top w:val="single" w:color="000000" w:sz="4" w:space="0"/>
              <w:left w:val="nil"/>
              <w:bottom w:val="single" w:color="000000" w:sz="4" w:space="0"/>
              <w:right w:val="single" w:color="000000" w:sz="4" w:space="0"/>
            </w:tcBorders>
            <w:noWrap/>
            <w:vAlign w:val="center"/>
          </w:tcPr>
          <w:p w14:paraId="2540F83B">
            <w:pPr>
              <w:keepNext w:val="0"/>
              <w:keepLines w:val="0"/>
              <w:suppressLineNumbers w:val="0"/>
              <w:spacing w:before="0" w:beforeAutospacing="0" w:after="0" w:afterAutospacing="0"/>
              <w:ind w:left="0" w:right="0"/>
              <w:jc w:val="center"/>
              <w:rPr>
                <w:rFonts w:hint="eastAsia" w:ascii="宋体" w:eastAsia="宋体" w:cs="宋体"/>
                <w:color w:val="000000"/>
                <w:sz w:val="20"/>
                <w:szCs w:val="20"/>
              </w:rPr>
            </w:pPr>
            <w:r>
              <w:rPr>
                <w:rFonts w:hint="eastAsia" w:ascii="宋体" w:eastAsia="宋体" w:cs="宋体"/>
                <w:color w:val="000000"/>
                <w:sz w:val="20"/>
                <w:szCs w:val="20"/>
              </w:rPr>
              <w:t>0</w:t>
            </w:r>
          </w:p>
        </w:tc>
      </w:tr>
      <w:tr w14:paraId="53288C32">
        <w:tblPrEx>
          <w:tblCellMar>
            <w:top w:w="0" w:type="dxa"/>
            <w:left w:w="108" w:type="dxa"/>
            <w:bottom w:w="0" w:type="dxa"/>
            <w:right w:w="108" w:type="dxa"/>
          </w:tblCellMar>
        </w:tblPrEx>
        <w:trPr>
          <w:trHeight w:val="1790" w:hRule="atLeast"/>
        </w:trPr>
        <w:tc>
          <w:tcPr>
            <w:tcW w:w="1094" w:type="dxa"/>
            <w:tcBorders>
              <w:top w:val="single" w:color="000000" w:sz="4" w:space="0"/>
              <w:left w:val="single" w:color="000000" w:sz="4" w:space="0"/>
              <w:bottom w:val="single" w:color="auto" w:sz="4" w:space="0"/>
              <w:right w:val="single" w:color="000000" w:sz="4" w:space="0"/>
            </w:tcBorders>
            <w:noWrap/>
            <w:vAlign w:val="center"/>
          </w:tcPr>
          <w:p w14:paraId="4844868C">
            <w:pPr>
              <w:keepNext w:val="0"/>
              <w:keepLines w:val="0"/>
              <w:suppressLineNumbers w:val="0"/>
              <w:spacing w:before="0" w:beforeAutospacing="0" w:after="0" w:afterAutospacing="0" w:line="320" w:lineRule="exact"/>
              <w:ind w:left="0" w:right="0"/>
              <w:jc w:val="center"/>
              <w:textAlignment w:val="center"/>
              <w:rPr>
                <w:rFonts w:hint="eastAsia" w:ascii="宋体" w:eastAsia="宋体" w:cs="宋体"/>
                <w:color w:val="000000"/>
                <w:kern w:val="0"/>
                <w:sz w:val="20"/>
                <w:szCs w:val="20"/>
              </w:rPr>
            </w:pPr>
            <w:r>
              <w:rPr>
                <w:rFonts w:hint="eastAsia" w:ascii="宋体" w:eastAsia="宋体" w:cs="宋体"/>
                <w:color w:val="000000"/>
                <w:kern w:val="0"/>
                <w:sz w:val="20"/>
                <w:szCs w:val="20"/>
              </w:rPr>
              <w:t>年度总体</w:t>
            </w:r>
          </w:p>
          <w:p w14:paraId="7315CF3B">
            <w:pPr>
              <w:keepNext w:val="0"/>
              <w:keepLines w:val="0"/>
              <w:suppressLineNumbers w:val="0"/>
              <w:spacing w:before="0" w:beforeAutospacing="0" w:after="0" w:afterAutospacing="0" w:line="32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目标</w:t>
            </w:r>
          </w:p>
        </w:tc>
        <w:tc>
          <w:tcPr>
            <w:tcW w:w="12161" w:type="dxa"/>
            <w:gridSpan w:val="3"/>
            <w:tcBorders>
              <w:top w:val="single" w:color="000000" w:sz="4" w:space="0"/>
              <w:left w:val="single" w:color="000000" w:sz="4" w:space="0"/>
              <w:bottom w:val="single" w:color="auto" w:sz="4" w:space="0"/>
              <w:right w:val="single" w:color="000000" w:sz="4" w:space="0"/>
            </w:tcBorders>
            <w:noWrap/>
            <w:vAlign w:val="top"/>
          </w:tcPr>
          <w:p w14:paraId="03B43122">
            <w:pPr>
              <w:keepNext w:val="0"/>
              <w:keepLines w:val="0"/>
              <w:suppressLineNumbers w:val="0"/>
              <w:spacing w:before="0" w:beforeAutospacing="0" w:after="0" w:afterAutospacing="0" w:line="320" w:lineRule="exact"/>
              <w:ind w:left="0" w:right="0"/>
              <w:jc w:val="left"/>
              <w:textAlignment w:val="top"/>
              <w:rPr>
                <w:rFonts w:hint="eastAsia" w:ascii="宋体" w:eastAsia="宋体" w:cs="宋体"/>
                <w:color w:val="000000"/>
                <w:kern w:val="0"/>
                <w:sz w:val="20"/>
                <w:szCs w:val="20"/>
              </w:rPr>
            </w:pPr>
            <w:r>
              <w:rPr>
                <w:rFonts w:hint="eastAsia" w:ascii="宋体" w:eastAsia="宋体" w:cs="宋体"/>
                <w:color w:val="000000"/>
                <w:kern w:val="0"/>
                <w:sz w:val="20"/>
                <w:szCs w:val="20"/>
              </w:rPr>
              <w:t xml:space="preserve">目标1：储备项目总投资保持1.3万亿以上；                                                                                                                      目标2：全年争取上级资金8亿元以上 ；                                                                                                                         目标3：重点项目完成投资600亿元以上；                                                                                                                         目标4：加快推动现代产业体系建设，打造现代产业集群；                                                                                                                                         </w:t>
            </w:r>
          </w:p>
          <w:p w14:paraId="6BCF3667">
            <w:pPr>
              <w:keepNext w:val="0"/>
              <w:keepLines w:val="0"/>
              <w:suppressLineNumbers w:val="0"/>
              <w:spacing w:before="0" w:beforeAutospacing="0" w:after="0" w:afterAutospacing="0" w:line="320" w:lineRule="exact"/>
              <w:ind w:left="0" w:right="0"/>
              <w:jc w:val="left"/>
              <w:textAlignment w:val="top"/>
              <w:rPr>
                <w:rFonts w:hint="eastAsia" w:ascii="宋体" w:eastAsia="宋体" w:cs="宋体"/>
                <w:color w:val="000000"/>
                <w:kern w:val="0"/>
                <w:sz w:val="20"/>
                <w:szCs w:val="20"/>
              </w:rPr>
            </w:pPr>
            <w:r>
              <w:rPr>
                <w:rFonts w:hint="eastAsia" w:ascii="宋体" w:eastAsia="宋体" w:cs="宋体"/>
                <w:color w:val="000000"/>
                <w:kern w:val="0"/>
                <w:sz w:val="20"/>
                <w:szCs w:val="20"/>
              </w:rPr>
              <w:t xml:space="preserve">目标5：大力推动区域协同发展，推动成渝地区双城经济圈建设，完成川东北经济区协同发展、东西部扶贫协作、县域经济等工作；                                                                     </w:t>
            </w:r>
          </w:p>
          <w:p w14:paraId="717F491D">
            <w:pPr>
              <w:keepNext w:val="0"/>
              <w:keepLines w:val="0"/>
              <w:suppressLineNumbers w:val="0"/>
              <w:spacing w:before="0" w:beforeAutospacing="0" w:after="0" w:afterAutospacing="0" w:line="320" w:lineRule="exact"/>
              <w:ind w:left="0" w:right="0"/>
              <w:jc w:val="left"/>
              <w:textAlignment w:val="top"/>
              <w:rPr>
                <w:rFonts w:hint="eastAsia" w:ascii="宋体" w:eastAsia="宋体" w:cs="宋体"/>
                <w:color w:val="000000"/>
                <w:kern w:val="0"/>
                <w:sz w:val="20"/>
                <w:szCs w:val="20"/>
              </w:rPr>
            </w:pPr>
            <w:r>
              <w:rPr>
                <w:rFonts w:hint="eastAsia" w:ascii="宋体" w:eastAsia="宋体" w:cs="宋体"/>
                <w:color w:val="000000"/>
                <w:kern w:val="0"/>
                <w:sz w:val="20"/>
                <w:szCs w:val="20"/>
              </w:rPr>
              <w:t>目标6：促进基础设施进一步完善，社会民生保障更加健全；                                                                                                           目标7：推动绿色低碳发展；                                                                                                                                     目标8：深化营商环境建设。确保我市城市信用综合指数排名持续稳定提升，积极打造川内最优营商环境。                                                                                                                  目标9：强化粮食安全保障。确保粮食安全党政同责考核达标；</w:t>
            </w:r>
          </w:p>
          <w:p w14:paraId="5BCBE23E">
            <w:pPr>
              <w:keepNext w:val="0"/>
              <w:keepLines w:val="0"/>
              <w:suppressLineNumbers w:val="0"/>
              <w:spacing w:before="0" w:beforeAutospacing="0" w:after="0" w:afterAutospacing="0" w:line="320" w:lineRule="exact"/>
              <w:ind w:left="0" w:right="0"/>
              <w:jc w:val="left"/>
              <w:textAlignment w:val="top"/>
              <w:rPr>
                <w:rFonts w:hint="eastAsia" w:ascii="宋体" w:eastAsia="宋体" w:cs="宋体"/>
                <w:color w:val="000000"/>
                <w:kern w:val="0"/>
                <w:sz w:val="20"/>
                <w:szCs w:val="20"/>
              </w:rPr>
            </w:pPr>
            <w:r>
              <w:rPr>
                <w:rFonts w:hint="eastAsia" w:ascii="宋体" w:eastAsia="宋体" w:cs="宋体"/>
                <w:color w:val="000000"/>
                <w:kern w:val="0"/>
                <w:sz w:val="20"/>
                <w:szCs w:val="20"/>
              </w:rPr>
              <w:t xml:space="preserve">目标10：加强价格监管服务，确保重要民生商品价格稳定。                                                                               目标11：按照国家、省、市粮食与物资储备局统一部署，扎实推动粮食质量安全风险监测、库存粮食质量安全管理、粮食质量调查与品质测报、军供粮质量安全保障等重点工作，促进农民增收和产业经济高质量发展，保障粮油质量安全，助力粮食供给侧结构性改革和乡村振兴。同时做好实验室日常维护以保证正常运转。                                                                                                                          目标12：做好全年市级救灾物资采购，库存。加强库房安保，值守，加强防火、防盗、防虫、防霉变，以及回收救灾物资翻晒清洗工作，确保3525平米库房安全以及2000余万元救灾物资储备安全完整以及全市受灾困难群众基本生活保障。             </w:t>
            </w:r>
          </w:p>
          <w:p w14:paraId="49316BC0">
            <w:pPr>
              <w:keepNext w:val="0"/>
              <w:keepLines w:val="0"/>
              <w:suppressLineNumbers w:val="0"/>
              <w:spacing w:before="0" w:beforeAutospacing="0" w:after="0" w:afterAutospacing="0" w:line="320" w:lineRule="exact"/>
              <w:ind w:left="0" w:right="0"/>
              <w:jc w:val="left"/>
              <w:textAlignment w:val="top"/>
              <w:rPr>
                <w:rFonts w:hint="eastAsia" w:ascii="宋体" w:eastAsia="宋体" w:cs="宋体"/>
                <w:color w:val="000000"/>
                <w:sz w:val="20"/>
                <w:szCs w:val="20"/>
              </w:rPr>
            </w:pPr>
            <w:r>
              <w:rPr>
                <w:rFonts w:hint="eastAsia" w:ascii="宋体" w:eastAsia="宋体" w:cs="宋体"/>
                <w:color w:val="000000"/>
                <w:kern w:val="0"/>
                <w:sz w:val="20"/>
                <w:szCs w:val="20"/>
              </w:rPr>
              <w:t>目标13：做好全年市级救灾物资的采购、储备和管理，确保储备救灾物资的安全完整，为全市受灾困难群众基本生活提供保障。</w:t>
            </w:r>
          </w:p>
        </w:tc>
      </w:tr>
      <w:tr w14:paraId="3E4681D0">
        <w:tblPrEx>
          <w:tblCellMar>
            <w:top w:w="0" w:type="dxa"/>
            <w:left w:w="108" w:type="dxa"/>
            <w:bottom w:w="0" w:type="dxa"/>
            <w:right w:w="108" w:type="dxa"/>
          </w:tblCellMar>
        </w:tblPrEx>
        <w:trPr>
          <w:trHeight w:val="550" w:hRule="atLeast"/>
        </w:trPr>
        <w:tc>
          <w:tcPr>
            <w:tcW w:w="1094" w:type="dxa"/>
            <w:tcBorders>
              <w:top w:val="single" w:color="auto" w:sz="4" w:space="0"/>
              <w:left w:val="single" w:color="auto" w:sz="4" w:space="0"/>
              <w:bottom w:val="single" w:color="auto" w:sz="4" w:space="0"/>
              <w:right w:val="single" w:color="auto" w:sz="4" w:space="0"/>
            </w:tcBorders>
            <w:noWrap/>
            <w:vAlign w:val="center"/>
          </w:tcPr>
          <w:p w14:paraId="26FAABF2">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p>
        </w:tc>
        <w:tc>
          <w:tcPr>
            <w:tcW w:w="3428" w:type="dxa"/>
            <w:tcBorders>
              <w:top w:val="single" w:color="auto" w:sz="4" w:space="0"/>
              <w:left w:val="single" w:color="auto" w:sz="4" w:space="0"/>
              <w:bottom w:val="single" w:color="auto" w:sz="4" w:space="0"/>
              <w:right w:val="single" w:color="auto" w:sz="4" w:space="0"/>
            </w:tcBorders>
            <w:noWrap/>
            <w:vAlign w:val="center"/>
          </w:tcPr>
          <w:p w14:paraId="71B9AAF4">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任务名称</w:t>
            </w:r>
          </w:p>
        </w:tc>
        <w:tc>
          <w:tcPr>
            <w:tcW w:w="8733" w:type="dxa"/>
            <w:gridSpan w:val="2"/>
            <w:tcBorders>
              <w:top w:val="single" w:color="auto" w:sz="4" w:space="0"/>
              <w:left w:val="single" w:color="auto" w:sz="4" w:space="0"/>
              <w:bottom w:val="single" w:color="auto" w:sz="4" w:space="0"/>
              <w:right w:val="single" w:color="auto" w:sz="4" w:space="0"/>
            </w:tcBorders>
            <w:noWrap/>
            <w:vAlign w:val="center"/>
          </w:tcPr>
          <w:p w14:paraId="4117424B">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主要内容</w:t>
            </w:r>
          </w:p>
        </w:tc>
      </w:tr>
      <w:tr w14:paraId="2B005E85">
        <w:tblPrEx>
          <w:tblCellMar>
            <w:top w:w="0" w:type="dxa"/>
            <w:left w:w="108" w:type="dxa"/>
            <w:bottom w:w="0" w:type="dxa"/>
            <w:right w:w="108" w:type="dxa"/>
          </w:tblCellMar>
        </w:tblPrEx>
        <w:trPr>
          <w:trHeight w:val="500" w:hRule="atLeast"/>
        </w:trPr>
        <w:tc>
          <w:tcPr>
            <w:tcW w:w="1094" w:type="dxa"/>
            <w:vMerge w:val="restart"/>
            <w:tcBorders>
              <w:top w:val="single" w:color="auto" w:sz="4" w:space="0"/>
              <w:left w:val="single" w:color="auto" w:sz="4" w:space="0"/>
              <w:bottom w:val="single" w:color="auto" w:sz="4" w:space="0"/>
              <w:right w:val="single" w:color="auto" w:sz="4" w:space="0"/>
            </w:tcBorders>
            <w:noWrap/>
            <w:vAlign w:val="center"/>
          </w:tcPr>
          <w:p w14:paraId="5FB9EFB7">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kern w:val="0"/>
                <w:sz w:val="20"/>
                <w:szCs w:val="20"/>
              </w:rPr>
            </w:pPr>
            <w:r>
              <w:rPr>
                <w:rFonts w:hint="eastAsia" w:ascii="宋体" w:eastAsia="宋体" w:cs="宋体"/>
                <w:color w:val="000000"/>
                <w:kern w:val="0"/>
                <w:sz w:val="20"/>
                <w:szCs w:val="20"/>
              </w:rPr>
              <w:t>年度</w:t>
            </w:r>
          </w:p>
          <w:p w14:paraId="5B51745E">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kern w:val="0"/>
                <w:sz w:val="20"/>
                <w:szCs w:val="20"/>
              </w:rPr>
            </w:pPr>
            <w:r>
              <w:rPr>
                <w:rFonts w:hint="eastAsia" w:ascii="宋体" w:eastAsia="宋体" w:cs="宋体"/>
                <w:color w:val="000000"/>
                <w:kern w:val="0"/>
                <w:sz w:val="20"/>
                <w:szCs w:val="20"/>
              </w:rPr>
              <w:t>主要</w:t>
            </w:r>
          </w:p>
          <w:p w14:paraId="1D4F9383">
            <w:pPr>
              <w:keepNext w:val="0"/>
              <w:keepLines w:val="0"/>
              <w:suppressLineNumbers w:val="0"/>
              <w:spacing w:before="0" w:beforeAutospacing="0" w:after="0" w:afterAutospacing="0" w:line="260" w:lineRule="exact"/>
              <w:ind w:left="0" w:right="0"/>
              <w:jc w:val="center"/>
              <w:rPr>
                <w:rFonts w:hint="default"/>
              </w:rPr>
            </w:pPr>
            <w:r>
              <w:rPr>
                <w:rFonts w:hint="eastAsia" w:ascii="宋体" w:eastAsia="宋体" w:cs="宋体"/>
                <w:color w:val="000000"/>
                <w:kern w:val="0"/>
                <w:sz w:val="20"/>
                <w:szCs w:val="20"/>
              </w:rPr>
              <w:t>任务</w:t>
            </w:r>
          </w:p>
        </w:tc>
        <w:tc>
          <w:tcPr>
            <w:tcW w:w="3428" w:type="dxa"/>
            <w:tcBorders>
              <w:top w:val="single" w:color="auto" w:sz="4" w:space="0"/>
              <w:left w:val="single" w:color="auto" w:sz="4" w:space="0"/>
              <w:bottom w:val="single" w:color="auto" w:sz="4" w:space="0"/>
              <w:right w:val="single" w:color="auto" w:sz="4" w:space="0"/>
            </w:tcBorders>
            <w:noWrap/>
            <w:vAlign w:val="center"/>
          </w:tcPr>
          <w:p w14:paraId="5800A4AF">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任务1发改委日常公用及人员经费</w:t>
            </w:r>
          </w:p>
        </w:tc>
        <w:tc>
          <w:tcPr>
            <w:tcW w:w="8733" w:type="dxa"/>
            <w:gridSpan w:val="2"/>
            <w:tcBorders>
              <w:top w:val="single" w:color="auto" w:sz="4" w:space="0"/>
              <w:left w:val="single" w:color="auto" w:sz="4" w:space="0"/>
              <w:bottom w:val="single" w:color="auto" w:sz="4" w:space="0"/>
              <w:right w:val="single" w:color="auto" w:sz="4" w:space="0"/>
            </w:tcBorders>
            <w:noWrap/>
            <w:vAlign w:val="center"/>
          </w:tcPr>
          <w:p w14:paraId="790555E2">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单位日常运转，人员工资等经费。</w:t>
            </w:r>
          </w:p>
        </w:tc>
      </w:tr>
      <w:tr w14:paraId="4C941CD4">
        <w:tblPrEx>
          <w:tblCellMar>
            <w:top w:w="0" w:type="dxa"/>
            <w:left w:w="108" w:type="dxa"/>
            <w:bottom w:w="0" w:type="dxa"/>
            <w:right w:w="108" w:type="dxa"/>
          </w:tblCellMar>
        </w:tblPrEx>
        <w:trPr>
          <w:trHeight w:val="1740" w:hRule="atLeast"/>
        </w:trPr>
        <w:tc>
          <w:tcPr>
            <w:tcW w:w="1094" w:type="dxa"/>
            <w:vMerge w:val="continue"/>
            <w:tcBorders>
              <w:top w:val="single" w:color="auto" w:sz="4" w:space="0"/>
              <w:left w:val="single" w:color="auto" w:sz="4" w:space="0"/>
              <w:bottom w:val="single" w:color="auto" w:sz="4" w:space="0"/>
              <w:right w:val="single" w:color="auto" w:sz="4" w:space="0"/>
            </w:tcBorders>
            <w:noWrap/>
            <w:vAlign w:val="center"/>
          </w:tcPr>
          <w:p w14:paraId="7E2C666D">
            <w:pPr>
              <w:keepNext w:val="0"/>
              <w:keepLines w:val="0"/>
              <w:suppressLineNumbers w:val="0"/>
              <w:spacing w:before="0" w:beforeAutospacing="0" w:after="0" w:afterAutospacing="0" w:line="260" w:lineRule="exact"/>
              <w:ind w:left="0" w:right="0"/>
              <w:rPr>
                <w:rFonts w:hint="default"/>
              </w:rPr>
            </w:pPr>
          </w:p>
        </w:tc>
        <w:tc>
          <w:tcPr>
            <w:tcW w:w="3428" w:type="dxa"/>
            <w:tcBorders>
              <w:top w:val="single" w:color="auto" w:sz="4" w:space="0"/>
              <w:left w:val="single" w:color="auto" w:sz="4" w:space="0"/>
              <w:bottom w:val="single" w:color="auto" w:sz="4" w:space="0"/>
              <w:right w:val="single" w:color="auto" w:sz="4" w:space="0"/>
            </w:tcBorders>
            <w:noWrap/>
            <w:vAlign w:val="center"/>
          </w:tcPr>
          <w:p w14:paraId="0D089A6A">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任务2重大项目推进工作经费</w:t>
            </w:r>
          </w:p>
        </w:tc>
        <w:tc>
          <w:tcPr>
            <w:tcW w:w="8733" w:type="dxa"/>
            <w:gridSpan w:val="2"/>
            <w:tcBorders>
              <w:top w:val="single" w:color="auto" w:sz="4" w:space="0"/>
              <w:left w:val="single" w:color="auto" w:sz="4" w:space="0"/>
              <w:bottom w:val="single" w:color="auto" w:sz="4" w:space="0"/>
              <w:right w:val="single" w:color="auto" w:sz="4" w:space="0"/>
            </w:tcBorders>
            <w:noWrap/>
            <w:vAlign w:val="top"/>
          </w:tcPr>
          <w:p w14:paraId="33996A56">
            <w:pPr>
              <w:keepNext w:val="0"/>
              <w:keepLines w:val="0"/>
              <w:suppressLineNumbers w:val="0"/>
              <w:spacing w:before="0" w:beforeAutospacing="0" w:after="0" w:afterAutospacing="0" w:line="260" w:lineRule="exact"/>
              <w:ind w:left="0" w:right="0"/>
              <w:jc w:val="left"/>
              <w:textAlignment w:val="top"/>
              <w:rPr>
                <w:rFonts w:hint="eastAsia" w:ascii="宋体" w:eastAsia="宋体" w:cs="宋体"/>
                <w:color w:val="000000"/>
                <w:sz w:val="20"/>
                <w:szCs w:val="20"/>
              </w:rPr>
            </w:pPr>
            <w:r>
              <w:rPr>
                <w:rFonts w:hint="eastAsia" w:ascii="宋体" w:eastAsia="宋体" w:cs="宋体"/>
                <w:color w:val="000000"/>
                <w:kern w:val="0"/>
                <w:sz w:val="20"/>
                <w:szCs w:val="20"/>
              </w:rPr>
              <w:t>1.组织开展全市项目投资现场拉练评比。2.开展中省预算内投资项目资金争取。3.谋划储备全市重大项目，开展重大项目前期咨询论证等前期工作。4.编制2023年投资计划以及2023年省、市重点项目年度计划。5.组织开展全市重大项目现场推进活动6批次以上。6.监督检查省市重点项目、集中开工项目、中省预算内投资项目、地方政府专项债券项目、政策性开发行金融工具项目等计划执行情况。7.组织项目会商调度工作，协调解决项目推进中的具体困难和问题。8.分析、研判全市项目投资运行情况。9.组织开展项目储备谋划、推进、入库培训；指导县区项目投资工作。10.完成全市项目投资年度目标任务的考核。</w:t>
            </w:r>
          </w:p>
        </w:tc>
      </w:tr>
      <w:tr w14:paraId="17D593C3">
        <w:tblPrEx>
          <w:tblCellMar>
            <w:top w:w="0" w:type="dxa"/>
            <w:left w:w="108" w:type="dxa"/>
            <w:bottom w:w="0" w:type="dxa"/>
            <w:right w:w="108" w:type="dxa"/>
          </w:tblCellMar>
        </w:tblPrEx>
        <w:trPr>
          <w:trHeight w:val="1540" w:hRule="atLeast"/>
        </w:trPr>
        <w:tc>
          <w:tcPr>
            <w:tcW w:w="1094" w:type="dxa"/>
            <w:vMerge w:val="continue"/>
            <w:tcBorders>
              <w:top w:val="single" w:color="auto" w:sz="4" w:space="0"/>
              <w:left w:val="single" w:color="auto" w:sz="4" w:space="0"/>
              <w:bottom w:val="single" w:color="auto" w:sz="4" w:space="0"/>
              <w:right w:val="single" w:color="auto" w:sz="4" w:space="0"/>
            </w:tcBorders>
            <w:noWrap/>
            <w:vAlign w:val="center"/>
          </w:tcPr>
          <w:p w14:paraId="5E6046CA">
            <w:pPr>
              <w:keepNext w:val="0"/>
              <w:keepLines w:val="0"/>
              <w:suppressLineNumbers w:val="0"/>
              <w:spacing w:before="0" w:beforeAutospacing="0" w:after="0" w:afterAutospacing="0" w:line="260" w:lineRule="exact"/>
              <w:ind w:left="0" w:right="0"/>
              <w:rPr>
                <w:rFonts w:hint="default"/>
              </w:rPr>
            </w:pPr>
          </w:p>
        </w:tc>
        <w:tc>
          <w:tcPr>
            <w:tcW w:w="3428" w:type="dxa"/>
            <w:tcBorders>
              <w:top w:val="single" w:color="auto" w:sz="4" w:space="0"/>
              <w:left w:val="single" w:color="auto" w:sz="4" w:space="0"/>
              <w:bottom w:val="single" w:color="auto" w:sz="4" w:space="0"/>
              <w:right w:val="single" w:color="auto" w:sz="4" w:space="0"/>
            </w:tcBorders>
            <w:noWrap/>
            <w:vAlign w:val="center"/>
          </w:tcPr>
          <w:p w14:paraId="0E173ED4">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任务3区域合作工作经费</w:t>
            </w:r>
          </w:p>
        </w:tc>
        <w:tc>
          <w:tcPr>
            <w:tcW w:w="8733" w:type="dxa"/>
            <w:gridSpan w:val="2"/>
            <w:tcBorders>
              <w:top w:val="single" w:color="auto" w:sz="4" w:space="0"/>
              <w:left w:val="single" w:color="auto" w:sz="4" w:space="0"/>
              <w:bottom w:val="single" w:color="auto" w:sz="4" w:space="0"/>
              <w:right w:val="single" w:color="auto" w:sz="4" w:space="0"/>
            </w:tcBorders>
            <w:noWrap/>
            <w:vAlign w:val="center"/>
          </w:tcPr>
          <w:p w14:paraId="220A8DFD">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积极融入新发展格局，推进区域协调发展，深入实施大开放大合作战略，全面对接国省重大区域战略，主动融入成渝地区双城经济圈建设，加快建设成渝地区北向重要门户枢纽、成渝地区生态康养“后花园”、成渝地区绿色产品供给地和成渝地区产业协作配套基地。推动川东北经济区振兴发展，加快阆苍南一体化协同发展。深化川陕甘结合部城市合作，促进广巴汉陇协同发展。积极融入长江经济带经济发展，主动融入西部陆海新通道建设，在更大范围更高层次承接产业转移。</w:t>
            </w:r>
          </w:p>
        </w:tc>
      </w:tr>
      <w:tr w14:paraId="40A5D055">
        <w:tblPrEx>
          <w:tblCellMar>
            <w:top w:w="0" w:type="dxa"/>
            <w:left w:w="108" w:type="dxa"/>
            <w:bottom w:w="0" w:type="dxa"/>
            <w:right w:w="108" w:type="dxa"/>
          </w:tblCellMar>
        </w:tblPrEx>
        <w:trPr>
          <w:trHeight w:val="1640" w:hRule="atLeast"/>
        </w:trPr>
        <w:tc>
          <w:tcPr>
            <w:tcW w:w="1094" w:type="dxa"/>
            <w:vMerge w:val="continue"/>
            <w:tcBorders>
              <w:top w:val="single" w:color="auto" w:sz="4" w:space="0"/>
              <w:left w:val="single" w:color="auto" w:sz="4" w:space="0"/>
              <w:bottom w:val="single" w:color="auto" w:sz="4" w:space="0"/>
              <w:right w:val="single" w:color="auto" w:sz="4" w:space="0"/>
            </w:tcBorders>
            <w:noWrap/>
            <w:vAlign w:val="center"/>
          </w:tcPr>
          <w:p w14:paraId="5AAA1562">
            <w:pPr>
              <w:keepNext w:val="0"/>
              <w:keepLines w:val="0"/>
              <w:suppressLineNumbers w:val="0"/>
              <w:spacing w:before="0" w:beforeAutospacing="0" w:after="0" w:afterAutospacing="0" w:line="260" w:lineRule="exact"/>
              <w:ind w:left="0" w:right="0"/>
              <w:rPr>
                <w:rFonts w:hint="default"/>
              </w:rPr>
            </w:pPr>
          </w:p>
        </w:tc>
        <w:tc>
          <w:tcPr>
            <w:tcW w:w="3428" w:type="dxa"/>
            <w:tcBorders>
              <w:top w:val="single" w:color="auto" w:sz="4" w:space="0"/>
              <w:left w:val="single" w:color="auto" w:sz="4" w:space="0"/>
              <w:bottom w:val="single" w:color="auto" w:sz="4" w:space="0"/>
              <w:right w:val="single" w:color="auto" w:sz="4" w:space="0"/>
            </w:tcBorders>
            <w:noWrap/>
            <w:vAlign w:val="center"/>
          </w:tcPr>
          <w:p w14:paraId="429CA4FD">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任务4争取项目资金工作经费</w:t>
            </w:r>
          </w:p>
        </w:tc>
        <w:tc>
          <w:tcPr>
            <w:tcW w:w="8733" w:type="dxa"/>
            <w:gridSpan w:val="2"/>
            <w:tcBorders>
              <w:top w:val="single" w:color="auto" w:sz="4" w:space="0"/>
              <w:left w:val="single" w:color="auto" w:sz="4" w:space="0"/>
              <w:bottom w:val="single" w:color="auto" w:sz="4" w:space="0"/>
              <w:right w:val="single" w:color="auto" w:sz="4" w:space="0"/>
            </w:tcBorders>
            <w:noWrap/>
            <w:vAlign w:val="center"/>
          </w:tcPr>
          <w:p w14:paraId="31A8E651">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1.加强政策指导，印发地方政府专项债、中省预算内投资等政策指导相关资料，组织各县区和市级有关部门开展培训指导。2.组织开展项目储备申报工作，收集汇总并审核全市地方政府专项债、中省预算内投资拟申报项目，加快2022年已申报项目的推进力度，谋划生成一批新重点项目，加强与省发展改革委、省财政厅、省金融工作局及其他省级部门的汇报对接，力争我市更多项目资金纳入国省计划盘子；3.强化要素保障，加快推进拟申报项目前期工作，统筹协调各县区、市级有关部门办理用地预审、规划选址、稳定风险评估、环境影响评价、节能审查、安全评价和审批（核准、备案）等前期要件，不定期召开困难问题会商会，切实提高项目申报成功率；4.加强督查督办，对全市地方政府专项债、中省预算内投资项目储备申报等工作实行定期调度机制，定期通报各县区和市级部门工作开展情况、项目谋划和推进情况以及项目资金落实情况等。</w:t>
            </w:r>
          </w:p>
        </w:tc>
      </w:tr>
      <w:tr w14:paraId="63B0CB41">
        <w:tblPrEx>
          <w:tblCellMar>
            <w:top w:w="0" w:type="dxa"/>
            <w:left w:w="108" w:type="dxa"/>
            <w:bottom w:w="0" w:type="dxa"/>
            <w:right w:w="108" w:type="dxa"/>
          </w:tblCellMar>
        </w:tblPrEx>
        <w:trPr>
          <w:trHeight w:val="980" w:hRule="atLeast"/>
        </w:trPr>
        <w:tc>
          <w:tcPr>
            <w:tcW w:w="1094" w:type="dxa"/>
            <w:vMerge w:val="continue"/>
            <w:tcBorders>
              <w:top w:val="single" w:color="auto" w:sz="4" w:space="0"/>
              <w:left w:val="single" w:color="auto" w:sz="4" w:space="0"/>
              <w:bottom w:val="single" w:color="auto" w:sz="4" w:space="0"/>
              <w:right w:val="single" w:color="auto" w:sz="4" w:space="0"/>
            </w:tcBorders>
            <w:noWrap/>
            <w:vAlign w:val="center"/>
          </w:tcPr>
          <w:p w14:paraId="744A2BFF">
            <w:pPr>
              <w:keepNext w:val="0"/>
              <w:keepLines w:val="0"/>
              <w:suppressLineNumbers w:val="0"/>
              <w:spacing w:before="0" w:beforeAutospacing="0" w:after="0" w:afterAutospacing="0" w:line="260" w:lineRule="exact"/>
              <w:ind w:left="0" w:right="0"/>
              <w:rPr>
                <w:rFonts w:hint="default"/>
              </w:rPr>
            </w:pPr>
          </w:p>
        </w:tc>
        <w:tc>
          <w:tcPr>
            <w:tcW w:w="3428" w:type="dxa"/>
            <w:tcBorders>
              <w:top w:val="single" w:color="auto" w:sz="4" w:space="0"/>
              <w:left w:val="single" w:color="auto" w:sz="4" w:space="0"/>
              <w:bottom w:val="single" w:color="auto" w:sz="4" w:space="0"/>
              <w:right w:val="single" w:color="auto" w:sz="4" w:space="0"/>
            </w:tcBorders>
            <w:noWrap/>
            <w:vAlign w:val="center"/>
          </w:tcPr>
          <w:p w14:paraId="2B44B2CA">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任务5粮食工作经费（包含粮食安全党政同责考核、行政执法工作经费、普法经费）</w:t>
            </w:r>
          </w:p>
        </w:tc>
        <w:tc>
          <w:tcPr>
            <w:tcW w:w="8733" w:type="dxa"/>
            <w:gridSpan w:val="2"/>
            <w:tcBorders>
              <w:top w:val="single" w:color="auto" w:sz="4" w:space="0"/>
              <w:left w:val="single" w:color="auto" w:sz="4" w:space="0"/>
              <w:bottom w:val="single" w:color="auto" w:sz="4" w:space="0"/>
              <w:right w:val="single" w:color="auto" w:sz="4" w:space="0"/>
            </w:tcBorders>
            <w:noWrap/>
            <w:vAlign w:val="center"/>
          </w:tcPr>
          <w:p w14:paraId="25A4D6F5">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1.政策性储备粮油库存及轮换检查；2.小包装应急粮油监督检查；3.依据国、省、市粮食安全考核办法，牵头组织市级13个部门归集上报考核评分资料。4.大力推进粮食产业发展及项目申报，切实做好粮油价格监测预警，强化粮油统计及培训工作。5..认真做好全系统安全生产工作，抓好安全培训、宣传和预防工作。6.加强军粮供应管理，稳定军供粮油质量及监督检查，为部队官兵提供食品安全保障；7.做好处理突发事件和应对自然灾害的粮油及物资保障。8.做好应急粮油体系建设。9.全市清仓查库检查工作。10.粮食收购监督检查。</w:t>
            </w:r>
          </w:p>
        </w:tc>
      </w:tr>
      <w:tr w14:paraId="0CC0ABD1">
        <w:tblPrEx>
          <w:tblCellMar>
            <w:top w:w="0" w:type="dxa"/>
            <w:left w:w="108" w:type="dxa"/>
            <w:bottom w:w="0" w:type="dxa"/>
            <w:right w:w="108" w:type="dxa"/>
          </w:tblCellMar>
        </w:tblPrEx>
        <w:trPr>
          <w:trHeight w:val="560" w:hRule="atLeast"/>
        </w:trPr>
        <w:tc>
          <w:tcPr>
            <w:tcW w:w="1094" w:type="dxa"/>
            <w:vMerge w:val="restart"/>
            <w:tcBorders>
              <w:top w:val="single" w:color="auto" w:sz="4" w:space="0"/>
              <w:left w:val="single" w:color="auto" w:sz="4" w:space="0"/>
              <w:bottom w:val="single" w:color="auto" w:sz="4" w:space="0"/>
              <w:right w:val="single" w:color="auto" w:sz="4" w:space="0"/>
            </w:tcBorders>
            <w:noWrap/>
            <w:vAlign w:val="center"/>
          </w:tcPr>
          <w:p w14:paraId="0C772E89">
            <w:pPr>
              <w:keepNext w:val="0"/>
              <w:keepLines w:val="0"/>
              <w:suppressLineNumbers w:val="0"/>
              <w:spacing w:before="0" w:beforeAutospacing="0" w:after="0" w:afterAutospacing="0" w:line="260" w:lineRule="exact"/>
              <w:ind w:left="0" w:right="0"/>
              <w:rPr>
                <w:rFonts w:hint="default"/>
              </w:rPr>
            </w:pPr>
          </w:p>
        </w:tc>
        <w:tc>
          <w:tcPr>
            <w:tcW w:w="3428" w:type="dxa"/>
            <w:tcBorders>
              <w:top w:val="single" w:color="auto" w:sz="4" w:space="0"/>
              <w:left w:val="single" w:color="auto" w:sz="4" w:space="0"/>
              <w:bottom w:val="single" w:color="auto" w:sz="4" w:space="0"/>
              <w:right w:val="single" w:color="auto" w:sz="4" w:space="0"/>
            </w:tcBorders>
            <w:noWrap/>
            <w:vAlign w:val="center"/>
          </w:tcPr>
          <w:p w14:paraId="78753A3C">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任务6派驻纪检组经费</w:t>
            </w:r>
          </w:p>
        </w:tc>
        <w:tc>
          <w:tcPr>
            <w:tcW w:w="8733" w:type="dxa"/>
            <w:gridSpan w:val="2"/>
            <w:tcBorders>
              <w:top w:val="single" w:color="auto" w:sz="4" w:space="0"/>
              <w:left w:val="single" w:color="auto" w:sz="4" w:space="0"/>
              <w:bottom w:val="single" w:color="auto" w:sz="4" w:space="0"/>
              <w:right w:val="single" w:color="auto" w:sz="4" w:space="0"/>
            </w:tcBorders>
            <w:noWrap/>
            <w:vAlign w:val="top"/>
          </w:tcPr>
          <w:p w14:paraId="284E0057">
            <w:pPr>
              <w:keepNext w:val="0"/>
              <w:keepLines w:val="0"/>
              <w:suppressLineNumbers w:val="0"/>
              <w:spacing w:before="0" w:beforeAutospacing="0" w:after="0" w:afterAutospacing="0" w:line="260" w:lineRule="exact"/>
              <w:ind w:left="0" w:right="0"/>
              <w:jc w:val="left"/>
              <w:textAlignment w:val="top"/>
              <w:rPr>
                <w:rFonts w:hint="eastAsia" w:ascii="宋体" w:eastAsia="宋体" w:cs="宋体"/>
                <w:color w:val="000000"/>
                <w:sz w:val="20"/>
                <w:szCs w:val="20"/>
              </w:rPr>
            </w:pPr>
            <w:r>
              <w:rPr>
                <w:rFonts w:hint="eastAsia" w:ascii="宋体" w:eastAsia="宋体" w:cs="宋体"/>
                <w:color w:val="000000"/>
                <w:kern w:val="0"/>
                <w:sz w:val="20"/>
                <w:szCs w:val="20"/>
              </w:rPr>
              <w:t xml:space="preserve"> 进一步巩固发展综合监督单位良好政治生态，为加快建设川陕甘结合部现代化中心城市提供坚强的政治保证、纪律保证和作风保证。</w:t>
            </w:r>
          </w:p>
        </w:tc>
      </w:tr>
      <w:tr w14:paraId="30532EB3">
        <w:tblPrEx>
          <w:tblCellMar>
            <w:top w:w="0" w:type="dxa"/>
            <w:left w:w="108" w:type="dxa"/>
            <w:bottom w:w="0" w:type="dxa"/>
            <w:right w:w="108" w:type="dxa"/>
          </w:tblCellMar>
        </w:tblPrEx>
        <w:trPr>
          <w:trHeight w:val="600" w:hRule="atLeast"/>
        </w:trPr>
        <w:tc>
          <w:tcPr>
            <w:tcW w:w="1094" w:type="dxa"/>
            <w:vMerge w:val="continue"/>
            <w:tcBorders>
              <w:top w:val="single" w:color="auto" w:sz="4" w:space="0"/>
              <w:left w:val="single" w:color="auto" w:sz="4" w:space="0"/>
              <w:bottom w:val="single" w:color="auto" w:sz="4" w:space="0"/>
              <w:right w:val="single" w:color="auto" w:sz="4" w:space="0"/>
            </w:tcBorders>
            <w:noWrap/>
            <w:vAlign w:val="center"/>
          </w:tcPr>
          <w:p w14:paraId="28FA93C5">
            <w:pPr>
              <w:keepNext w:val="0"/>
              <w:keepLines w:val="0"/>
              <w:suppressLineNumbers w:val="0"/>
              <w:spacing w:before="0" w:beforeAutospacing="0" w:after="0" w:afterAutospacing="0" w:line="260" w:lineRule="exact"/>
              <w:ind w:left="0" w:right="0"/>
              <w:rPr>
                <w:rFonts w:hint="default"/>
              </w:rPr>
            </w:pPr>
          </w:p>
        </w:tc>
        <w:tc>
          <w:tcPr>
            <w:tcW w:w="3428" w:type="dxa"/>
            <w:tcBorders>
              <w:top w:val="single" w:color="auto" w:sz="4" w:space="0"/>
              <w:left w:val="single" w:color="auto" w:sz="4" w:space="0"/>
              <w:bottom w:val="single" w:color="auto" w:sz="4" w:space="0"/>
              <w:right w:val="single" w:color="auto" w:sz="4" w:space="0"/>
            </w:tcBorders>
            <w:noWrap/>
            <w:vAlign w:val="center"/>
          </w:tcPr>
          <w:p w14:paraId="04B79031">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任务7乡村振兴工作经费</w:t>
            </w:r>
          </w:p>
        </w:tc>
        <w:tc>
          <w:tcPr>
            <w:tcW w:w="8733" w:type="dxa"/>
            <w:gridSpan w:val="2"/>
            <w:tcBorders>
              <w:top w:val="single" w:color="auto" w:sz="4" w:space="0"/>
              <w:left w:val="single" w:color="auto" w:sz="4" w:space="0"/>
              <w:bottom w:val="single" w:color="auto" w:sz="4" w:space="0"/>
              <w:right w:val="single" w:color="auto" w:sz="4" w:space="0"/>
            </w:tcBorders>
            <w:noWrap/>
            <w:vAlign w:val="top"/>
          </w:tcPr>
          <w:p w14:paraId="0D00AFD6">
            <w:pPr>
              <w:keepNext w:val="0"/>
              <w:keepLines w:val="0"/>
              <w:suppressLineNumbers w:val="0"/>
              <w:spacing w:before="0" w:beforeAutospacing="0" w:after="0" w:afterAutospacing="0" w:line="260" w:lineRule="exact"/>
              <w:ind w:left="0" w:right="0"/>
              <w:jc w:val="left"/>
              <w:textAlignment w:val="top"/>
              <w:rPr>
                <w:rFonts w:hint="eastAsia" w:ascii="宋体" w:eastAsia="宋体" w:cs="宋体"/>
                <w:color w:val="000000"/>
                <w:sz w:val="20"/>
                <w:szCs w:val="20"/>
              </w:rPr>
            </w:pPr>
            <w:r>
              <w:rPr>
                <w:rFonts w:hint="eastAsia" w:ascii="宋体" w:eastAsia="宋体" w:cs="宋体"/>
                <w:color w:val="000000"/>
                <w:kern w:val="0"/>
                <w:sz w:val="20"/>
                <w:szCs w:val="20"/>
              </w:rPr>
              <w:t>持续巩固朝天区羊木镇新山村和曾家镇毛坝村“脱贫攻坚”成果，保障工作力量，着力以夯实基础、发展产业、丰富文化为主要目标，培育造血功能，提高居民收入，整体提升生活水平。有效实现脱贫攻坚与乡村振兴的有效衔接。</w:t>
            </w:r>
          </w:p>
        </w:tc>
      </w:tr>
      <w:tr w14:paraId="63C141DF">
        <w:tblPrEx>
          <w:tblCellMar>
            <w:top w:w="0" w:type="dxa"/>
            <w:left w:w="108" w:type="dxa"/>
            <w:bottom w:w="0" w:type="dxa"/>
            <w:right w:w="108" w:type="dxa"/>
          </w:tblCellMar>
        </w:tblPrEx>
        <w:trPr>
          <w:trHeight w:val="560" w:hRule="atLeast"/>
        </w:trPr>
        <w:tc>
          <w:tcPr>
            <w:tcW w:w="1094" w:type="dxa"/>
            <w:vMerge w:val="continue"/>
            <w:tcBorders>
              <w:top w:val="single" w:color="auto" w:sz="4" w:space="0"/>
              <w:left w:val="single" w:color="auto" w:sz="4" w:space="0"/>
              <w:bottom w:val="single" w:color="auto" w:sz="4" w:space="0"/>
              <w:right w:val="single" w:color="auto" w:sz="4" w:space="0"/>
            </w:tcBorders>
            <w:noWrap/>
            <w:vAlign w:val="center"/>
          </w:tcPr>
          <w:p w14:paraId="49722031">
            <w:pPr>
              <w:keepNext w:val="0"/>
              <w:keepLines w:val="0"/>
              <w:suppressLineNumbers w:val="0"/>
              <w:spacing w:before="0" w:beforeAutospacing="0" w:after="0" w:afterAutospacing="0" w:line="260" w:lineRule="exact"/>
              <w:ind w:left="0" w:right="0"/>
              <w:rPr>
                <w:rFonts w:hint="default"/>
              </w:rPr>
            </w:pPr>
          </w:p>
        </w:tc>
        <w:tc>
          <w:tcPr>
            <w:tcW w:w="3428" w:type="dxa"/>
            <w:tcBorders>
              <w:top w:val="single" w:color="auto" w:sz="4" w:space="0"/>
              <w:left w:val="single" w:color="auto" w:sz="4" w:space="0"/>
              <w:bottom w:val="single" w:color="auto" w:sz="4" w:space="0"/>
              <w:right w:val="single" w:color="auto" w:sz="4" w:space="0"/>
            </w:tcBorders>
            <w:noWrap/>
            <w:vAlign w:val="center"/>
          </w:tcPr>
          <w:p w14:paraId="0F332A66">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任务8广元市低碳研究会工作经费</w:t>
            </w:r>
          </w:p>
        </w:tc>
        <w:tc>
          <w:tcPr>
            <w:tcW w:w="8733" w:type="dxa"/>
            <w:gridSpan w:val="2"/>
            <w:tcBorders>
              <w:top w:val="single" w:color="auto" w:sz="4" w:space="0"/>
              <w:left w:val="single" w:color="auto" w:sz="4" w:space="0"/>
              <w:bottom w:val="single" w:color="auto" w:sz="4" w:space="0"/>
              <w:right w:val="single" w:color="auto" w:sz="4" w:space="0"/>
            </w:tcBorders>
            <w:noWrap/>
            <w:vAlign w:val="center"/>
          </w:tcPr>
          <w:p w14:paraId="1C9C14E7">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编印《广元低碳》刊物2期；低碳日活动；开展调查研究。</w:t>
            </w:r>
          </w:p>
        </w:tc>
      </w:tr>
      <w:tr w14:paraId="4AB9D88D">
        <w:tblPrEx>
          <w:tblCellMar>
            <w:top w:w="0" w:type="dxa"/>
            <w:left w:w="108" w:type="dxa"/>
            <w:bottom w:w="0" w:type="dxa"/>
            <w:right w:w="108" w:type="dxa"/>
          </w:tblCellMar>
        </w:tblPrEx>
        <w:trPr>
          <w:trHeight w:val="740" w:hRule="atLeast"/>
        </w:trPr>
        <w:tc>
          <w:tcPr>
            <w:tcW w:w="1094" w:type="dxa"/>
            <w:vMerge w:val="continue"/>
            <w:tcBorders>
              <w:top w:val="single" w:color="auto" w:sz="4" w:space="0"/>
              <w:left w:val="single" w:color="auto" w:sz="4" w:space="0"/>
              <w:bottom w:val="single" w:color="auto" w:sz="4" w:space="0"/>
              <w:right w:val="single" w:color="auto" w:sz="4" w:space="0"/>
            </w:tcBorders>
            <w:noWrap/>
            <w:vAlign w:val="center"/>
          </w:tcPr>
          <w:p w14:paraId="2141925A">
            <w:pPr>
              <w:keepNext w:val="0"/>
              <w:keepLines w:val="0"/>
              <w:suppressLineNumbers w:val="0"/>
              <w:spacing w:before="0" w:beforeAutospacing="0" w:after="0" w:afterAutospacing="0" w:line="260" w:lineRule="exact"/>
              <w:ind w:left="0" w:right="0"/>
              <w:rPr>
                <w:rFonts w:hint="default"/>
              </w:rPr>
            </w:pPr>
          </w:p>
        </w:tc>
        <w:tc>
          <w:tcPr>
            <w:tcW w:w="3428" w:type="dxa"/>
            <w:tcBorders>
              <w:top w:val="single" w:color="auto" w:sz="4" w:space="0"/>
              <w:left w:val="single" w:color="auto" w:sz="4" w:space="0"/>
              <w:bottom w:val="single" w:color="auto" w:sz="4" w:space="0"/>
              <w:right w:val="single" w:color="auto" w:sz="4" w:space="0"/>
            </w:tcBorders>
            <w:noWrap/>
            <w:vAlign w:val="center"/>
          </w:tcPr>
          <w:p w14:paraId="4891CC4C">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任务9粮食质量安全检验监测工作经费</w:t>
            </w:r>
          </w:p>
        </w:tc>
        <w:tc>
          <w:tcPr>
            <w:tcW w:w="8733" w:type="dxa"/>
            <w:gridSpan w:val="2"/>
            <w:tcBorders>
              <w:top w:val="single" w:color="auto" w:sz="4" w:space="0"/>
              <w:left w:val="single" w:color="auto" w:sz="4" w:space="0"/>
              <w:bottom w:val="single" w:color="auto" w:sz="4" w:space="0"/>
              <w:right w:val="single" w:color="auto" w:sz="4" w:space="0"/>
            </w:tcBorders>
            <w:noWrap/>
            <w:vAlign w:val="center"/>
          </w:tcPr>
          <w:p w14:paraId="2A0EEF70">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根据国家、省粮食和物资储备局和市委市政府等相关文件要求，并结合我站职能职责，承担全市政策性储备粮食、新收获粮食、应急粮食、军供粮食质量安全监测、重金属专项监测和粮食风险监测等任务，计划共检样品1360份，其中政策性库存粮食、新收获粮食、应急粮食、军供粮食样品200份，重金属污染监测样品1000份，产新粮食村级样品160份。我站将切实履行职能职责，一是做好全市储备粮食、新收获粮食、应急粮食、军供粮食质量安全监测出入库监测、专项监测和日常抽查监测工作；二是根据市政府主要领导批示要求，持续对本辖区产新稻谷及小麦中重金属含量进行动态监测，摸清重金属污染粮食分布规律并进行风险等级评估，维护本地粮食安全；</w:t>
            </w:r>
          </w:p>
        </w:tc>
      </w:tr>
      <w:tr w14:paraId="3B0ACB98">
        <w:tblPrEx>
          <w:tblCellMar>
            <w:top w:w="0" w:type="dxa"/>
            <w:left w:w="108" w:type="dxa"/>
            <w:bottom w:w="0" w:type="dxa"/>
            <w:right w:w="108" w:type="dxa"/>
          </w:tblCellMar>
        </w:tblPrEx>
        <w:trPr>
          <w:trHeight w:val="520" w:hRule="atLeast"/>
        </w:trPr>
        <w:tc>
          <w:tcPr>
            <w:tcW w:w="1094" w:type="dxa"/>
            <w:vMerge w:val="continue"/>
            <w:tcBorders>
              <w:top w:val="single" w:color="auto" w:sz="4" w:space="0"/>
              <w:left w:val="single" w:color="auto" w:sz="4" w:space="0"/>
              <w:bottom w:val="single" w:color="auto" w:sz="4" w:space="0"/>
              <w:right w:val="single" w:color="auto" w:sz="4" w:space="0"/>
            </w:tcBorders>
            <w:noWrap/>
            <w:vAlign w:val="center"/>
          </w:tcPr>
          <w:p w14:paraId="00856207">
            <w:pPr>
              <w:keepNext w:val="0"/>
              <w:keepLines w:val="0"/>
              <w:suppressLineNumbers w:val="0"/>
              <w:spacing w:before="0" w:beforeAutospacing="0" w:after="0" w:afterAutospacing="0" w:line="260" w:lineRule="exact"/>
              <w:ind w:left="0" w:right="0"/>
              <w:rPr>
                <w:rFonts w:hint="default"/>
              </w:rPr>
            </w:pPr>
          </w:p>
        </w:tc>
        <w:tc>
          <w:tcPr>
            <w:tcW w:w="3428" w:type="dxa"/>
            <w:tcBorders>
              <w:top w:val="single" w:color="auto" w:sz="4" w:space="0"/>
              <w:left w:val="single" w:color="auto" w:sz="4" w:space="0"/>
              <w:bottom w:val="single" w:color="auto" w:sz="4" w:space="0"/>
              <w:right w:val="single" w:color="auto" w:sz="4" w:space="0"/>
            </w:tcBorders>
            <w:noWrap/>
            <w:vAlign w:val="center"/>
          </w:tcPr>
          <w:p w14:paraId="3E1D1489">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任务10实验室基础设施及仪器设备运行维护费</w:t>
            </w:r>
          </w:p>
        </w:tc>
        <w:tc>
          <w:tcPr>
            <w:tcW w:w="8733" w:type="dxa"/>
            <w:gridSpan w:val="2"/>
            <w:tcBorders>
              <w:top w:val="single" w:color="auto" w:sz="4" w:space="0"/>
              <w:left w:val="single" w:color="auto" w:sz="4" w:space="0"/>
              <w:bottom w:val="single" w:color="auto" w:sz="4" w:space="0"/>
              <w:right w:val="single" w:color="auto" w:sz="4" w:space="0"/>
            </w:tcBorders>
            <w:noWrap/>
            <w:vAlign w:val="center"/>
          </w:tcPr>
          <w:p w14:paraId="346AFB09">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2023年计划完成仪器设备的检定、校准、期间核查、维护维修，及时维修维护实验室基础设施和检验检测仪器设备，保证实验环境条件满足检验检测工作要求，保证仪器设备稳定保证检验检测数据准确可靠。</w:t>
            </w:r>
          </w:p>
        </w:tc>
      </w:tr>
      <w:tr w14:paraId="1FC0CB09">
        <w:tblPrEx>
          <w:tblCellMar>
            <w:top w:w="0" w:type="dxa"/>
            <w:left w:w="108" w:type="dxa"/>
            <w:bottom w:w="0" w:type="dxa"/>
            <w:right w:w="108" w:type="dxa"/>
          </w:tblCellMar>
        </w:tblPrEx>
        <w:trPr>
          <w:trHeight w:val="560" w:hRule="atLeast"/>
        </w:trPr>
        <w:tc>
          <w:tcPr>
            <w:tcW w:w="1094" w:type="dxa"/>
            <w:vMerge w:val="continue"/>
            <w:tcBorders>
              <w:top w:val="single" w:color="auto" w:sz="4" w:space="0"/>
              <w:left w:val="single" w:color="auto" w:sz="4" w:space="0"/>
              <w:bottom w:val="single" w:color="auto" w:sz="4" w:space="0"/>
              <w:right w:val="single" w:color="auto" w:sz="4" w:space="0"/>
            </w:tcBorders>
            <w:noWrap/>
            <w:vAlign w:val="center"/>
          </w:tcPr>
          <w:p w14:paraId="4915FA44">
            <w:pPr>
              <w:keepNext w:val="0"/>
              <w:keepLines w:val="0"/>
              <w:suppressLineNumbers w:val="0"/>
              <w:spacing w:before="0" w:beforeAutospacing="0" w:after="0" w:afterAutospacing="0" w:line="260" w:lineRule="exact"/>
              <w:ind w:left="0" w:right="0"/>
              <w:rPr>
                <w:rFonts w:hint="default"/>
              </w:rPr>
            </w:pPr>
          </w:p>
        </w:tc>
        <w:tc>
          <w:tcPr>
            <w:tcW w:w="3428" w:type="dxa"/>
            <w:tcBorders>
              <w:top w:val="single" w:color="auto" w:sz="4" w:space="0"/>
              <w:left w:val="single" w:color="auto" w:sz="4" w:space="0"/>
              <w:bottom w:val="single" w:color="auto" w:sz="4" w:space="0"/>
              <w:right w:val="single" w:color="auto" w:sz="4" w:space="0"/>
            </w:tcBorders>
            <w:noWrap/>
            <w:vAlign w:val="center"/>
          </w:tcPr>
          <w:p w14:paraId="41FBF0FC">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任务11救灾物资装卸、翻晒、维护、保养、运输及仓库守库人员和保安人员工作经费</w:t>
            </w:r>
          </w:p>
        </w:tc>
        <w:tc>
          <w:tcPr>
            <w:tcW w:w="8733" w:type="dxa"/>
            <w:gridSpan w:val="2"/>
            <w:tcBorders>
              <w:top w:val="single" w:color="auto" w:sz="4" w:space="0"/>
              <w:left w:val="single" w:color="auto" w:sz="4" w:space="0"/>
              <w:bottom w:val="single" w:color="auto" w:sz="4" w:space="0"/>
              <w:right w:val="single" w:color="auto" w:sz="4" w:space="0"/>
            </w:tcBorders>
            <w:noWrap/>
            <w:vAlign w:val="center"/>
          </w:tcPr>
          <w:p w14:paraId="2C644862">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做好全年市级救灾物资采购，库存。加强值班值守、巡逻，确保3525平米库房安全，加强防火防盗、防虫、防霉变，以及救灾物资翻晒清洗工作，确保1500余万元救灾物资储备安全完整，确保全市受灾困难群众基本生活保障。</w:t>
            </w:r>
          </w:p>
        </w:tc>
      </w:tr>
      <w:tr w14:paraId="2A463529">
        <w:tblPrEx>
          <w:tblCellMar>
            <w:top w:w="0" w:type="dxa"/>
            <w:left w:w="108" w:type="dxa"/>
            <w:bottom w:w="0" w:type="dxa"/>
            <w:right w:w="108" w:type="dxa"/>
          </w:tblCellMar>
        </w:tblPrEx>
        <w:trPr>
          <w:trHeight w:val="940" w:hRule="atLeast"/>
        </w:trPr>
        <w:tc>
          <w:tcPr>
            <w:tcW w:w="1094" w:type="dxa"/>
            <w:vMerge w:val="continue"/>
            <w:tcBorders>
              <w:top w:val="single" w:color="auto" w:sz="4" w:space="0"/>
              <w:left w:val="single" w:color="auto" w:sz="4" w:space="0"/>
              <w:bottom w:val="single" w:color="auto" w:sz="4" w:space="0"/>
              <w:right w:val="single" w:color="auto" w:sz="4" w:space="0"/>
            </w:tcBorders>
            <w:noWrap/>
            <w:vAlign w:val="center"/>
          </w:tcPr>
          <w:p w14:paraId="478969B5">
            <w:pPr>
              <w:keepNext w:val="0"/>
              <w:keepLines w:val="0"/>
              <w:suppressLineNumbers w:val="0"/>
              <w:spacing w:before="0" w:beforeAutospacing="0" w:after="0" w:afterAutospacing="0" w:line="260" w:lineRule="exact"/>
              <w:ind w:left="0" w:right="0"/>
              <w:rPr>
                <w:rFonts w:hint="default"/>
              </w:rPr>
            </w:pPr>
          </w:p>
        </w:tc>
        <w:tc>
          <w:tcPr>
            <w:tcW w:w="3428" w:type="dxa"/>
            <w:tcBorders>
              <w:top w:val="single" w:color="auto" w:sz="4" w:space="0"/>
              <w:left w:val="single" w:color="auto" w:sz="4" w:space="0"/>
              <w:bottom w:val="single" w:color="auto" w:sz="4" w:space="0"/>
              <w:right w:val="single" w:color="auto" w:sz="4" w:space="0"/>
            </w:tcBorders>
            <w:noWrap/>
            <w:vAlign w:val="center"/>
          </w:tcPr>
          <w:p w14:paraId="14F1EDAE">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任务12广元市社会信用体系建设咨询服务项目（广元市创建全国社会信用体系建设示范区第三方综合咨询服务费）</w:t>
            </w:r>
          </w:p>
        </w:tc>
        <w:tc>
          <w:tcPr>
            <w:tcW w:w="8733" w:type="dxa"/>
            <w:gridSpan w:val="2"/>
            <w:tcBorders>
              <w:top w:val="single" w:color="auto" w:sz="4" w:space="0"/>
              <w:left w:val="single" w:color="auto" w:sz="4" w:space="0"/>
              <w:bottom w:val="single" w:color="auto" w:sz="4" w:space="0"/>
              <w:right w:val="single" w:color="auto" w:sz="4" w:space="0"/>
            </w:tcBorders>
            <w:noWrap/>
            <w:vAlign w:val="center"/>
          </w:tcPr>
          <w:p w14:paraId="6BA4FADE">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指导完成广元市创建全国社会信用体系建设示范区，在国家级新闻网站及信用专业网站宣传广元信用建设重要事项</w:t>
            </w:r>
            <w:r>
              <w:rPr>
                <w:rFonts w:hint="eastAsia" w:ascii="宋体" w:cs="宋体"/>
                <w:color w:val="000000"/>
                <w:kern w:val="0"/>
                <w:sz w:val="20"/>
                <w:szCs w:val="20"/>
                <w:lang w:eastAsia="zh-CN"/>
              </w:rPr>
              <w:t>，</w:t>
            </w:r>
            <w:r>
              <w:rPr>
                <w:rFonts w:hint="eastAsia" w:ascii="宋体" w:eastAsia="宋体" w:cs="宋体"/>
                <w:color w:val="000000"/>
                <w:kern w:val="0"/>
                <w:sz w:val="20"/>
                <w:szCs w:val="20"/>
              </w:rPr>
              <w:t>指导并完成合同履约监管系统搭建</w:t>
            </w:r>
            <w:r>
              <w:rPr>
                <w:rFonts w:hint="eastAsia" w:ascii="宋体" w:cs="宋体"/>
                <w:color w:val="000000"/>
                <w:kern w:val="0"/>
                <w:sz w:val="20"/>
                <w:szCs w:val="20"/>
                <w:lang w:eastAsia="zh-CN"/>
              </w:rPr>
              <w:t>，</w:t>
            </w:r>
            <w:r>
              <w:rPr>
                <w:rFonts w:hint="eastAsia" w:ascii="宋体" w:eastAsia="宋体" w:cs="宋体"/>
                <w:color w:val="000000"/>
                <w:kern w:val="0"/>
                <w:sz w:val="20"/>
                <w:szCs w:val="20"/>
              </w:rPr>
              <w:t>提升广元市社会信用体系城市信用监测指标排名。</w:t>
            </w:r>
          </w:p>
        </w:tc>
      </w:tr>
      <w:tr w14:paraId="7A28CD61">
        <w:tblPrEx>
          <w:tblCellMar>
            <w:top w:w="0" w:type="dxa"/>
            <w:left w:w="108" w:type="dxa"/>
            <w:bottom w:w="0" w:type="dxa"/>
            <w:right w:w="108" w:type="dxa"/>
          </w:tblCellMar>
        </w:tblPrEx>
        <w:trPr>
          <w:trHeight w:val="840" w:hRule="atLeast"/>
        </w:trPr>
        <w:tc>
          <w:tcPr>
            <w:tcW w:w="1094" w:type="dxa"/>
            <w:vMerge w:val="continue"/>
            <w:tcBorders>
              <w:top w:val="single" w:color="auto" w:sz="4" w:space="0"/>
              <w:left w:val="single" w:color="auto" w:sz="4" w:space="0"/>
              <w:bottom w:val="single" w:color="auto" w:sz="4" w:space="0"/>
              <w:right w:val="single" w:color="auto" w:sz="4" w:space="0"/>
            </w:tcBorders>
            <w:noWrap/>
            <w:vAlign w:val="center"/>
          </w:tcPr>
          <w:p w14:paraId="3D4A3590">
            <w:pPr>
              <w:keepNext w:val="0"/>
              <w:keepLines w:val="0"/>
              <w:suppressLineNumbers w:val="0"/>
              <w:spacing w:before="0" w:beforeAutospacing="0" w:after="0" w:afterAutospacing="0" w:line="260" w:lineRule="exact"/>
              <w:ind w:left="0" w:right="0"/>
              <w:rPr>
                <w:rFonts w:hint="default"/>
              </w:rPr>
            </w:pPr>
          </w:p>
        </w:tc>
        <w:tc>
          <w:tcPr>
            <w:tcW w:w="3428" w:type="dxa"/>
            <w:tcBorders>
              <w:top w:val="single" w:color="auto" w:sz="4" w:space="0"/>
              <w:left w:val="single" w:color="auto" w:sz="4" w:space="0"/>
              <w:bottom w:val="single" w:color="auto" w:sz="4" w:space="0"/>
              <w:right w:val="single" w:color="auto" w:sz="4" w:space="0"/>
            </w:tcBorders>
            <w:noWrap/>
            <w:vAlign w:val="center"/>
          </w:tcPr>
          <w:p w14:paraId="72AAEC53">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任务13农调户（登记员）误工补助、调查经费（依据调查网点规模和调查数量确定）、调查人员及价格监测人员（含监测点）的补助、其他和农产品调查和价格监测有关的费用</w:t>
            </w:r>
          </w:p>
        </w:tc>
        <w:tc>
          <w:tcPr>
            <w:tcW w:w="8733" w:type="dxa"/>
            <w:gridSpan w:val="2"/>
            <w:tcBorders>
              <w:top w:val="single" w:color="auto" w:sz="4" w:space="0"/>
              <w:left w:val="single" w:color="auto" w:sz="4" w:space="0"/>
              <w:bottom w:val="single" w:color="auto" w:sz="4" w:space="0"/>
              <w:right w:val="single" w:color="auto" w:sz="4" w:space="0"/>
            </w:tcBorders>
            <w:noWrap/>
            <w:vAlign w:val="center"/>
          </w:tcPr>
          <w:p w14:paraId="66D4102D">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按国家和省成本局的要求和安排，及时准确的对15个品种，30小类，大约130家调查户进行农产品的常规、直报调查，农户种植意向、存粮、农资购买、专项调查，蔬菜和生猪的流通环节的成本调查、生猪成本的月报调查。按国家和省价格监测局安排，对城市居民食品、农业生产资料、能源和工业生产资料、特色农产品、建材、城市居民服务价格7大类180个品种主要商品和服务价格及时进行采价、报价和动态分析，报送周报、旬报、月报、双月报等各类监测报表，做到数据真实准确。</w:t>
            </w:r>
          </w:p>
        </w:tc>
      </w:tr>
      <w:tr w14:paraId="3554F709">
        <w:tblPrEx>
          <w:tblCellMar>
            <w:top w:w="0" w:type="dxa"/>
            <w:left w:w="108" w:type="dxa"/>
            <w:bottom w:w="0" w:type="dxa"/>
            <w:right w:w="108" w:type="dxa"/>
          </w:tblCellMar>
        </w:tblPrEx>
        <w:trPr>
          <w:trHeight w:val="680" w:hRule="atLeast"/>
        </w:trPr>
        <w:tc>
          <w:tcPr>
            <w:tcW w:w="1094" w:type="dxa"/>
            <w:vMerge w:val="restart"/>
            <w:tcBorders>
              <w:top w:val="single" w:color="auto" w:sz="4" w:space="0"/>
              <w:left w:val="single" w:color="auto" w:sz="4" w:space="0"/>
              <w:bottom w:val="single" w:color="auto" w:sz="4" w:space="0"/>
              <w:right w:val="single" w:color="auto" w:sz="4" w:space="0"/>
            </w:tcBorders>
            <w:noWrap/>
            <w:vAlign w:val="center"/>
          </w:tcPr>
          <w:p w14:paraId="09A5A526">
            <w:pPr>
              <w:keepNext w:val="0"/>
              <w:keepLines w:val="0"/>
              <w:suppressLineNumbers w:val="0"/>
              <w:spacing w:before="0" w:beforeAutospacing="0" w:after="0" w:afterAutospacing="0" w:line="260" w:lineRule="exact"/>
              <w:ind w:left="0" w:right="0"/>
              <w:rPr>
                <w:rFonts w:hint="default"/>
              </w:rPr>
            </w:pPr>
          </w:p>
        </w:tc>
        <w:tc>
          <w:tcPr>
            <w:tcW w:w="3428" w:type="dxa"/>
            <w:tcBorders>
              <w:top w:val="single" w:color="auto" w:sz="4" w:space="0"/>
              <w:left w:val="single" w:color="auto" w:sz="4" w:space="0"/>
              <w:bottom w:val="single" w:color="auto" w:sz="4" w:space="0"/>
              <w:right w:val="single" w:color="auto" w:sz="4" w:space="0"/>
            </w:tcBorders>
            <w:noWrap/>
            <w:vAlign w:val="center"/>
          </w:tcPr>
          <w:p w14:paraId="387CA031">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任务142023年度公共信用平台建设项目</w:t>
            </w:r>
          </w:p>
        </w:tc>
        <w:tc>
          <w:tcPr>
            <w:tcW w:w="8733" w:type="dxa"/>
            <w:gridSpan w:val="2"/>
            <w:tcBorders>
              <w:top w:val="single" w:color="auto" w:sz="4" w:space="0"/>
              <w:left w:val="single" w:color="auto" w:sz="4" w:space="0"/>
              <w:bottom w:val="single" w:color="auto" w:sz="4" w:space="0"/>
              <w:right w:val="single" w:color="auto" w:sz="4" w:space="0"/>
            </w:tcBorders>
            <w:noWrap/>
            <w:vAlign w:val="center"/>
          </w:tcPr>
          <w:p w14:paraId="4E06FAB8">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指标1：完成广元市公共信用平台2023年度驻场运维服务；指标2：完成广元市公共信用平台建设项目</w:t>
            </w:r>
            <w:r>
              <w:rPr>
                <w:rFonts w:hint="eastAsia" w:ascii="宋体" w:cs="宋体"/>
                <w:color w:val="000000"/>
                <w:kern w:val="0"/>
                <w:sz w:val="20"/>
                <w:szCs w:val="20"/>
                <w:lang w:eastAsia="zh-CN"/>
              </w:rPr>
              <w:t>（</w:t>
            </w:r>
            <w:r>
              <w:rPr>
                <w:rFonts w:hint="eastAsia" w:ascii="宋体" w:eastAsia="宋体" w:cs="宋体"/>
                <w:color w:val="000000"/>
                <w:kern w:val="0"/>
                <w:sz w:val="20"/>
                <w:szCs w:val="20"/>
              </w:rPr>
              <w:t>一期)专项审计鉴证服务；</w:t>
            </w:r>
          </w:p>
        </w:tc>
      </w:tr>
      <w:tr w14:paraId="0C834B26">
        <w:tblPrEx>
          <w:tblCellMar>
            <w:top w:w="0" w:type="dxa"/>
            <w:left w:w="108" w:type="dxa"/>
            <w:bottom w:w="0" w:type="dxa"/>
            <w:right w:w="108" w:type="dxa"/>
          </w:tblCellMar>
        </w:tblPrEx>
        <w:trPr>
          <w:trHeight w:val="640" w:hRule="atLeast"/>
        </w:trPr>
        <w:tc>
          <w:tcPr>
            <w:tcW w:w="1094" w:type="dxa"/>
            <w:vMerge w:val="continue"/>
            <w:tcBorders>
              <w:top w:val="single" w:color="auto" w:sz="4" w:space="0"/>
              <w:left w:val="single" w:color="auto" w:sz="4" w:space="0"/>
              <w:bottom w:val="single" w:color="auto" w:sz="4" w:space="0"/>
              <w:right w:val="single" w:color="auto" w:sz="4" w:space="0"/>
            </w:tcBorders>
            <w:noWrap/>
            <w:vAlign w:val="center"/>
          </w:tcPr>
          <w:p w14:paraId="58D550BE">
            <w:pPr>
              <w:keepNext w:val="0"/>
              <w:keepLines w:val="0"/>
              <w:suppressLineNumbers w:val="0"/>
              <w:spacing w:before="0" w:beforeAutospacing="0" w:after="0" w:afterAutospacing="0" w:line="260" w:lineRule="exact"/>
              <w:ind w:left="0" w:right="0"/>
              <w:rPr>
                <w:rFonts w:hint="default"/>
              </w:rPr>
            </w:pPr>
          </w:p>
        </w:tc>
        <w:tc>
          <w:tcPr>
            <w:tcW w:w="3428" w:type="dxa"/>
            <w:tcBorders>
              <w:top w:val="single" w:color="auto" w:sz="4" w:space="0"/>
              <w:left w:val="single" w:color="auto" w:sz="4" w:space="0"/>
              <w:bottom w:val="single" w:color="auto" w:sz="4" w:space="0"/>
              <w:right w:val="single" w:color="auto" w:sz="4" w:space="0"/>
            </w:tcBorders>
            <w:noWrap/>
            <w:vAlign w:val="center"/>
          </w:tcPr>
          <w:p w14:paraId="2308AC63">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任务15成渝地区粮食安全保障基地实施方案编制费用</w:t>
            </w:r>
          </w:p>
        </w:tc>
        <w:tc>
          <w:tcPr>
            <w:tcW w:w="8733" w:type="dxa"/>
            <w:gridSpan w:val="2"/>
            <w:tcBorders>
              <w:top w:val="single" w:color="auto" w:sz="4" w:space="0"/>
              <w:left w:val="single" w:color="auto" w:sz="4" w:space="0"/>
              <w:bottom w:val="single" w:color="auto" w:sz="4" w:space="0"/>
              <w:right w:val="single" w:color="auto" w:sz="4" w:space="0"/>
            </w:tcBorders>
            <w:noWrap/>
            <w:vAlign w:val="center"/>
          </w:tcPr>
          <w:p w14:paraId="1FCE7876">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以推动高质量发展为主题，聚焦增强我市粮食仓储流通、收储调控、产业支撑、协同保障和现代化治理能力，围绕国省规划布局，根据市政府工作要求，立足区位优势，开展成渝地区粮食安全保障基地项目实施方案编制，打造产业基地、提升加工能力、建强仓储物流基础，打造成为成渝地区优质粮油产业基地、区域粮食仓储物流集散中心。</w:t>
            </w:r>
          </w:p>
        </w:tc>
      </w:tr>
      <w:tr w14:paraId="52533618">
        <w:tblPrEx>
          <w:tblCellMar>
            <w:top w:w="0" w:type="dxa"/>
            <w:left w:w="108" w:type="dxa"/>
            <w:bottom w:w="0" w:type="dxa"/>
            <w:right w:w="108" w:type="dxa"/>
          </w:tblCellMar>
        </w:tblPrEx>
        <w:trPr>
          <w:trHeight w:val="920" w:hRule="atLeast"/>
        </w:trPr>
        <w:tc>
          <w:tcPr>
            <w:tcW w:w="1094" w:type="dxa"/>
            <w:vMerge w:val="continue"/>
            <w:tcBorders>
              <w:top w:val="single" w:color="auto" w:sz="4" w:space="0"/>
              <w:left w:val="single" w:color="auto" w:sz="4" w:space="0"/>
              <w:bottom w:val="single" w:color="auto" w:sz="4" w:space="0"/>
              <w:right w:val="single" w:color="auto" w:sz="4" w:space="0"/>
            </w:tcBorders>
            <w:noWrap/>
            <w:vAlign w:val="center"/>
          </w:tcPr>
          <w:p w14:paraId="0663EF96">
            <w:pPr>
              <w:keepNext w:val="0"/>
              <w:keepLines w:val="0"/>
              <w:suppressLineNumbers w:val="0"/>
              <w:spacing w:before="0" w:beforeAutospacing="0" w:after="0" w:afterAutospacing="0" w:line="260" w:lineRule="exact"/>
              <w:ind w:left="0" w:right="0"/>
              <w:rPr>
                <w:rFonts w:hint="default"/>
              </w:rPr>
            </w:pPr>
          </w:p>
        </w:tc>
        <w:tc>
          <w:tcPr>
            <w:tcW w:w="3428" w:type="dxa"/>
            <w:tcBorders>
              <w:top w:val="single" w:color="auto" w:sz="4" w:space="0"/>
              <w:left w:val="single" w:color="auto" w:sz="4" w:space="0"/>
              <w:bottom w:val="single" w:color="auto" w:sz="4" w:space="0"/>
              <w:right w:val="single" w:color="auto" w:sz="4" w:space="0"/>
            </w:tcBorders>
            <w:noWrap/>
            <w:vAlign w:val="center"/>
          </w:tcPr>
          <w:p w14:paraId="512A188C">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任务16四川省生态产品价值实现机制试点经验交流现场会及调研</w:t>
            </w:r>
          </w:p>
        </w:tc>
        <w:tc>
          <w:tcPr>
            <w:tcW w:w="8733" w:type="dxa"/>
            <w:gridSpan w:val="2"/>
            <w:tcBorders>
              <w:top w:val="single" w:color="auto" w:sz="4" w:space="0"/>
              <w:left w:val="single" w:color="auto" w:sz="4" w:space="0"/>
              <w:bottom w:val="single" w:color="auto" w:sz="4" w:space="0"/>
              <w:right w:val="single" w:color="auto" w:sz="4" w:space="0"/>
            </w:tcBorders>
            <w:noWrap/>
            <w:vAlign w:val="center"/>
          </w:tcPr>
          <w:p w14:paraId="7A420615">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2023年3月15日至3月16日</w:t>
            </w:r>
            <w:r>
              <w:rPr>
                <w:rFonts w:hint="eastAsia" w:ascii="宋体" w:cs="宋体"/>
                <w:color w:val="000000"/>
                <w:kern w:val="0"/>
                <w:sz w:val="20"/>
                <w:szCs w:val="20"/>
                <w:lang w:eastAsia="zh-CN"/>
              </w:rPr>
              <w:t>，</w:t>
            </w:r>
            <w:r>
              <w:rPr>
                <w:rFonts w:hint="eastAsia" w:ascii="宋体" w:eastAsia="宋体" w:cs="宋体"/>
                <w:color w:val="000000"/>
                <w:kern w:val="0"/>
                <w:sz w:val="20"/>
                <w:szCs w:val="20"/>
              </w:rPr>
              <w:t>四川省发展和改革委员会、广元市人民政府主办，广元市发展和改革委员会承办的全省生态产品价值实现机制试点经验交流现场会在广元召开，省发展改革委、省级有关部门，省内各市州及部分县区政府和有关部门，我市各县区政府及有关部门，市级有关部门等160余人参会。国家发改委基础设施发展司领导参会并作讲话，调研我市相关工作推进情况。通过会议召开提升广元生态产品和生态产品价值实现机制试点工作知名度，扩大影响力。</w:t>
            </w:r>
          </w:p>
        </w:tc>
      </w:tr>
      <w:tr w14:paraId="610B78A8">
        <w:tblPrEx>
          <w:tblCellMar>
            <w:top w:w="0" w:type="dxa"/>
            <w:left w:w="108" w:type="dxa"/>
            <w:bottom w:w="0" w:type="dxa"/>
            <w:right w:w="108" w:type="dxa"/>
          </w:tblCellMar>
        </w:tblPrEx>
        <w:trPr>
          <w:trHeight w:val="1140" w:hRule="atLeast"/>
        </w:trPr>
        <w:tc>
          <w:tcPr>
            <w:tcW w:w="1094" w:type="dxa"/>
            <w:vMerge w:val="continue"/>
            <w:tcBorders>
              <w:top w:val="single" w:color="auto" w:sz="4" w:space="0"/>
              <w:left w:val="single" w:color="auto" w:sz="4" w:space="0"/>
              <w:bottom w:val="single" w:color="auto" w:sz="4" w:space="0"/>
              <w:right w:val="single" w:color="auto" w:sz="4" w:space="0"/>
            </w:tcBorders>
            <w:noWrap/>
            <w:vAlign w:val="center"/>
          </w:tcPr>
          <w:p w14:paraId="4EC94D77">
            <w:pPr>
              <w:keepNext w:val="0"/>
              <w:keepLines w:val="0"/>
              <w:suppressLineNumbers w:val="0"/>
              <w:spacing w:before="0" w:beforeAutospacing="0" w:after="0" w:afterAutospacing="0" w:line="260" w:lineRule="exact"/>
              <w:ind w:left="0" w:right="0"/>
              <w:rPr>
                <w:rFonts w:hint="default"/>
              </w:rPr>
            </w:pPr>
          </w:p>
        </w:tc>
        <w:tc>
          <w:tcPr>
            <w:tcW w:w="3428" w:type="dxa"/>
            <w:tcBorders>
              <w:top w:val="single" w:color="auto" w:sz="4" w:space="0"/>
              <w:left w:val="single" w:color="auto" w:sz="4" w:space="0"/>
              <w:bottom w:val="single" w:color="auto" w:sz="4" w:space="0"/>
              <w:right w:val="single" w:color="auto" w:sz="4" w:space="0"/>
            </w:tcBorders>
            <w:noWrap/>
            <w:vAlign w:val="center"/>
          </w:tcPr>
          <w:p w14:paraId="63DC7ED6">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任务17广元市推进“数字政府”建设专题培训会</w:t>
            </w:r>
          </w:p>
        </w:tc>
        <w:tc>
          <w:tcPr>
            <w:tcW w:w="8733" w:type="dxa"/>
            <w:gridSpan w:val="2"/>
            <w:tcBorders>
              <w:top w:val="single" w:color="auto" w:sz="4" w:space="0"/>
              <w:left w:val="single" w:color="auto" w:sz="4" w:space="0"/>
              <w:bottom w:val="single" w:color="auto" w:sz="4" w:space="0"/>
              <w:right w:val="single" w:color="auto" w:sz="4" w:space="0"/>
            </w:tcBorders>
            <w:noWrap/>
            <w:vAlign w:val="center"/>
          </w:tcPr>
          <w:p w14:paraId="12BE7574">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2023年5月15日至6月19日</w:t>
            </w:r>
            <w:r>
              <w:rPr>
                <w:rFonts w:hint="eastAsia" w:ascii="宋体" w:cs="宋体"/>
                <w:color w:val="000000"/>
                <w:kern w:val="0"/>
                <w:sz w:val="20"/>
                <w:szCs w:val="20"/>
                <w:lang w:eastAsia="zh-CN"/>
              </w:rPr>
              <w:t>，</w:t>
            </w:r>
            <w:r>
              <w:rPr>
                <w:rFonts w:hint="eastAsia" w:ascii="宋体" w:eastAsia="宋体" w:cs="宋体"/>
                <w:color w:val="000000"/>
                <w:kern w:val="0"/>
                <w:sz w:val="20"/>
                <w:szCs w:val="20"/>
              </w:rPr>
              <w:t>根据市委组织部《关于印发2023年市级重点专题培训项目计划的通知》（广组训〔2023〕10号）培训计划，市发展改革委委托浙江大学继续教育学院在杭州市举办“广元市推进“数字政府”建设专题培训班”，学习大数据时代下的智慧城市与城市大脑建设，以数字化改革牵引全面深化改革，政府数字化转型与数据治理，大数据应用及网络安全等数字化转型发展的浙江实践等内容，推进我市数字政府建设。</w:t>
            </w:r>
          </w:p>
        </w:tc>
      </w:tr>
      <w:tr w14:paraId="00FC1DC7">
        <w:tblPrEx>
          <w:tblCellMar>
            <w:top w:w="0" w:type="dxa"/>
            <w:left w:w="108" w:type="dxa"/>
            <w:bottom w:w="0" w:type="dxa"/>
            <w:right w:w="108" w:type="dxa"/>
          </w:tblCellMar>
        </w:tblPrEx>
        <w:trPr>
          <w:trHeight w:val="660" w:hRule="atLeast"/>
        </w:trPr>
        <w:tc>
          <w:tcPr>
            <w:tcW w:w="1094" w:type="dxa"/>
            <w:vMerge w:val="continue"/>
            <w:tcBorders>
              <w:top w:val="single" w:color="auto" w:sz="4" w:space="0"/>
              <w:left w:val="single" w:color="auto" w:sz="4" w:space="0"/>
              <w:bottom w:val="single" w:color="auto" w:sz="4" w:space="0"/>
              <w:right w:val="single" w:color="auto" w:sz="4" w:space="0"/>
            </w:tcBorders>
            <w:noWrap/>
            <w:vAlign w:val="center"/>
          </w:tcPr>
          <w:p w14:paraId="710AC7A7">
            <w:pPr>
              <w:keepNext w:val="0"/>
              <w:keepLines w:val="0"/>
              <w:suppressLineNumbers w:val="0"/>
              <w:spacing w:before="0" w:beforeAutospacing="0" w:after="0" w:afterAutospacing="0" w:line="260" w:lineRule="exact"/>
              <w:ind w:left="0" w:right="0"/>
              <w:rPr>
                <w:rFonts w:hint="default"/>
              </w:rPr>
            </w:pPr>
          </w:p>
        </w:tc>
        <w:tc>
          <w:tcPr>
            <w:tcW w:w="3428" w:type="dxa"/>
            <w:tcBorders>
              <w:top w:val="single" w:color="auto" w:sz="4" w:space="0"/>
              <w:left w:val="single" w:color="auto" w:sz="4" w:space="0"/>
              <w:bottom w:val="single" w:color="auto" w:sz="4" w:space="0"/>
              <w:right w:val="single" w:color="auto" w:sz="4" w:space="0"/>
            </w:tcBorders>
            <w:noWrap/>
            <w:vAlign w:val="center"/>
          </w:tcPr>
          <w:p w14:paraId="2AE4C77C">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任务18现代物流发展趋势与广元产业高质量发展专题讲座</w:t>
            </w:r>
          </w:p>
        </w:tc>
        <w:tc>
          <w:tcPr>
            <w:tcW w:w="8733" w:type="dxa"/>
            <w:gridSpan w:val="2"/>
            <w:tcBorders>
              <w:top w:val="single" w:color="auto" w:sz="4" w:space="0"/>
              <w:left w:val="single" w:color="auto" w:sz="4" w:space="0"/>
              <w:bottom w:val="single" w:color="auto" w:sz="4" w:space="0"/>
              <w:right w:val="single" w:color="auto" w:sz="4" w:space="0"/>
            </w:tcBorders>
            <w:noWrap/>
            <w:vAlign w:val="center"/>
          </w:tcPr>
          <w:p w14:paraId="362ADB34">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根据市委组织部《关于印发2023年市级重点专题培训项目计划的通知》（广组训〔2023〕10号）安排，2023年5月23日</w:t>
            </w:r>
            <w:r>
              <w:rPr>
                <w:rFonts w:hint="eastAsia" w:ascii="宋体" w:cs="宋体"/>
                <w:color w:val="000000"/>
                <w:kern w:val="0"/>
                <w:sz w:val="20"/>
                <w:szCs w:val="20"/>
                <w:lang w:eastAsia="zh-CN"/>
              </w:rPr>
              <w:t>，</w:t>
            </w:r>
            <w:r>
              <w:rPr>
                <w:rFonts w:hint="eastAsia" w:ascii="宋体" w:eastAsia="宋体" w:cs="宋体"/>
                <w:color w:val="000000"/>
                <w:kern w:val="0"/>
                <w:sz w:val="20"/>
                <w:szCs w:val="20"/>
              </w:rPr>
              <w:t>市委组织部、市发展和改革委员会组织承办了第68期蜀道大讲堂，邀请了国家发展改革委综合运输研究所所长汪明作“现代物流发展趋势与广元产业高质量发展”专题讲座，主会场市级有关部门518人参会，各县区设立分会场。讲座进一步统一了全市领导干部思想，凝聚发展现代物流共识，增强了开展现代物流工作能力和水平。</w:t>
            </w:r>
          </w:p>
        </w:tc>
      </w:tr>
      <w:tr w14:paraId="15BD57A2">
        <w:tblPrEx>
          <w:tblCellMar>
            <w:top w:w="0" w:type="dxa"/>
            <w:left w:w="108" w:type="dxa"/>
            <w:bottom w:w="0" w:type="dxa"/>
            <w:right w:w="108" w:type="dxa"/>
          </w:tblCellMar>
        </w:tblPrEx>
        <w:trPr>
          <w:trHeight w:val="780" w:hRule="atLeast"/>
        </w:trPr>
        <w:tc>
          <w:tcPr>
            <w:tcW w:w="1094" w:type="dxa"/>
            <w:vMerge w:val="continue"/>
            <w:tcBorders>
              <w:top w:val="single" w:color="auto" w:sz="4" w:space="0"/>
              <w:left w:val="single" w:color="auto" w:sz="4" w:space="0"/>
              <w:bottom w:val="single" w:color="auto" w:sz="4" w:space="0"/>
              <w:right w:val="single" w:color="auto" w:sz="4" w:space="0"/>
            </w:tcBorders>
            <w:noWrap/>
            <w:vAlign w:val="center"/>
          </w:tcPr>
          <w:p w14:paraId="5F4BEC20">
            <w:pPr>
              <w:keepNext w:val="0"/>
              <w:keepLines w:val="0"/>
              <w:suppressLineNumbers w:val="0"/>
              <w:spacing w:before="0" w:beforeAutospacing="0" w:after="0" w:afterAutospacing="0" w:line="260" w:lineRule="exact"/>
              <w:ind w:left="0" w:right="0"/>
              <w:rPr>
                <w:rFonts w:hint="default"/>
              </w:rPr>
            </w:pPr>
          </w:p>
        </w:tc>
        <w:tc>
          <w:tcPr>
            <w:tcW w:w="3428" w:type="dxa"/>
            <w:tcBorders>
              <w:top w:val="single" w:color="auto" w:sz="4" w:space="0"/>
              <w:left w:val="single" w:color="auto" w:sz="4" w:space="0"/>
              <w:bottom w:val="single" w:color="auto" w:sz="4" w:space="0"/>
              <w:right w:val="single" w:color="auto" w:sz="4" w:space="0"/>
            </w:tcBorders>
            <w:noWrap/>
            <w:vAlign w:val="center"/>
          </w:tcPr>
          <w:p w14:paraId="3B8F9F57">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任务19市清洁能源产业专班工作经费</w:t>
            </w:r>
          </w:p>
        </w:tc>
        <w:tc>
          <w:tcPr>
            <w:tcW w:w="8733" w:type="dxa"/>
            <w:gridSpan w:val="2"/>
            <w:tcBorders>
              <w:top w:val="single" w:color="auto" w:sz="4" w:space="0"/>
              <w:left w:val="single" w:color="auto" w:sz="4" w:space="0"/>
              <w:bottom w:val="single" w:color="auto" w:sz="4" w:space="0"/>
              <w:right w:val="single" w:color="auto" w:sz="4" w:space="0"/>
            </w:tcBorders>
            <w:noWrap/>
            <w:vAlign w:val="center"/>
          </w:tcPr>
          <w:p w14:paraId="40890AC0">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根据广元市清洁能源产业专班关于印发《广元市清洁能源产业2023年工作要点》的通知要求，2023年，确保双鱼石、九龙山、永宁、元坝四大净化厂稳产达产，加快四川能投广元燃机工程等天然气项目建设，建成投产八庙沟水电站，开工建设广坪、西庙、碗泉等风电项目。力争2023年培育新进规企业1家，洽谈项目10个以上，签约项目2个以上，新开工项目5个，完工项目1个。</w:t>
            </w:r>
          </w:p>
        </w:tc>
      </w:tr>
      <w:tr w14:paraId="09430F3A">
        <w:tblPrEx>
          <w:tblCellMar>
            <w:top w:w="0" w:type="dxa"/>
            <w:left w:w="108" w:type="dxa"/>
            <w:bottom w:w="0" w:type="dxa"/>
            <w:right w:w="108" w:type="dxa"/>
          </w:tblCellMar>
        </w:tblPrEx>
        <w:trPr>
          <w:trHeight w:val="270" w:hRule="atLeast"/>
        </w:trPr>
        <w:tc>
          <w:tcPr>
            <w:tcW w:w="1094" w:type="dxa"/>
            <w:vMerge w:val="continue"/>
            <w:tcBorders>
              <w:top w:val="single" w:color="auto" w:sz="4" w:space="0"/>
              <w:left w:val="single" w:color="auto" w:sz="4" w:space="0"/>
              <w:bottom w:val="single" w:color="auto" w:sz="4" w:space="0"/>
              <w:right w:val="single" w:color="auto" w:sz="4" w:space="0"/>
            </w:tcBorders>
            <w:noWrap/>
            <w:vAlign w:val="center"/>
          </w:tcPr>
          <w:p w14:paraId="373377CC">
            <w:pPr>
              <w:keepNext w:val="0"/>
              <w:keepLines w:val="0"/>
              <w:suppressLineNumbers w:val="0"/>
              <w:spacing w:before="0" w:beforeAutospacing="0" w:after="0" w:afterAutospacing="0" w:line="260" w:lineRule="exact"/>
              <w:ind w:left="0" w:right="0"/>
              <w:rPr>
                <w:rFonts w:hint="default"/>
              </w:rPr>
            </w:pPr>
          </w:p>
        </w:tc>
        <w:tc>
          <w:tcPr>
            <w:tcW w:w="3428" w:type="dxa"/>
            <w:tcBorders>
              <w:top w:val="single" w:color="auto" w:sz="4" w:space="0"/>
              <w:left w:val="single" w:color="auto" w:sz="4" w:space="0"/>
              <w:bottom w:val="single" w:color="auto" w:sz="4" w:space="0"/>
              <w:right w:val="single" w:color="auto" w:sz="4" w:space="0"/>
            </w:tcBorders>
            <w:noWrap/>
            <w:vAlign w:val="center"/>
          </w:tcPr>
          <w:p w14:paraId="766C099B">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任务20县域经济学会年度会费、服务费</w:t>
            </w:r>
          </w:p>
        </w:tc>
        <w:tc>
          <w:tcPr>
            <w:tcW w:w="8733" w:type="dxa"/>
            <w:gridSpan w:val="2"/>
            <w:tcBorders>
              <w:top w:val="single" w:color="auto" w:sz="4" w:space="0"/>
              <w:left w:val="single" w:color="auto" w:sz="4" w:space="0"/>
              <w:bottom w:val="single" w:color="auto" w:sz="4" w:space="0"/>
              <w:right w:val="single" w:color="auto" w:sz="4" w:space="0"/>
            </w:tcBorders>
            <w:noWrap/>
            <w:vAlign w:val="center"/>
          </w:tcPr>
          <w:p w14:paraId="2E71D256">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为推动县域经济高质量发展，我市与四川省县域经济学会建立了长期合作关系，我市担任省县域经济学会常务理事单位，每年与其签订服务协议，为我市在其主办的《当代县域经济》《县域经济》杂志上刊发我市城市形象广告，宣传报道我市县域经济发展，为我市提供专家咨询调研等服务。</w:t>
            </w:r>
          </w:p>
        </w:tc>
      </w:tr>
      <w:tr w14:paraId="49BFD5A8">
        <w:tblPrEx>
          <w:tblCellMar>
            <w:top w:w="0" w:type="dxa"/>
            <w:left w:w="108" w:type="dxa"/>
            <w:bottom w:w="0" w:type="dxa"/>
            <w:right w:w="108" w:type="dxa"/>
          </w:tblCellMar>
        </w:tblPrEx>
        <w:trPr>
          <w:trHeight w:val="270" w:hRule="atLeast"/>
        </w:trPr>
        <w:tc>
          <w:tcPr>
            <w:tcW w:w="1094" w:type="dxa"/>
            <w:vMerge w:val="continue"/>
            <w:tcBorders>
              <w:top w:val="single" w:color="auto" w:sz="4" w:space="0"/>
              <w:left w:val="single" w:color="auto" w:sz="4" w:space="0"/>
              <w:bottom w:val="single" w:color="auto" w:sz="4" w:space="0"/>
              <w:right w:val="single" w:color="auto" w:sz="4" w:space="0"/>
            </w:tcBorders>
            <w:noWrap/>
            <w:vAlign w:val="center"/>
          </w:tcPr>
          <w:p w14:paraId="34BA9A39">
            <w:pPr>
              <w:keepNext w:val="0"/>
              <w:keepLines w:val="0"/>
              <w:suppressLineNumbers w:val="0"/>
              <w:spacing w:before="0" w:beforeAutospacing="0" w:after="0" w:afterAutospacing="0" w:line="260" w:lineRule="exact"/>
              <w:ind w:left="0" w:right="0"/>
              <w:rPr>
                <w:rFonts w:hint="default"/>
              </w:rPr>
            </w:pPr>
          </w:p>
        </w:tc>
        <w:tc>
          <w:tcPr>
            <w:tcW w:w="3428" w:type="dxa"/>
            <w:tcBorders>
              <w:top w:val="single" w:color="auto" w:sz="4" w:space="0"/>
              <w:left w:val="single" w:color="auto" w:sz="4" w:space="0"/>
              <w:bottom w:val="single" w:color="auto" w:sz="4" w:space="0"/>
              <w:right w:val="single" w:color="auto" w:sz="4" w:space="0"/>
            </w:tcBorders>
            <w:noWrap/>
            <w:vAlign w:val="center"/>
          </w:tcPr>
          <w:p w14:paraId="31134160">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任务21广元市现代物流产业培育和对外推荐活动经费</w:t>
            </w:r>
          </w:p>
        </w:tc>
        <w:tc>
          <w:tcPr>
            <w:tcW w:w="8733" w:type="dxa"/>
            <w:gridSpan w:val="2"/>
            <w:tcBorders>
              <w:top w:val="single" w:color="auto" w:sz="4" w:space="0"/>
              <w:left w:val="single" w:color="auto" w:sz="4" w:space="0"/>
              <w:bottom w:val="single" w:color="auto" w:sz="4" w:space="0"/>
              <w:right w:val="single" w:color="auto" w:sz="4" w:space="0"/>
            </w:tcBorders>
            <w:noWrap/>
            <w:vAlign w:val="center"/>
          </w:tcPr>
          <w:p w14:paraId="3F9D3536">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搭建交流合作平台，邀请现代物流头部企业及部分生产、贸易龙头企业领导，相关行业协会领导，知名专家，分享物流产业发展的高效管理模式和先进运营经验，推动合作共赢，引领促进全国物流产业高质量发展；聚焦枢纽产业集聚融合与物流园区运营管理、多式联运跨界协作与实体经济降本增效、高铁快运探索创新与适配产业培育发展方面分享成功经验，创新发展思路，探索困难问题解决对策和方案；借助中国物流与采购联合会社会影响力，集聚一批从事生产、贸易和物流的企业、协会到广元考察参会，促成一批企业签约布局广元、投资广元，推进通道优势向经济优势加速转变，助力广元创建国家物流枢纽承载城市，并通过主流权威媒体和专业媒体宣传报道，提升广元知名度和美誉度。</w:t>
            </w:r>
          </w:p>
        </w:tc>
      </w:tr>
      <w:tr w14:paraId="1D4D7D55">
        <w:tblPrEx>
          <w:tblCellMar>
            <w:top w:w="0" w:type="dxa"/>
            <w:left w:w="108" w:type="dxa"/>
            <w:bottom w:w="0" w:type="dxa"/>
            <w:right w:w="108" w:type="dxa"/>
          </w:tblCellMar>
        </w:tblPrEx>
        <w:trPr>
          <w:trHeight w:val="270" w:hRule="atLeast"/>
        </w:trPr>
        <w:tc>
          <w:tcPr>
            <w:tcW w:w="1094" w:type="dxa"/>
            <w:vMerge w:val="restart"/>
            <w:tcBorders>
              <w:top w:val="single" w:color="auto" w:sz="4" w:space="0"/>
              <w:left w:val="single" w:color="auto" w:sz="4" w:space="0"/>
              <w:bottom w:val="single" w:color="auto" w:sz="4" w:space="0"/>
              <w:right w:val="single" w:color="auto" w:sz="4" w:space="0"/>
            </w:tcBorders>
            <w:noWrap/>
            <w:vAlign w:val="center"/>
          </w:tcPr>
          <w:p w14:paraId="27EED2FA">
            <w:pPr>
              <w:keepNext w:val="0"/>
              <w:keepLines w:val="0"/>
              <w:suppressLineNumbers w:val="0"/>
              <w:spacing w:before="0" w:beforeAutospacing="0" w:after="0" w:afterAutospacing="0" w:line="260" w:lineRule="exact"/>
              <w:ind w:left="0" w:right="0"/>
              <w:rPr>
                <w:rFonts w:hint="default"/>
              </w:rPr>
            </w:pPr>
          </w:p>
        </w:tc>
        <w:tc>
          <w:tcPr>
            <w:tcW w:w="3428" w:type="dxa"/>
            <w:tcBorders>
              <w:top w:val="single" w:color="auto" w:sz="4" w:space="0"/>
              <w:left w:val="single" w:color="auto" w:sz="4" w:space="0"/>
              <w:bottom w:val="single" w:color="auto" w:sz="4" w:space="0"/>
              <w:right w:val="single" w:color="auto" w:sz="4" w:space="0"/>
            </w:tcBorders>
            <w:noWrap/>
            <w:vAlign w:val="center"/>
          </w:tcPr>
          <w:p w14:paraId="27598F91">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任务222023年救灾物资采购资金</w:t>
            </w:r>
          </w:p>
        </w:tc>
        <w:tc>
          <w:tcPr>
            <w:tcW w:w="8733" w:type="dxa"/>
            <w:gridSpan w:val="2"/>
            <w:tcBorders>
              <w:top w:val="single" w:color="auto" w:sz="4" w:space="0"/>
              <w:left w:val="single" w:color="auto" w:sz="4" w:space="0"/>
              <w:bottom w:val="single" w:color="auto" w:sz="4" w:space="0"/>
              <w:right w:val="single" w:color="auto" w:sz="4" w:space="0"/>
            </w:tcBorders>
            <w:noWrap/>
            <w:vAlign w:val="center"/>
          </w:tcPr>
          <w:p w14:paraId="3EE10AA9">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做好全年市级救灾物资的采购、储备和管理，确保储备救灾物资的安全完整，为全市受灾困难群众基本生活提供保障。</w:t>
            </w:r>
          </w:p>
        </w:tc>
      </w:tr>
      <w:tr w14:paraId="23F56C69">
        <w:tblPrEx>
          <w:tblCellMar>
            <w:top w:w="0" w:type="dxa"/>
            <w:left w:w="108" w:type="dxa"/>
            <w:bottom w:w="0" w:type="dxa"/>
            <w:right w:w="108" w:type="dxa"/>
          </w:tblCellMar>
        </w:tblPrEx>
        <w:trPr>
          <w:trHeight w:val="270" w:hRule="atLeast"/>
        </w:trPr>
        <w:tc>
          <w:tcPr>
            <w:tcW w:w="1094" w:type="dxa"/>
            <w:vMerge w:val="continue"/>
            <w:tcBorders>
              <w:top w:val="single" w:color="auto" w:sz="4" w:space="0"/>
              <w:left w:val="single" w:color="auto" w:sz="4" w:space="0"/>
              <w:bottom w:val="single" w:color="auto" w:sz="4" w:space="0"/>
              <w:right w:val="single" w:color="auto" w:sz="4" w:space="0"/>
            </w:tcBorders>
            <w:noWrap/>
            <w:vAlign w:val="center"/>
          </w:tcPr>
          <w:p w14:paraId="54EF6B2E">
            <w:pPr>
              <w:keepNext w:val="0"/>
              <w:keepLines w:val="0"/>
              <w:suppressLineNumbers w:val="0"/>
              <w:spacing w:before="0" w:beforeAutospacing="0" w:after="0" w:afterAutospacing="0" w:line="260" w:lineRule="exact"/>
              <w:ind w:left="0" w:right="0"/>
              <w:rPr>
                <w:rFonts w:hint="default"/>
              </w:rPr>
            </w:pPr>
          </w:p>
        </w:tc>
        <w:tc>
          <w:tcPr>
            <w:tcW w:w="3428" w:type="dxa"/>
            <w:tcBorders>
              <w:top w:val="single" w:color="auto" w:sz="4" w:space="0"/>
              <w:left w:val="single" w:color="auto" w:sz="4" w:space="0"/>
              <w:bottom w:val="single" w:color="auto" w:sz="4" w:space="0"/>
              <w:right w:val="single" w:color="auto" w:sz="4" w:space="0"/>
            </w:tcBorders>
            <w:noWrap/>
            <w:vAlign w:val="center"/>
          </w:tcPr>
          <w:p w14:paraId="265A7AF3">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任务232023年省预算内基本建设资金（第三批））</w:t>
            </w:r>
          </w:p>
        </w:tc>
        <w:tc>
          <w:tcPr>
            <w:tcW w:w="8733" w:type="dxa"/>
            <w:gridSpan w:val="2"/>
            <w:tcBorders>
              <w:top w:val="single" w:color="auto" w:sz="4" w:space="0"/>
              <w:left w:val="single" w:color="auto" w:sz="4" w:space="0"/>
              <w:bottom w:val="single" w:color="auto" w:sz="4" w:space="0"/>
              <w:right w:val="single" w:color="auto" w:sz="4" w:space="0"/>
            </w:tcBorders>
            <w:noWrap/>
            <w:vAlign w:val="center"/>
          </w:tcPr>
          <w:p w14:paraId="48D3BC90">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用于中煤广元煤电一体化项目、成渝地区粮食安全保障基地项目和推动国家、省级经济开发区高质量发展项目开展前期工作。</w:t>
            </w:r>
          </w:p>
        </w:tc>
      </w:tr>
      <w:tr w14:paraId="0C89B7EF">
        <w:tblPrEx>
          <w:tblCellMar>
            <w:top w:w="0" w:type="dxa"/>
            <w:left w:w="108" w:type="dxa"/>
            <w:bottom w:w="0" w:type="dxa"/>
            <w:right w:w="108" w:type="dxa"/>
          </w:tblCellMar>
        </w:tblPrEx>
        <w:trPr>
          <w:trHeight w:val="270" w:hRule="atLeast"/>
        </w:trPr>
        <w:tc>
          <w:tcPr>
            <w:tcW w:w="1094" w:type="dxa"/>
            <w:vMerge w:val="continue"/>
            <w:tcBorders>
              <w:top w:val="single" w:color="auto" w:sz="4" w:space="0"/>
              <w:left w:val="single" w:color="auto" w:sz="4" w:space="0"/>
              <w:bottom w:val="single" w:color="auto" w:sz="4" w:space="0"/>
              <w:right w:val="single" w:color="auto" w:sz="4" w:space="0"/>
            </w:tcBorders>
            <w:noWrap/>
            <w:vAlign w:val="center"/>
          </w:tcPr>
          <w:p w14:paraId="4B13FCD8">
            <w:pPr>
              <w:keepNext w:val="0"/>
              <w:keepLines w:val="0"/>
              <w:suppressLineNumbers w:val="0"/>
              <w:spacing w:before="0" w:beforeAutospacing="0" w:after="0" w:afterAutospacing="0" w:line="260" w:lineRule="exact"/>
              <w:ind w:left="0" w:right="0"/>
              <w:rPr>
                <w:rFonts w:hint="default"/>
              </w:rPr>
            </w:pPr>
          </w:p>
        </w:tc>
        <w:tc>
          <w:tcPr>
            <w:tcW w:w="3428" w:type="dxa"/>
            <w:tcBorders>
              <w:top w:val="single" w:color="auto" w:sz="4" w:space="0"/>
              <w:left w:val="single" w:color="auto" w:sz="4" w:space="0"/>
              <w:bottom w:val="single" w:color="auto" w:sz="4" w:space="0"/>
              <w:right w:val="single" w:color="auto" w:sz="4" w:space="0"/>
            </w:tcBorders>
            <w:noWrap/>
            <w:vAlign w:val="center"/>
          </w:tcPr>
          <w:p w14:paraId="1FCC35F3">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任务242023年省预算内基本建设资金（第七批）支出预算</w:t>
            </w:r>
          </w:p>
        </w:tc>
        <w:tc>
          <w:tcPr>
            <w:tcW w:w="8733" w:type="dxa"/>
            <w:gridSpan w:val="2"/>
            <w:tcBorders>
              <w:top w:val="single" w:color="auto" w:sz="4" w:space="0"/>
              <w:left w:val="single" w:color="auto" w:sz="4" w:space="0"/>
              <w:bottom w:val="single" w:color="auto" w:sz="4" w:space="0"/>
              <w:right w:val="single" w:color="auto" w:sz="4" w:space="0"/>
            </w:tcBorders>
            <w:noWrap/>
            <w:vAlign w:val="center"/>
          </w:tcPr>
          <w:p w14:paraId="0B8A1A25">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用于广元市新型智慧城市建设项目、中煤广元煤电一体化项目、打造成渝地区能源安全保障基地项目开展前期工作，推动项目加快建设、尽快形成实物工作量，充分发挥投资拉动作用，全力推动经济运行整体好转、实现质的有效提升和量的合理增长。</w:t>
            </w:r>
          </w:p>
        </w:tc>
      </w:tr>
      <w:tr w14:paraId="6C014846">
        <w:tblPrEx>
          <w:tblCellMar>
            <w:top w:w="0" w:type="dxa"/>
            <w:left w:w="108" w:type="dxa"/>
            <w:bottom w:w="0" w:type="dxa"/>
            <w:right w:w="108" w:type="dxa"/>
          </w:tblCellMar>
        </w:tblPrEx>
        <w:trPr>
          <w:trHeight w:val="640" w:hRule="atLeast"/>
        </w:trPr>
        <w:tc>
          <w:tcPr>
            <w:tcW w:w="1094" w:type="dxa"/>
            <w:vMerge w:val="continue"/>
            <w:tcBorders>
              <w:top w:val="single" w:color="auto" w:sz="4" w:space="0"/>
              <w:left w:val="single" w:color="auto" w:sz="4" w:space="0"/>
              <w:bottom w:val="single" w:color="auto" w:sz="4" w:space="0"/>
              <w:right w:val="single" w:color="auto" w:sz="4" w:space="0"/>
            </w:tcBorders>
            <w:noWrap/>
            <w:vAlign w:val="center"/>
          </w:tcPr>
          <w:p w14:paraId="375EEF6F">
            <w:pPr>
              <w:keepNext w:val="0"/>
              <w:keepLines w:val="0"/>
              <w:suppressLineNumbers w:val="0"/>
              <w:spacing w:before="0" w:beforeAutospacing="0" w:after="0" w:afterAutospacing="0" w:line="260" w:lineRule="exact"/>
              <w:ind w:left="0" w:right="0"/>
              <w:rPr>
                <w:rFonts w:hint="default"/>
              </w:rPr>
            </w:pPr>
          </w:p>
        </w:tc>
        <w:tc>
          <w:tcPr>
            <w:tcW w:w="3428" w:type="dxa"/>
            <w:tcBorders>
              <w:top w:val="single" w:color="auto" w:sz="4" w:space="0"/>
              <w:left w:val="single" w:color="auto" w:sz="4" w:space="0"/>
              <w:bottom w:val="single" w:color="auto" w:sz="4" w:space="0"/>
              <w:right w:val="single" w:color="auto" w:sz="4" w:space="0"/>
            </w:tcBorders>
            <w:noWrap/>
            <w:vAlign w:val="center"/>
          </w:tcPr>
          <w:p w14:paraId="65FA27DC">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任务25商品粮大市奖励资金</w:t>
            </w:r>
          </w:p>
        </w:tc>
        <w:tc>
          <w:tcPr>
            <w:tcW w:w="8733" w:type="dxa"/>
            <w:gridSpan w:val="2"/>
            <w:tcBorders>
              <w:top w:val="single" w:color="auto" w:sz="4" w:space="0"/>
              <w:left w:val="single" w:color="auto" w:sz="4" w:space="0"/>
              <w:bottom w:val="single" w:color="auto" w:sz="4" w:space="0"/>
              <w:right w:val="single" w:color="auto" w:sz="4" w:space="0"/>
            </w:tcBorders>
            <w:noWrap/>
            <w:vAlign w:val="top"/>
          </w:tcPr>
          <w:p w14:paraId="2DA914D5">
            <w:pPr>
              <w:keepNext w:val="0"/>
              <w:keepLines w:val="0"/>
              <w:suppressLineNumbers w:val="0"/>
              <w:spacing w:before="0" w:beforeAutospacing="0" w:after="0" w:afterAutospacing="0" w:line="260" w:lineRule="exact"/>
              <w:ind w:left="0" w:right="0"/>
              <w:jc w:val="left"/>
              <w:textAlignment w:val="top"/>
              <w:rPr>
                <w:rFonts w:hint="eastAsia" w:ascii="宋体" w:eastAsia="宋体" w:cs="宋体"/>
                <w:color w:val="000000"/>
                <w:sz w:val="20"/>
                <w:szCs w:val="20"/>
              </w:rPr>
            </w:pPr>
            <w:r>
              <w:rPr>
                <w:rFonts w:hint="eastAsia" w:ascii="宋体" w:eastAsia="宋体" w:cs="宋体"/>
                <w:color w:val="000000"/>
                <w:kern w:val="0"/>
                <w:sz w:val="20"/>
                <w:szCs w:val="20"/>
              </w:rPr>
              <w:t>1、根据审批后的采购方案执行， 按期完成采购任务</w:t>
            </w:r>
            <w:r>
              <w:rPr>
                <w:rFonts w:hint="eastAsia" w:ascii="宋体" w:cs="宋体"/>
                <w:color w:val="000000"/>
                <w:kern w:val="0"/>
                <w:sz w:val="20"/>
                <w:szCs w:val="20"/>
                <w:lang w:eastAsia="zh-CN"/>
              </w:rPr>
              <w:t>：</w:t>
            </w:r>
            <w:r>
              <w:rPr>
                <w:rFonts w:hint="eastAsia" w:ascii="宋体" w:eastAsia="宋体" w:cs="宋体"/>
                <w:color w:val="000000"/>
                <w:kern w:val="0"/>
                <w:sz w:val="20"/>
                <w:szCs w:val="20"/>
              </w:rPr>
              <w:t xml:space="preserve"> 2、严格执行政府采购程序相关规定，执行率达到100%;3、粮油质量安全检验检测人才队伍进一步优化，能力进一步提升。</w:t>
            </w:r>
          </w:p>
        </w:tc>
      </w:tr>
    </w:tbl>
    <w:p w14:paraId="76BBD5E4">
      <w:pPr>
        <w:spacing w:line="260" w:lineRule="exact"/>
        <w:jc w:val="center"/>
        <w:textAlignment w:val="center"/>
        <w:rPr>
          <w:rFonts w:ascii="宋体" w:eastAsia="宋体" w:cs="宋体"/>
          <w:color w:val="000000"/>
          <w:kern w:val="0"/>
          <w:sz w:val="20"/>
          <w:szCs w:val="20"/>
        </w:rPr>
        <w:sectPr>
          <w:pgSz w:w="16838" w:h="11906" w:orient="landscape"/>
          <w:pgMar w:top="1588" w:right="2098" w:bottom="1474" w:left="1701" w:header="851" w:footer="1418" w:gutter="0"/>
          <w:pgNumType w:fmt="decimal"/>
          <w:cols w:space="720" w:num="1"/>
          <w:docGrid w:type="linesAndChars" w:linePitch="435" w:charSpace="0"/>
        </w:sectPr>
      </w:pPr>
    </w:p>
    <w:tbl>
      <w:tblPr>
        <w:tblStyle w:val="20"/>
        <w:tblW w:w="5000" w:type="pct"/>
        <w:tblInd w:w="0" w:type="dxa"/>
        <w:tblLayout w:type="fixed"/>
        <w:tblCellMar>
          <w:top w:w="0" w:type="dxa"/>
          <w:left w:w="108" w:type="dxa"/>
          <w:bottom w:w="0" w:type="dxa"/>
          <w:right w:w="108" w:type="dxa"/>
        </w:tblCellMar>
      </w:tblPr>
      <w:tblGrid>
        <w:gridCol w:w="570"/>
        <w:gridCol w:w="491"/>
        <w:gridCol w:w="215"/>
        <w:gridCol w:w="466"/>
        <w:gridCol w:w="733"/>
        <w:gridCol w:w="391"/>
        <w:gridCol w:w="329"/>
        <w:gridCol w:w="1605"/>
        <w:gridCol w:w="301"/>
        <w:gridCol w:w="898"/>
        <w:gridCol w:w="407"/>
        <w:gridCol w:w="3000"/>
        <w:gridCol w:w="372"/>
        <w:gridCol w:w="258"/>
        <w:gridCol w:w="658"/>
        <w:gridCol w:w="333"/>
        <w:gridCol w:w="1117"/>
        <w:gridCol w:w="757"/>
        <w:gridCol w:w="367"/>
        <w:gridCol w:w="447"/>
        <w:gridCol w:w="459"/>
      </w:tblGrid>
      <w:tr w14:paraId="45B880CC">
        <w:tblPrEx>
          <w:tblCellMar>
            <w:top w:w="0" w:type="dxa"/>
            <w:left w:w="108" w:type="dxa"/>
            <w:bottom w:w="0" w:type="dxa"/>
            <w:right w:w="108" w:type="dxa"/>
          </w:tblCellMar>
        </w:tblPrEx>
        <w:trPr>
          <w:trHeight w:val="557" w:hRule="atLeast"/>
        </w:trPr>
        <w:tc>
          <w:tcPr>
            <w:tcW w:w="201" w:type="pct"/>
            <w:tcBorders>
              <w:top w:val="single" w:color="000000" w:sz="4" w:space="0"/>
              <w:left w:val="single" w:color="000000" w:sz="4" w:space="0"/>
              <w:bottom w:val="single" w:color="000000" w:sz="4" w:space="0"/>
              <w:right w:val="single" w:color="000000" w:sz="4" w:space="0"/>
            </w:tcBorders>
            <w:noWrap/>
            <w:vAlign w:val="center"/>
          </w:tcPr>
          <w:p w14:paraId="7341421E">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p>
        </w:tc>
        <w:tc>
          <w:tcPr>
            <w:tcW w:w="248" w:type="pct"/>
            <w:gridSpan w:val="2"/>
            <w:tcBorders>
              <w:top w:val="single" w:color="000000" w:sz="4" w:space="0"/>
              <w:left w:val="single" w:color="000000" w:sz="4" w:space="0"/>
              <w:bottom w:val="single" w:color="000000" w:sz="4" w:space="0"/>
              <w:right w:val="single" w:color="000000" w:sz="4" w:space="0"/>
            </w:tcBorders>
            <w:noWrap/>
            <w:vAlign w:val="center"/>
          </w:tcPr>
          <w:p w14:paraId="45605A61">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一级指标</w:t>
            </w:r>
          </w:p>
        </w:tc>
        <w:tc>
          <w:tcPr>
            <w:tcW w:w="423" w:type="pct"/>
            <w:gridSpan w:val="2"/>
            <w:tcBorders>
              <w:top w:val="single" w:color="000000" w:sz="4" w:space="0"/>
              <w:left w:val="single" w:color="000000" w:sz="4" w:space="0"/>
              <w:bottom w:val="single" w:color="000000" w:sz="4" w:space="0"/>
              <w:right w:val="single" w:color="000000" w:sz="4" w:space="0"/>
            </w:tcBorders>
            <w:noWrap/>
            <w:vAlign w:val="center"/>
          </w:tcPr>
          <w:p w14:paraId="7CAF288A">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二级指标</w:t>
            </w:r>
          </w:p>
        </w:tc>
        <w:tc>
          <w:tcPr>
            <w:tcW w:w="925" w:type="pct"/>
            <w:gridSpan w:val="4"/>
            <w:tcBorders>
              <w:top w:val="single" w:color="000000" w:sz="4" w:space="0"/>
              <w:left w:val="single" w:color="000000" w:sz="4" w:space="0"/>
              <w:bottom w:val="single" w:color="000000" w:sz="4" w:space="0"/>
              <w:right w:val="single" w:color="000000" w:sz="4" w:space="0"/>
            </w:tcBorders>
            <w:noWrap/>
            <w:vAlign w:val="center"/>
          </w:tcPr>
          <w:p w14:paraId="12B8E342">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三级指标</w:t>
            </w:r>
          </w:p>
        </w:tc>
        <w:tc>
          <w:tcPr>
            <w:tcW w:w="460" w:type="pct"/>
            <w:gridSpan w:val="2"/>
            <w:tcBorders>
              <w:top w:val="single" w:color="000000" w:sz="4" w:space="0"/>
              <w:left w:val="single" w:color="000000" w:sz="4" w:space="0"/>
              <w:bottom w:val="single" w:color="000000" w:sz="4" w:space="0"/>
              <w:right w:val="single" w:color="000000" w:sz="4" w:space="0"/>
            </w:tcBorders>
            <w:noWrap/>
            <w:vAlign w:val="center"/>
          </w:tcPr>
          <w:p w14:paraId="41203DC6">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kern w:val="0"/>
                <w:sz w:val="20"/>
                <w:szCs w:val="20"/>
              </w:rPr>
            </w:pPr>
            <w:r>
              <w:rPr>
                <w:rFonts w:hint="eastAsia" w:ascii="宋体" w:eastAsia="宋体" w:cs="宋体"/>
                <w:color w:val="000000"/>
                <w:kern w:val="0"/>
                <w:sz w:val="20"/>
                <w:szCs w:val="20"/>
              </w:rPr>
              <w:t>绩效指标</w:t>
            </w:r>
          </w:p>
          <w:p w14:paraId="0FD3A41A">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性质</w:t>
            </w:r>
          </w:p>
        </w:tc>
        <w:tc>
          <w:tcPr>
            <w:tcW w:w="1058" w:type="pct"/>
            <w:tcBorders>
              <w:top w:val="single" w:color="000000" w:sz="4" w:space="0"/>
              <w:left w:val="single" w:color="000000" w:sz="4" w:space="0"/>
              <w:bottom w:val="single" w:color="000000" w:sz="4" w:space="0"/>
              <w:right w:val="single" w:color="000000" w:sz="4" w:space="0"/>
            </w:tcBorders>
            <w:noWrap/>
            <w:vAlign w:val="center"/>
          </w:tcPr>
          <w:p w14:paraId="6731952F">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绩效指标值</w:t>
            </w:r>
          </w:p>
        </w:tc>
        <w:tc>
          <w:tcPr>
            <w:tcW w:w="222" w:type="pct"/>
            <w:gridSpan w:val="2"/>
            <w:tcBorders>
              <w:top w:val="single" w:color="000000" w:sz="4" w:space="0"/>
              <w:left w:val="single" w:color="000000" w:sz="4" w:space="0"/>
              <w:bottom w:val="single" w:color="000000" w:sz="4" w:space="0"/>
              <w:right w:val="single" w:color="000000" w:sz="4" w:space="0"/>
            </w:tcBorders>
            <w:noWrap/>
            <w:vAlign w:val="center"/>
          </w:tcPr>
          <w:p w14:paraId="0CB8190A">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绩效度量单位</w:t>
            </w:r>
          </w:p>
        </w:tc>
        <w:tc>
          <w:tcPr>
            <w:tcW w:w="349" w:type="pct"/>
            <w:gridSpan w:val="2"/>
            <w:tcBorders>
              <w:top w:val="single" w:color="000000" w:sz="4" w:space="0"/>
              <w:left w:val="single" w:color="000000" w:sz="4" w:space="0"/>
              <w:bottom w:val="single" w:color="000000" w:sz="4" w:space="0"/>
              <w:right w:val="single" w:color="000000" w:sz="4" w:space="0"/>
            </w:tcBorders>
            <w:noWrap/>
            <w:vAlign w:val="center"/>
          </w:tcPr>
          <w:p w14:paraId="3C21FFF3">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权重</w:t>
            </w:r>
          </w:p>
        </w:tc>
        <w:tc>
          <w:tcPr>
            <w:tcW w:w="1110" w:type="pct"/>
            <w:gridSpan w:val="5"/>
            <w:tcBorders>
              <w:top w:val="single" w:color="000000" w:sz="4" w:space="0"/>
              <w:left w:val="single" w:color="000000" w:sz="4" w:space="0"/>
              <w:bottom w:val="single" w:color="000000" w:sz="4" w:space="0"/>
              <w:right w:val="single" w:color="000000" w:sz="4" w:space="0"/>
            </w:tcBorders>
            <w:noWrap/>
            <w:vAlign w:val="center"/>
          </w:tcPr>
          <w:p w14:paraId="522185AB">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kern w:val="0"/>
                <w:sz w:val="20"/>
                <w:szCs w:val="20"/>
              </w:rPr>
            </w:pPr>
            <w:r>
              <w:rPr>
                <w:rFonts w:hint="eastAsia" w:ascii="宋体" w:eastAsia="宋体" w:cs="宋体"/>
                <w:color w:val="000000"/>
                <w:kern w:val="0"/>
                <w:sz w:val="20"/>
                <w:szCs w:val="20"/>
              </w:rPr>
              <w:t>实际完成</w:t>
            </w:r>
          </w:p>
          <w:p w14:paraId="473B58B3">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指标值</w:t>
            </w:r>
          </w:p>
        </w:tc>
      </w:tr>
      <w:tr w14:paraId="4C740A9C">
        <w:tblPrEx>
          <w:tblCellMar>
            <w:top w:w="0" w:type="dxa"/>
            <w:left w:w="108" w:type="dxa"/>
            <w:bottom w:w="0" w:type="dxa"/>
            <w:right w:w="108" w:type="dxa"/>
          </w:tblCellMar>
        </w:tblPrEx>
        <w:trPr>
          <w:trHeight w:val="2320" w:hRule="atLeast"/>
        </w:trPr>
        <w:tc>
          <w:tcPr>
            <w:tcW w:w="201" w:type="pct"/>
            <w:vMerge w:val="restart"/>
            <w:tcBorders>
              <w:top w:val="single" w:color="000000" w:sz="4" w:space="0"/>
              <w:left w:val="single" w:color="000000" w:sz="4" w:space="0"/>
              <w:right w:val="single" w:color="000000" w:sz="4" w:space="0"/>
            </w:tcBorders>
            <w:noWrap/>
            <w:vAlign w:val="center"/>
          </w:tcPr>
          <w:p w14:paraId="1036E95D">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kern w:val="0"/>
                <w:sz w:val="20"/>
                <w:szCs w:val="20"/>
              </w:rPr>
            </w:pPr>
            <w:r>
              <w:rPr>
                <w:rFonts w:hint="eastAsia" w:ascii="宋体" w:eastAsia="宋体" w:cs="宋体"/>
                <w:color w:val="000000"/>
                <w:kern w:val="0"/>
                <w:sz w:val="20"/>
                <w:szCs w:val="20"/>
              </w:rPr>
              <w:t>年</w:t>
            </w:r>
          </w:p>
          <w:p w14:paraId="5B5F03EC">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kern w:val="0"/>
                <w:sz w:val="20"/>
                <w:szCs w:val="20"/>
              </w:rPr>
            </w:pPr>
            <w:r>
              <w:rPr>
                <w:rFonts w:hint="eastAsia" w:ascii="宋体" w:eastAsia="宋体" w:cs="宋体"/>
                <w:color w:val="000000"/>
                <w:kern w:val="0"/>
                <w:sz w:val="20"/>
                <w:szCs w:val="20"/>
              </w:rPr>
              <w:t>度</w:t>
            </w:r>
          </w:p>
          <w:p w14:paraId="5B979E02">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kern w:val="0"/>
                <w:sz w:val="20"/>
                <w:szCs w:val="20"/>
              </w:rPr>
            </w:pPr>
            <w:r>
              <w:rPr>
                <w:rFonts w:hint="eastAsia" w:ascii="宋体" w:eastAsia="宋体" w:cs="宋体"/>
                <w:color w:val="000000"/>
                <w:kern w:val="0"/>
                <w:sz w:val="20"/>
                <w:szCs w:val="20"/>
              </w:rPr>
              <w:t>绩</w:t>
            </w:r>
          </w:p>
          <w:p w14:paraId="77C33F59">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kern w:val="0"/>
                <w:sz w:val="20"/>
                <w:szCs w:val="20"/>
              </w:rPr>
            </w:pPr>
            <w:r>
              <w:rPr>
                <w:rFonts w:hint="eastAsia" w:ascii="宋体" w:eastAsia="宋体" w:cs="宋体"/>
                <w:color w:val="000000"/>
                <w:kern w:val="0"/>
                <w:sz w:val="20"/>
                <w:szCs w:val="20"/>
              </w:rPr>
              <w:t>效</w:t>
            </w:r>
          </w:p>
          <w:p w14:paraId="31C7EA9A">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kern w:val="0"/>
                <w:sz w:val="20"/>
                <w:szCs w:val="20"/>
              </w:rPr>
            </w:pPr>
            <w:r>
              <w:rPr>
                <w:rFonts w:hint="eastAsia" w:ascii="宋体" w:eastAsia="宋体" w:cs="宋体"/>
                <w:color w:val="000000"/>
                <w:kern w:val="0"/>
                <w:sz w:val="20"/>
                <w:szCs w:val="20"/>
              </w:rPr>
              <w:t>指</w:t>
            </w:r>
          </w:p>
          <w:p w14:paraId="16849DF3">
            <w:pPr>
              <w:keepNext w:val="0"/>
              <w:keepLines w:val="0"/>
              <w:suppressLineNumbers w:val="0"/>
              <w:spacing w:before="0" w:beforeAutospacing="0" w:after="0" w:afterAutospacing="0" w:line="260" w:lineRule="exact"/>
              <w:ind w:left="0" w:right="0"/>
              <w:jc w:val="center"/>
              <w:rPr>
                <w:rFonts w:hint="default"/>
              </w:rPr>
            </w:pPr>
            <w:r>
              <w:rPr>
                <w:rFonts w:hint="eastAsia" w:ascii="宋体" w:eastAsia="宋体" w:cs="宋体"/>
                <w:color w:val="000000"/>
                <w:kern w:val="0"/>
                <w:sz w:val="20"/>
                <w:szCs w:val="20"/>
              </w:rPr>
              <w:t>标</w:t>
            </w:r>
          </w:p>
        </w:tc>
        <w:tc>
          <w:tcPr>
            <w:tcW w:w="248" w:type="pct"/>
            <w:gridSpan w:val="2"/>
            <w:vMerge w:val="restart"/>
            <w:tcBorders>
              <w:top w:val="single" w:color="000000" w:sz="4" w:space="0"/>
              <w:left w:val="single" w:color="000000" w:sz="4" w:space="0"/>
              <w:bottom w:val="single" w:color="000000" w:sz="4" w:space="0"/>
              <w:right w:val="single" w:color="000000" w:sz="4" w:space="0"/>
            </w:tcBorders>
            <w:noWrap/>
            <w:vAlign w:val="center"/>
          </w:tcPr>
          <w:p w14:paraId="5AA615C2">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产出指标</w:t>
            </w:r>
          </w:p>
        </w:tc>
        <w:tc>
          <w:tcPr>
            <w:tcW w:w="423" w:type="pct"/>
            <w:gridSpan w:val="2"/>
            <w:vMerge w:val="restart"/>
            <w:tcBorders>
              <w:top w:val="single" w:color="000000" w:sz="4" w:space="0"/>
              <w:left w:val="single" w:color="000000" w:sz="4" w:space="0"/>
              <w:bottom w:val="single" w:color="000000" w:sz="4" w:space="0"/>
              <w:right w:val="single" w:color="000000" w:sz="4" w:space="0"/>
            </w:tcBorders>
            <w:noWrap/>
            <w:vAlign w:val="center"/>
          </w:tcPr>
          <w:p w14:paraId="2F6EBF58">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数量指标</w:t>
            </w:r>
          </w:p>
        </w:tc>
        <w:tc>
          <w:tcPr>
            <w:tcW w:w="925" w:type="pct"/>
            <w:gridSpan w:val="4"/>
            <w:tcBorders>
              <w:top w:val="single" w:color="000000" w:sz="4" w:space="0"/>
              <w:left w:val="nil"/>
              <w:bottom w:val="single" w:color="000000" w:sz="4" w:space="0"/>
              <w:right w:val="single" w:color="000000" w:sz="4" w:space="0"/>
            </w:tcBorders>
            <w:noWrap/>
            <w:vAlign w:val="center"/>
          </w:tcPr>
          <w:p w14:paraId="0E02F932">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指标1：开展地方政府专项债和中省预算内投资项目资金争取</w:t>
            </w:r>
          </w:p>
        </w:tc>
        <w:tc>
          <w:tcPr>
            <w:tcW w:w="460" w:type="pct"/>
            <w:gridSpan w:val="2"/>
            <w:tcBorders>
              <w:top w:val="single" w:color="000000" w:sz="4" w:space="0"/>
              <w:left w:val="single" w:color="000000" w:sz="4" w:space="0"/>
              <w:bottom w:val="single" w:color="000000" w:sz="4" w:space="0"/>
              <w:right w:val="single" w:color="000000" w:sz="4" w:space="0"/>
            </w:tcBorders>
            <w:noWrap/>
            <w:vAlign w:val="center"/>
          </w:tcPr>
          <w:p w14:paraId="58EA6132">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w:t>
            </w:r>
          </w:p>
        </w:tc>
        <w:tc>
          <w:tcPr>
            <w:tcW w:w="1058" w:type="pct"/>
            <w:tcBorders>
              <w:top w:val="single" w:color="000000" w:sz="4" w:space="0"/>
              <w:left w:val="single" w:color="000000" w:sz="4" w:space="0"/>
              <w:bottom w:val="single" w:color="000000" w:sz="4" w:space="0"/>
              <w:right w:val="single" w:color="000000" w:sz="4" w:space="0"/>
            </w:tcBorders>
            <w:noWrap/>
            <w:vAlign w:val="center"/>
          </w:tcPr>
          <w:p w14:paraId="3297506E">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50</w:t>
            </w:r>
          </w:p>
        </w:tc>
        <w:tc>
          <w:tcPr>
            <w:tcW w:w="222" w:type="pct"/>
            <w:gridSpan w:val="2"/>
            <w:tcBorders>
              <w:top w:val="single" w:color="000000" w:sz="4" w:space="0"/>
              <w:left w:val="single" w:color="000000" w:sz="4" w:space="0"/>
              <w:bottom w:val="single" w:color="000000" w:sz="4" w:space="0"/>
              <w:right w:val="single" w:color="000000" w:sz="4" w:space="0"/>
            </w:tcBorders>
            <w:noWrap/>
            <w:vAlign w:val="center"/>
          </w:tcPr>
          <w:p w14:paraId="06C0E135">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亿元</w:t>
            </w:r>
          </w:p>
        </w:tc>
        <w:tc>
          <w:tcPr>
            <w:tcW w:w="349" w:type="pct"/>
            <w:gridSpan w:val="2"/>
            <w:tcBorders>
              <w:top w:val="single" w:color="000000" w:sz="4" w:space="0"/>
              <w:left w:val="single" w:color="000000" w:sz="4" w:space="0"/>
              <w:bottom w:val="single" w:color="000000" w:sz="4" w:space="0"/>
              <w:right w:val="single" w:color="000000" w:sz="4" w:space="0"/>
            </w:tcBorders>
            <w:noWrap/>
            <w:vAlign w:val="center"/>
          </w:tcPr>
          <w:p w14:paraId="2CDAF183">
            <w:pPr>
              <w:keepNext w:val="0"/>
              <w:keepLines w:val="0"/>
              <w:suppressLineNumbers w:val="0"/>
              <w:spacing w:before="0" w:beforeAutospacing="0" w:after="0" w:afterAutospacing="0" w:line="260" w:lineRule="exact"/>
              <w:ind w:left="0" w:right="0"/>
              <w:jc w:val="left"/>
              <w:rPr>
                <w:rFonts w:hint="eastAsia" w:ascii="宋体" w:eastAsia="宋体" w:cs="宋体"/>
                <w:color w:val="000000"/>
                <w:sz w:val="20"/>
                <w:szCs w:val="20"/>
              </w:rPr>
            </w:pPr>
          </w:p>
        </w:tc>
        <w:tc>
          <w:tcPr>
            <w:tcW w:w="1110" w:type="pct"/>
            <w:gridSpan w:val="5"/>
            <w:tcBorders>
              <w:top w:val="single" w:color="000000" w:sz="4" w:space="0"/>
              <w:left w:val="single" w:color="000000" w:sz="4" w:space="0"/>
              <w:bottom w:val="single" w:color="000000" w:sz="4" w:space="0"/>
              <w:right w:val="single" w:color="000000" w:sz="4" w:space="0"/>
            </w:tcBorders>
            <w:noWrap/>
            <w:vAlign w:val="center"/>
          </w:tcPr>
          <w:p w14:paraId="26DAB5D1">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66.71</w:t>
            </w:r>
          </w:p>
        </w:tc>
      </w:tr>
      <w:tr w14:paraId="567092B5">
        <w:tblPrEx>
          <w:tblCellMar>
            <w:top w:w="0" w:type="dxa"/>
            <w:left w:w="108" w:type="dxa"/>
            <w:bottom w:w="0" w:type="dxa"/>
            <w:right w:w="108" w:type="dxa"/>
          </w:tblCellMar>
        </w:tblPrEx>
        <w:trPr>
          <w:trHeight w:val="860" w:hRule="atLeast"/>
        </w:trPr>
        <w:tc>
          <w:tcPr>
            <w:tcW w:w="201" w:type="pct"/>
            <w:vMerge w:val="continue"/>
            <w:tcBorders>
              <w:left w:val="single" w:color="000000" w:sz="4" w:space="0"/>
              <w:right w:val="single" w:color="000000" w:sz="4" w:space="0"/>
            </w:tcBorders>
            <w:noWrap/>
            <w:vAlign w:val="center"/>
          </w:tcPr>
          <w:p w14:paraId="2B360B57">
            <w:pPr>
              <w:keepNext w:val="0"/>
              <w:keepLines w:val="0"/>
              <w:suppressLineNumbers w:val="0"/>
              <w:spacing w:before="0" w:beforeAutospacing="0" w:after="0" w:afterAutospacing="0" w:line="260" w:lineRule="exact"/>
              <w:ind w:left="0" w:right="0"/>
              <w:rPr>
                <w:rFonts w:hint="default"/>
              </w:rPr>
            </w:pPr>
          </w:p>
        </w:tc>
        <w:tc>
          <w:tcPr>
            <w:tcW w:w="248" w:type="pct"/>
            <w:gridSpan w:val="2"/>
            <w:vMerge w:val="continue"/>
            <w:tcBorders>
              <w:top w:val="single" w:color="000000" w:sz="4" w:space="0"/>
              <w:left w:val="single" w:color="000000" w:sz="4" w:space="0"/>
              <w:bottom w:val="single" w:color="000000" w:sz="4" w:space="0"/>
              <w:right w:val="single" w:color="000000" w:sz="4" w:space="0"/>
            </w:tcBorders>
            <w:noWrap/>
            <w:vAlign w:val="center"/>
          </w:tcPr>
          <w:p w14:paraId="3932C1AA">
            <w:pPr>
              <w:keepNext w:val="0"/>
              <w:keepLines w:val="0"/>
              <w:suppressLineNumbers w:val="0"/>
              <w:spacing w:before="0" w:beforeAutospacing="0" w:after="0" w:afterAutospacing="0" w:line="260" w:lineRule="exact"/>
              <w:ind w:left="0" w:right="0"/>
              <w:rPr>
                <w:rFonts w:hint="default"/>
              </w:rPr>
            </w:pPr>
          </w:p>
        </w:tc>
        <w:tc>
          <w:tcPr>
            <w:tcW w:w="423" w:type="pct"/>
            <w:gridSpan w:val="2"/>
            <w:vMerge w:val="continue"/>
            <w:tcBorders>
              <w:top w:val="single" w:color="000000" w:sz="4" w:space="0"/>
              <w:left w:val="single" w:color="000000" w:sz="4" w:space="0"/>
              <w:bottom w:val="single" w:color="000000" w:sz="4" w:space="0"/>
              <w:right w:val="single" w:color="000000" w:sz="4" w:space="0"/>
            </w:tcBorders>
            <w:noWrap/>
            <w:vAlign w:val="center"/>
          </w:tcPr>
          <w:p w14:paraId="5402A4B9">
            <w:pPr>
              <w:keepNext w:val="0"/>
              <w:keepLines w:val="0"/>
              <w:suppressLineNumbers w:val="0"/>
              <w:spacing w:before="0" w:beforeAutospacing="0" w:after="0" w:afterAutospacing="0" w:line="260" w:lineRule="exact"/>
              <w:ind w:left="0" w:right="0"/>
              <w:rPr>
                <w:rFonts w:hint="default"/>
              </w:rPr>
            </w:pPr>
          </w:p>
        </w:tc>
        <w:tc>
          <w:tcPr>
            <w:tcW w:w="925" w:type="pct"/>
            <w:gridSpan w:val="4"/>
            <w:tcBorders>
              <w:top w:val="single" w:color="000000" w:sz="4" w:space="0"/>
              <w:left w:val="single" w:color="000000" w:sz="4" w:space="0"/>
              <w:bottom w:val="single" w:color="000000" w:sz="4" w:space="0"/>
              <w:right w:val="single" w:color="000000" w:sz="4" w:space="0"/>
            </w:tcBorders>
            <w:noWrap/>
            <w:vAlign w:val="center"/>
          </w:tcPr>
          <w:p w14:paraId="34400DF2">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指标2：向上争取资金</w:t>
            </w:r>
          </w:p>
        </w:tc>
        <w:tc>
          <w:tcPr>
            <w:tcW w:w="460" w:type="pct"/>
            <w:gridSpan w:val="2"/>
            <w:tcBorders>
              <w:top w:val="single" w:color="000000" w:sz="4" w:space="0"/>
              <w:left w:val="single" w:color="000000" w:sz="4" w:space="0"/>
              <w:bottom w:val="single" w:color="000000" w:sz="4" w:space="0"/>
              <w:right w:val="single" w:color="000000" w:sz="4" w:space="0"/>
            </w:tcBorders>
            <w:noWrap/>
            <w:vAlign w:val="center"/>
          </w:tcPr>
          <w:p w14:paraId="2FDCFE71">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18"/>
                <w:szCs w:val="18"/>
              </w:rPr>
            </w:pPr>
            <w:r>
              <w:rPr>
                <w:rFonts w:hint="eastAsia" w:ascii="宋体" w:eastAsia="宋体" w:cs="宋体"/>
                <w:color w:val="000000"/>
                <w:kern w:val="0"/>
                <w:sz w:val="18"/>
                <w:szCs w:val="18"/>
              </w:rPr>
              <w:t>≥</w:t>
            </w:r>
          </w:p>
        </w:tc>
        <w:tc>
          <w:tcPr>
            <w:tcW w:w="1058" w:type="pct"/>
            <w:tcBorders>
              <w:top w:val="single" w:color="000000" w:sz="4" w:space="0"/>
              <w:left w:val="single" w:color="000000" w:sz="4" w:space="0"/>
              <w:bottom w:val="single" w:color="000000" w:sz="4" w:space="0"/>
              <w:right w:val="single" w:color="000000" w:sz="4" w:space="0"/>
            </w:tcBorders>
            <w:noWrap/>
            <w:vAlign w:val="center"/>
          </w:tcPr>
          <w:p w14:paraId="7E0C6266">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8</w:t>
            </w:r>
          </w:p>
        </w:tc>
        <w:tc>
          <w:tcPr>
            <w:tcW w:w="222" w:type="pct"/>
            <w:gridSpan w:val="2"/>
            <w:tcBorders>
              <w:top w:val="single" w:color="000000" w:sz="4" w:space="0"/>
              <w:left w:val="single" w:color="000000" w:sz="4" w:space="0"/>
              <w:bottom w:val="single" w:color="000000" w:sz="4" w:space="0"/>
              <w:right w:val="single" w:color="000000" w:sz="4" w:space="0"/>
            </w:tcBorders>
            <w:noWrap/>
            <w:vAlign w:val="center"/>
          </w:tcPr>
          <w:p w14:paraId="62540361">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18"/>
                <w:szCs w:val="18"/>
              </w:rPr>
            </w:pPr>
            <w:r>
              <w:rPr>
                <w:rFonts w:hint="eastAsia" w:ascii="宋体" w:eastAsia="宋体" w:cs="宋体"/>
                <w:color w:val="000000"/>
                <w:kern w:val="0"/>
                <w:sz w:val="18"/>
                <w:szCs w:val="18"/>
              </w:rPr>
              <w:t>亿元</w:t>
            </w:r>
          </w:p>
        </w:tc>
        <w:tc>
          <w:tcPr>
            <w:tcW w:w="349" w:type="pct"/>
            <w:gridSpan w:val="2"/>
            <w:tcBorders>
              <w:top w:val="single" w:color="000000" w:sz="4" w:space="0"/>
              <w:left w:val="single" w:color="000000" w:sz="4" w:space="0"/>
              <w:bottom w:val="single" w:color="000000" w:sz="4" w:space="0"/>
              <w:right w:val="single" w:color="000000" w:sz="4" w:space="0"/>
            </w:tcBorders>
            <w:noWrap/>
            <w:vAlign w:val="center"/>
          </w:tcPr>
          <w:p w14:paraId="1BB96BEA">
            <w:pPr>
              <w:keepNext w:val="0"/>
              <w:keepLines w:val="0"/>
              <w:suppressLineNumbers w:val="0"/>
              <w:spacing w:before="0" w:beforeAutospacing="0" w:after="0" w:afterAutospacing="0" w:line="260" w:lineRule="exact"/>
              <w:ind w:left="0" w:right="0"/>
              <w:jc w:val="left"/>
              <w:rPr>
                <w:rFonts w:hint="eastAsia" w:ascii="宋体" w:eastAsia="宋体" w:cs="宋体"/>
                <w:color w:val="000000"/>
                <w:sz w:val="20"/>
                <w:szCs w:val="20"/>
              </w:rPr>
            </w:pPr>
          </w:p>
        </w:tc>
        <w:tc>
          <w:tcPr>
            <w:tcW w:w="1110" w:type="pct"/>
            <w:gridSpan w:val="5"/>
            <w:tcBorders>
              <w:top w:val="single" w:color="000000" w:sz="4" w:space="0"/>
              <w:left w:val="single" w:color="000000" w:sz="4" w:space="0"/>
              <w:bottom w:val="single" w:color="000000" w:sz="4" w:space="0"/>
              <w:right w:val="single" w:color="000000" w:sz="4" w:space="0"/>
            </w:tcBorders>
            <w:noWrap/>
            <w:vAlign w:val="center"/>
          </w:tcPr>
          <w:p w14:paraId="1296728A">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14.17</w:t>
            </w:r>
          </w:p>
        </w:tc>
      </w:tr>
      <w:tr w14:paraId="5C0A9658">
        <w:tblPrEx>
          <w:tblCellMar>
            <w:top w:w="0" w:type="dxa"/>
            <w:left w:w="108" w:type="dxa"/>
            <w:bottom w:w="0" w:type="dxa"/>
            <w:right w:w="108" w:type="dxa"/>
          </w:tblCellMar>
        </w:tblPrEx>
        <w:trPr>
          <w:trHeight w:val="660" w:hRule="atLeast"/>
        </w:trPr>
        <w:tc>
          <w:tcPr>
            <w:tcW w:w="201" w:type="pct"/>
            <w:vMerge w:val="continue"/>
            <w:tcBorders>
              <w:left w:val="single" w:color="000000" w:sz="4" w:space="0"/>
              <w:right w:val="single" w:color="000000" w:sz="4" w:space="0"/>
            </w:tcBorders>
            <w:noWrap/>
            <w:vAlign w:val="center"/>
          </w:tcPr>
          <w:p w14:paraId="442B726B">
            <w:pPr>
              <w:keepNext w:val="0"/>
              <w:keepLines w:val="0"/>
              <w:suppressLineNumbers w:val="0"/>
              <w:spacing w:before="0" w:beforeAutospacing="0" w:after="0" w:afterAutospacing="0" w:line="260" w:lineRule="exact"/>
              <w:ind w:left="0" w:right="0"/>
              <w:rPr>
                <w:rFonts w:hint="default"/>
              </w:rPr>
            </w:pPr>
          </w:p>
        </w:tc>
        <w:tc>
          <w:tcPr>
            <w:tcW w:w="248" w:type="pct"/>
            <w:gridSpan w:val="2"/>
            <w:vMerge w:val="continue"/>
            <w:tcBorders>
              <w:top w:val="single" w:color="000000" w:sz="4" w:space="0"/>
              <w:left w:val="single" w:color="000000" w:sz="4" w:space="0"/>
              <w:bottom w:val="single" w:color="000000" w:sz="4" w:space="0"/>
              <w:right w:val="single" w:color="000000" w:sz="4" w:space="0"/>
            </w:tcBorders>
            <w:noWrap/>
            <w:vAlign w:val="center"/>
          </w:tcPr>
          <w:p w14:paraId="57AACB79">
            <w:pPr>
              <w:keepNext w:val="0"/>
              <w:keepLines w:val="0"/>
              <w:suppressLineNumbers w:val="0"/>
              <w:spacing w:before="0" w:beforeAutospacing="0" w:after="0" w:afterAutospacing="0" w:line="260" w:lineRule="exact"/>
              <w:ind w:left="0" w:right="0"/>
              <w:rPr>
                <w:rFonts w:hint="default"/>
              </w:rPr>
            </w:pPr>
          </w:p>
        </w:tc>
        <w:tc>
          <w:tcPr>
            <w:tcW w:w="423" w:type="pct"/>
            <w:gridSpan w:val="2"/>
            <w:vMerge w:val="continue"/>
            <w:tcBorders>
              <w:top w:val="single" w:color="000000" w:sz="4" w:space="0"/>
              <w:left w:val="single" w:color="000000" w:sz="4" w:space="0"/>
              <w:bottom w:val="single" w:color="000000" w:sz="4" w:space="0"/>
              <w:right w:val="single" w:color="000000" w:sz="4" w:space="0"/>
            </w:tcBorders>
            <w:noWrap/>
            <w:vAlign w:val="center"/>
          </w:tcPr>
          <w:p w14:paraId="5BE6D51D">
            <w:pPr>
              <w:keepNext w:val="0"/>
              <w:keepLines w:val="0"/>
              <w:suppressLineNumbers w:val="0"/>
              <w:spacing w:before="0" w:beforeAutospacing="0" w:after="0" w:afterAutospacing="0" w:line="260" w:lineRule="exact"/>
              <w:ind w:left="0" w:right="0"/>
              <w:rPr>
                <w:rFonts w:hint="default"/>
              </w:rPr>
            </w:pPr>
          </w:p>
        </w:tc>
        <w:tc>
          <w:tcPr>
            <w:tcW w:w="925" w:type="pct"/>
            <w:gridSpan w:val="4"/>
            <w:tcBorders>
              <w:top w:val="single" w:color="000000" w:sz="4" w:space="0"/>
              <w:left w:val="single" w:color="000000" w:sz="4" w:space="0"/>
              <w:bottom w:val="single" w:color="000000" w:sz="4" w:space="0"/>
              <w:right w:val="single" w:color="000000" w:sz="4" w:space="0"/>
            </w:tcBorders>
            <w:noWrap/>
            <w:vAlign w:val="center"/>
          </w:tcPr>
          <w:p w14:paraId="57482AED">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指标3：项目储备</w:t>
            </w:r>
          </w:p>
        </w:tc>
        <w:tc>
          <w:tcPr>
            <w:tcW w:w="460" w:type="pct"/>
            <w:gridSpan w:val="2"/>
            <w:tcBorders>
              <w:top w:val="single" w:color="000000" w:sz="4" w:space="0"/>
              <w:left w:val="single" w:color="000000" w:sz="4" w:space="0"/>
              <w:bottom w:val="single" w:color="000000" w:sz="4" w:space="0"/>
              <w:right w:val="single" w:color="000000" w:sz="4" w:space="0"/>
            </w:tcBorders>
            <w:noWrap/>
            <w:vAlign w:val="center"/>
          </w:tcPr>
          <w:p w14:paraId="30102EC1">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18"/>
                <w:szCs w:val="18"/>
              </w:rPr>
            </w:pPr>
            <w:r>
              <w:rPr>
                <w:rFonts w:hint="eastAsia" w:ascii="宋体" w:eastAsia="宋体" w:cs="宋体"/>
                <w:color w:val="000000"/>
                <w:kern w:val="0"/>
                <w:sz w:val="18"/>
                <w:szCs w:val="18"/>
              </w:rPr>
              <w:t>≥</w:t>
            </w:r>
          </w:p>
        </w:tc>
        <w:tc>
          <w:tcPr>
            <w:tcW w:w="1058" w:type="pct"/>
            <w:tcBorders>
              <w:top w:val="single" w:color="000000" w:sz="4" w:space="0"/>
              <w:left w:val="single" w:color="000000" w:sz="4" w:space="0"/>
              <w:bottom w:val="single" w:color="000000" w:sz="4" w:space="0"/>
              <w:right w:val="single" w:color="000000" w:sz="4" w:space="0"/>
            </w:tcBorders>
            <w:noWrap/>
            <w:vAlign w:val="center"/>
          </w:tcPr>
          <w:p w14:paraId="6A475C15">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1.3</w:t>
            </w:r>
          </w:p>
        </w:tc>
        <w:tc>
          <w:tcPr>
            <w:tcW w:w="222" w:type="pct"/>
            <w:gridSpan w:val="2"/>
            <w:tcBorders>
              <w:top w:val="single" w:color="000000" w:sz="4" w:space="0"/>
              <w:left w:val="single" w:color="000000" w:sz="4" w:space="0"/>
              <w:bottom w:val="single" w:color="000000" w:sz="4" w:space="0"/>
              <w:right w:val="single" w:color="000000" w:sz="4" w:space="0"/>
            </w:tcBorders>
            <w:noWrap/>
            <w:vAlign w:val="center"/>
          </w:tcPr>
          <w:p w14:paraId="45BDBF61">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18"/>
                <w:szCs w:val="18"/>
              </w:rPr>
            </w:pPr>
            <w:r>
              <w:rPr>
                <w:rFonts w:hint="eastAsia" w:ascii="宋体" w:eastAsia="宋体" w:cs="宋体"/>
                <w:color w:val="000000"/>
                <w:kern w:val="0"/>
                <w:sz w:val="18"/>
                <w:szCs w:val="18"/>
              </w:rPr>
              <w:t>万亿元</w:t>
            </w:r>
          </w:p>
        </w:tc>
        <w:tc>
          <w:tcPr>
            <w:tcW w:w="349" w:type="pct"/>
            <w:gridSpan w:val="2"/>
            <w:tcBorders>
              <w:top w:val="single" w:color="000000" w:sz="4" w:space="0"/>
              <w:left w:val="single" w:color="000000" w:sz="4" w:space="0"/>
              <w:bottom w:val="single" w:color="000000" w:sz="4" w:space="0"/>
              <w:right w:val="single" w:color="000000" w:sz="4" w:space="0"/>
            </w:tcBorders>
            <w:noWrap/>
            <w:vAlign w:val="center"/>
          </w:tcPr>
          <w:p w14:paraId="0F74CFE9">
            <w:pPr>
              <w:keepNext w:val="0"/>
              <w:keepLines w:val="0"/>
              <w:suppressLineNumbers w:val="0"/>
              <w:spacing w:before="0" w:beforeAutospacing="0" w:after="0" w:afterAutospacing="0" w:line="260" w:lineRule="exact"/>
              <w:ind w:left="0" w:right="0"/>
              <w:jc w:val="center"/>
              <w:rPr>
                <w:rFonts w:hint="eastAsia" w:ascii="宋体" w:eastAsia="宋体" w:cs="宋体"/>
                <w:color w:val="000000"/>
                <w:sz w:val="18"/>
                <w:szCs w:val="18"/>
              </w:rPr>
            </w:pPr>
          </w:p>
        </w:tc>
        <w:tc>
          <w:tcPr>
            <w:tcW w:w="1110" w:type="pct"/>
            <w:gridSpan w:val="5"/>
            <w:tcBorders>
              <w:top w:val="single" w:color="000000" w:sz="4" w:space="0"/>
              <w:left w:val="single" w:color="000000" w:sz="4" w:space="0"/>
              <w:bottom w:val="single" w:color="000000" w:sz="4" w:space="0"/>
              <w:right w:val="single" w:color="000000" w:sz="4" w:space="0"/>
            </w:tcBorders>
            <w:noWrap/>
            <w:vAlign w:val="center"/>
          </w:tcPr>
          <w:p w14:paraId="008BCBAE">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1.74</w:t>
            </w:r>
          </w:p>
        </w:tc>
      </w:tr>
      <w:tr w14:paraId="50BD32F1">
        <w:tblPrEx>
          <w:tblCellMar>
            <w:top w:w="0" w:type="dxa"/>
            <w:left w:w="108" w:type="dxa"/>
            <w:bottom w:w="0" w:type="dxa"/>
            <w:right w:w="108" w:type="dxa"/>
          </w:tblCellMar>
        </w:tblPrEx>
        <w:trPr>
          <w:trHeight w:val="720" w:hRule="atLeast"/>
        </w:trPr>
        <w:tc>
          <w:tcPr>
            <w:tcW w:w="201" w:type="pct"/>
            <w:vMerge w:val="continue"/>
            <w:tcBorders>
              <w:left w:val="single" w:color="000000" w:sz="4" w:space="0"/>
              <w:right w:val="single" w:color="000000" w:sz="4" w:space="0"/>
            </w:tcBorders>
            <w:noWrap/>
            <w:vAlign w:val="center"/>
          </w:tcPr>
          <w:p w14:paraId="303CD944">
            <w:pPr>
              <w:keepNext w:val="0"/>
              <w:keepLines w:val="0"/>
              <w:suppressLineNumbers w:val="0"/>
              <w:spacing w:before="0" w:beforeAutospacing="0" w:after="0" w:afterAutospacing="0" w:line="260" w:lineRule="exact"/>
              <w:ind w:left="0" w:right="0"/>
              <w:rPr>
                <w:rFonts w:hint="default"/>
              </w:rPr>
            </w:pPr>
          </w:p>
        </w:tc>
        <w:tc>
          <w:tcPr>
            <w:tcW w:w="248" w:type="pct"/>
            <w:gridSpan w:val="2"/>
            <w:vMerge w:val="continue"/>
            <w:tcBorders>
              <w:top w:val="single" w:color="000000" w:sz="4" w:space="0"/>
              <w:left w:val="single" w:color="000000" w:sz="4" w:space="0"/>
              <w:bottom w:val="single" w:color="000000" w:sz="4" w:space="0"/>
              <w:right w:val="single" w:color="000000" w:sz="4" w:space="0"/>
            </w:tcBorders>
            <w:noWrap/>
            <w:vAlign w:val="center"/>
          </w:tcPr>
          <w:p w14:paraId="50478C7A">
            <w:pPr>
              <w:keepNext w:val="0"/>
              <w:keepLines w:val="0"/>
              <w:suppressLineNumbers w:val="0"/>
              <w:spacing w:before="0" w:beforeAutospacing="0" w:after="0" w:afterAutospacing="0" w:line="260" w:lineRule="exact"/>
              <w:ind w:left="0" w:right="0"/>
              <w:rPr>
                <w:rFonts w:hint="default"/>
              </w:rPr>
            </w:pPr>
          </w:p>
        </w:tc>
        <w:tc>
          <w:tcPr>
            <w:tcW w:w="423" w:type="pct"/>
            <w:gridSpan w:val="2"/>
            <w:vMerge w:val="continue"/>
            <w:tcBorders>
              <w:top w:val="single" w:color="000000" w:sz="4" w:space="0"/>
              <w:left w:val="single" w:color="000000" w:sz="4" w:space="0"/>
              <w:bottom w:val="single" w:color="000000" w:sz="4" w:space="0"/>
              <w:right w:val="single" w:color="000000" w:sz="4" w:space="0"/>
            </w:tcBorders>
            <w:noWrap/>
            <w:vAlign w:val="center"/>
          </w:tcPr>
          <w:p w14:paraId="22F4FE38">
            <w:pPr>
              <w:keepNext w:val="0"/>
              <w:keepLines w:val="0"/>
              <w:suppressLineNumbers w:val="0"/>
              <w:spacing w:before="0" w:beforeAutospacing="0" w:after="0" w:afterAutospacing="0" w:line="260" w:lineRule="exact"/>
              <w:ind w:left="0" w:right="0"/>
              <w:rPr>
                <w:rFonts w:hint="default"/>
              </w:rPr>
            </w:pPr>
          </w:p>
        </w:tc>
        <w:tc>
          <w:tcPr>
            <w:tcW w:w="925" w:type="pct"/>
            <w:gridSpan w:val="4"/>
            <w:tcBorders>
              <w:top w:val="single" w:color="000000" w:sz="4" w:space="0"/>
              <w:left w:val="single" w:color="000000" w:sz="4" w:space="0"/>
              <w:bottom w:val="single" w:color="000000" w:sz="4" w:space="0"/>
              <w:right w:val="single" w:color="000000" w:sz="4" w:space="0"/>
            </w:tcBorders>
            <w:noWrap/>
            <w:vAlign w:val="center"/>
          </w:tcPr>
          <w:p w14:paraId="3969A393">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指标4：开展全市投资运行分析研判</w:t>
            </w:r>
          </w:p>
        </w:tc>
        <w:tc>
          <w:tcPr>
            <w:tcW w:w="460" w:type="pct"/>
            <w:gridSpan w:val="2"/>
            <w:tcBorders>
              <w:top w:val="single" w:color="000000" w:sz="4" w:space="0"/>
              <w:left w:val="single" w:color="000000" w:sz="4" w:space="0"/>
              <w:bottom w:val="single" w:color="000000" w:sz="4" w:space="0"/>
              <w:right w:val="single" w:color="000000" w:sz="4" w:space="0"/>
            </w:tcBorders>
            <w:noWrap/>
            <w:vAlign w:val="center"/>
          </w:tcPr>
          <w:p w14:paraId="6E6C2DFE">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18"/>
                <w:szCs w:val="18"/>
              </w:rPr>
            </w:pPr>
            <w:r>
              <w:rPr>
                <w:rFonts w:hint="eastAsia" w:ascii="宋体" w:eastAsia="宋体" w:cs="宋体"/>
                <w:color w:val="000000"/>
                <w:kern w:val="0"/>
                <w:sz w:val="18"/>
                <w:szCs w:val="18"/>
              </w:rPr>
              <w:t>≥</w:t>
            </w:r>
          </w:p>
        </w:tc>
        <w:tc>
          <w:tcPr>
            <w:tcW w:w="1058" w:type="pct"/>
            <w:tcBorders>
              <w:top w:val="single" w:color="000000" w:sz="4" w:space="0"/>
              <w:left w:val="single" w:color="000000" w:sz="4" w:space="0"/>
              <w:bottom w:val="single" w:color="000000" w:sz="4" w:space="0"/>
              <w:right w:val="single" w:color="000000" w:sz="4" w:space="0"/>
            </w:tcBorders>
            <w:noWrap/>
            <w:vAlign w:val="center"/>
          </w:tcPr>
          <w:p w14:paraId="02FDA50D">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4</w:t>
            </w:r>
          </w:p>
        </w:tc>
        <w:tc>
          <w:tcPr>
            <w:tcW w:w="222" w:type="pct"/>
            <w:gridSpan w:val="2"/>
            <w:tcBorders>
              <w:top w:val="single" w:color="000000" w:sz="4" w:space="0"/>
              <w:left w:val="single" w:color="000000" w:sz="4" w:space="0"/>
              <w:bottom w:val="single" w:color="000000" w:sz="4" w:space="0"/>
              <w:right w:val="single" w:color="000000" w:sz="4" w:space="0"/>
            </w:tcBorders>
            <w:noWrap/>
            <w:vAlign w:val="center"/>
          </w:tcPr>
          <w:p w14:paraId="0900D8CC">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18"/>
                <w:szCs w:val="18"/>
              </w:rPr>
            </w:pPr>
            <w:r>
              <w:rPr>
                <w:rFonts w:hint="eastAsia" w:ascii="宋体" w:eastAsia="宋体" w:cs="宋体"/>
                <w:color w:val="000000"/>
                <w:kern w:val="0"/>
                <w:sz w:val="18"/>
                <w:szCs w:val="18"/>
              </w:rPr>
              <w:t>次</w:t>
            </w:r>
          </w:p>
        </w:tc>
        <w:tc>
          <w:tcPr>
            <w:tcW w:w="349" w:type="pct"/>
            <w:gridSpan w:val="2"/>
            <w:tcBorders>
              <w:top w:val="single" w:color="000000" w:sz="4" w:space="0"/>
              <w:left w:val="single" w:color="000000" w:sz="4" w:space="0"/>
              <w:bottom w:val="single" w:color="000000" w:sz="4" w:space="0"/>
              <w:right w:val="single" w:color="000000" w:sz="4" w:space="0"/>
            </w:tcBorders>
            <w:noWrap/>
            <w:vAlign w:val="center"/>
          </w:tcPr>
          <w:p w14:paraId="31691D26">
            <w:pPr>
              <w:keepNext w:val="0"/>
              <w:keepLines w:val="0"/>
              <w:suppressLineNumbers w:val="0"/>
              <w:spacing w:before="0" w:beforeAutospacing="0" w:after="0" w:afterAutospacing="0" w:line="260" w:lineRule="exact"/>
              <w:ind w:left="0" w:right="0"/>
              <w:jc w:val="center"/>
              <w:rPr>
                <w:rFonts w:hint="eastAsia" w:ascii="宋体" w:eastAsia="宋体" w:cs="宋体"/>
                <w:color w:val="000000"/>
                <w:sz w:val="18"/>
                <w:szCs w:val="18"/>
              </w:rPr>
            </w:pPr>
          </w:p>
        </w:tc>
        <w:tc>
          <w:tcPr>
            <w:tcW w:w="1110" w:type="pct"/>
            <w:gridSpan w:val="5"/>
            <w:tcBorders>
              <w:top w:val="single" w:color="000000" w:sz="4" w:space="0"/>
              <w:left w:val="single" w:color="000000" w:sz="4" w:space="0"/>
              <w:bottom w:val="single" w:color="000000" w:sz="4" w:space="0"/>
              <w:right w:val="single" w:color="000000" w:sz="4" w:space="0"/>
            </w:tcBorders>
            <w:noWrap/>
            <w:vAlign w:val="center"/>
          </w:tcPr>
          <w:p w14:paraId="56FA4962">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4</w:t>
            </w:r>
          </w:p>
        </w:tc>
      </w:tr>
      <w:tr w14:paraId="1F6AACDB">
        <w:tblPrEx>
          <w:tblCellMar>
            <w:top w:w="0" w:type="dxa"/>
            <w:left w:w="108" w:type="dxa"/>
            <w:bottom w:w="0" w:type="dxa"/>
            <w:right w:w="108" w:type="dxa"/>
          </w:tblCellMar>
        </w:tblPrEx>
        <w:trPr>
          <w:trHeight w:val="720" w:hRule="atLeast"/>
        </w:trPr>
        <w:tc>
          <w:tcPr>
            <w:tcW w:w="201" w:type="pct"/>
            <w:vMerge w:val="continue"/>
            <w:tcBorders>
              <w:left w:val="single" w:color="000000" w:sz="4" w:space="0"/>
              <w:right w:val="single" w:color="000000" w:sz="4" w:space="0"/>
            </w:tcBorders>
            <w:noWrap/>
            <w:vAlign w:val="center"/>
          </w:tcPr>
          <w:p w14:paraId="7F133157">
            <w:pPr>
              <w:keepNext w:val="0"/>
              <w:keepLines w:val="0"/>
              <w:suppressLineNumbers w:val="0"/>
              <w:spacing w:before="0" w:beforeAutospacing="0" w:after="0" w:afterAutospacing="0" w:line="260" w:lineRule="exact"/>
              <w:ind w:left="0" w:right="0"/>
              <w:rPr>
                <w:rFonts w:hint="default"/>
              </w:rPr>
            </w:pPr>
          </w:p>
        </w:tc>
        <w:tc>
          <w:tcPr>
            <w:tcW w:w="248" w:type="pct"/>
            <w:gridSpan w:val="2"/>
            <w:vMerge w:val="continue"/>
            <w:tcBorders>
              <w:top w:val="single" w:color="000000" w:sz="4" w:space="0"/>
              <w:left w:val="single" w:color="000000" w:sz="4" w:space="0"/>
              <w:bottom w:val="single" w:color="000000" w:sz="4" w:space="0"/>
              <w:right w:val="single" w:color="000000" w:sz="4" w:space="0"/>
            </w:tcBorders>
            <w:noWrap/>
            <w:vAlign w:val="center"/>
          </w:tcPr>
          <w:p w14:paraId="25BE7F53">
            <w:pPr>
              <w:keepNext w:val="0"/>
              <w:keepLines w:val="0"/>
              <w:suppressLineNumbers w:val="0"/>
              <w:spacing w:before="0" w:beforeAutospacing="0" w:after="0" w:afterAutospacing="0" w:line="260" w:lineRule="exact"/>
              <w:ind w:left="0" w:right="0"/>
              <w:rPr>
                <w:rFonts w:hint="default"/>
              </w:rPr>
            </w:pPr>
          </w:p>
        </w:tc>
        <w:tc>
          <w:tcPr>
            <w:tcW w:w="423" w:type="pct"/>
            <w:gridSpan w:val="2"/>
            <w:vMerge w:val="continue"/>
            <w:tcBorders>
              <w:top w:val="single" w:color="000000" w:sz="4" w:space="0"/>
              <w:left w:val="single" w:color="000000" w:sz="4" w:space="0"/>
              <w:bottom w:val="single" w:color="000000" w:sz="4" w:space="0"/>
              <w:right w:val="single" w:color="000000" w:sz="4" w:space="0"/>
            </w:tcBorders>
            <w:noWrap/>
            <w:vAlign w:val="center"/>
          </w:tcPr>
          <w:p w14:paraId="79FAA0A7">
            <w:pPr>
              <w:keepNext w:val="0"/>
              <w:keepLines w:val="0"/>
              <w:suppressLineNumbers w:val="0"/>
              <w:spacing w:before="0" w:beforeAutospacing="0" w:after="0" w:afterAutospacing="0" w:line="260" w:lineRule="exact"/>
              <w:ind w:left="0" w:right="0"/>
              <w:rPr>
                <w:rFonts w:hint="default"/>
              </w:rPr>
            </w:pPr>
          </w:p>
        </w:tc>
        <w:tc>
          <w:tcPr>
            <w:tcW w:w="925" w:type="pct"/>
            <w:gridSpan w:val="4"/>
            <w:tcBorders>
              <w:top w:val="single" w:color="000000" w:sz="4" w:space="0"/>
              <w:left w:val="single" w:color="000000" w:sz="4" w:space="0"/>
              <w:bottom w:val="single" w:color="000000" w:sz="4" w:space="0"/>
              <w:right w:val="single" w:color="000000" w:sz="4" w:space="0"/>
            </w:tcBorders>
            <w:noWrap/>
            <w:vAlign w:val="center"/>
          </w:tcPr>
          <w:p w14:paraId="4C9D08AD">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指标5：组织开展全市重大项目集中开工活动</w:t>
            </w:r>
          </w:p>
        </w:tc>
        <w:tc>
          <w:tcPr>
            <w:tcW w:w="460" w:type="pct"/>
            <w:gridSpan w:val="2"/>
            <w:tcBorders>
              <w:top w:val="single" w:color="000000" w:sz="4" w:space="0"/>
              <w:left w:val="single" w:color="000000" w:sz="4" w:space="0"/>
              <w:bottom w:val="single" w:color="000000" w:sz="4" w:space="0"/>
              <w:right w:val="single" w:color="000000" w:sz="4" w:space="0"/>
            </w:tcBorders>
            <w:noWrap/>
            <w:vAlign w:val="center"/>
          </w:tcPr>
          <w:p w14:paraId="5E4646A3">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18"/>
                <w:szCs w:val="18"/>
              </w:rPr>
            </w:pPr>
            <w:r>
              <w:rPr>
                <w:rFonts w:hint="eastAsia" w:ascii="宋体" w:eastAsia="宋体" w:cs="宋体"/>
                <w:color w:val="000000"/>
                <w:kern w:val="0"/>
                <w:sz w:val="18"/>
                <w:szCs w:val="18"/>
              </w:rPr>
              <w:t>≥</w:t>
            </w:r>
          </w:p>
        </w:tc>
        <w:tc>
          <w:tcPr>
            <w:tcW w:w="1058" w:type="pct"/>
            <w:tcBorders>
              <w:top w:val="single" w:color="000000" w:sz="4" w:space="0"/>
              <w:left w:val="single" w:color="000000" w:sz="4" w:space="0"/>
              <w:bottom w:val="single" w:color="000000" w:sz="4" w:space="0"/>
              <w:right w:val="single" w:color="000000" w:sz="4" w:space="0"/>
            </w:tcBorders>
            <w:noWrap/>
            <w:vAlign w:val="center"/>
          </w:tcPr>
          <w:p w14:paraId="03CFB132">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6</w:t>
            </w:r>
          </w:p>
        </w:tc>
        <w:tc>
          <w:tcPr>
            <w:tcW w:w="222" w:type="pct"/>
            <w:gridSpan w:val="2"/>
            <w:tcBorders>
              <w:top w:val="single" w:color="000000" w:sz="4" w:space="0"/>
              <w:left w:val="single" w:color="000000" w:sz="4" w:space="0"/>
              <w:bottom w:val="single" w:color="000000" w:sz="4" w:space="0"/>
              <w:right w:val="single" w:color="000000" w:sz="4" w:space="0"/>
            </w:tcBorders>
            <w:noWrap/>
            <w:vAlign w:val="center"/>
          </w:tcPr>
          <w:p w14:paraId="45351FB8">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18"/>
                <w:szCs w:val="18"/>
              </w:rPr>
            </w:pPr>
            <w:r>
              <w:rPr>
                <w:rFonts w:hint="eastAsia" w:ascii="宋体" w:eastAsia="宋体" w:cs="宋体"/>
                <w:color w:val="000000"/>
                <w:kern w:val="0"/>
                <w:sz w:val="18"/>
                <w:szCs w:val="18"/>
              </w:rPr>
              <w:t>次</w:t>
            </w:r>
          </w:p>
        </w:tc>
        <w:tc>
          <w:tcPr>
            <w:tcW w:w="349" w:type="pct"/>
            <w:gridSpan w:val="2"/>
            <w:tcBorders>
              <w:top w:val="single" w:color="000000" w:sz="4" w:space="0"/>
              <w:left w:val="single" w:color="000000" w:sz="4" w:space="0"/>
              <w:bottom w:val="single" w:color="000000" w:sz="4" w:space="0"/>
              <w:right w:val="single" w:color="000000" w:sz="4" w:space="0"/>
            </w:tcBorders>
            <w:noWrap/>
            <w:vAlign w:val="center"/>
          </w:tcPr>
          <w:p w14:paraId="415A8306">
            <w:pPr>
              <w:keepNext w:val="0"/>
              <w:keepLines w:val="0"/>
              <w:suppressLineNumbers w:val="0"/>
              <w:spacing w:before="0" w:beforeAutospacing="0" w:after="0" w:afterAutospacing="0" w:line="260" w:lineRule="exact"/>
              <w:ind w:left="0" w:right="0"/>
              <w:jc w:val="center"/>
              <w:rPr>
                <w:rFonts w:hint="eastAsia" w:ascii="宋体" w:eastAsia="宋体" w:cs="宋体"/>
                <w:color w:val="000000"/>
                <w:sz w:val="18"/>
                <w:szCs w:val="18"/>
              </w:rPr>
            </w:pPr>
          </w:p>
        </w:tc>
        <w:tc>
          <w:tcPr>
            <w:tcW w:w="1110" w:type="pct"/>
            <w:gridSpan w:val="5"/>
            <w:tcBorders>
              <w:top w:val="single" w:color="000000" w:sz="4" w:space="0"/>
              <w:left w:val="single" w:color="000000" w:sz="4" w:space="0"/>
              <w:bottom w:val="single" w:color="000000" w:sz="4" w:space="0"/>
              <w:right w:val="single" w:color="000000" w:sz="4" w:space="0"/>
            </w:tcBorders>
            <w:noWrap/>
            <w:vAlign w:val="center"/>
          </w:tcPr>
          <w:p w14:paraId="4FABBF56">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6</w:t>
            </w:r>
          </w:p>
        </w:tc>
      </w:tr>
      <w:tr w14:paraId="0EBB4E7C">
        <w:tblPrEx>
          <w:tblCellMar>
            <w:top w:w="0" w:type="dxa"/>
            <w:left w:w="108" w:type="dxa"/>
            <w:bottom w:w="0" w:type="dxa"/>
            <w:right w:w="108" w:type="dxa"/>
          </w:tblCellMar>
        </w:tblPrEx>
        <w:trPr>
          <w:trHeight w:val="780" w:hRule="atLeast"/>
        </w:trPr>
        <w:tc>
          <w:tcPr>
            <w:tcW w:w="201" w:type="pct"/>
            <w:vMerge w:val="continue"/>
            <w:tcBorders>
              <w:left w:val="single" w:color="000000" w:sz="4" w:space="0"/>
              <w:right w:val="single" w:color="000000" w:sz="4" w:space="0"/>
            </w:tcBorders>
            <w:noWrap/>
            <w:vAlign w:val="center"/>
          </w:tcPr>
          <w:p w14:paraId="1DB397D1">
            <w:pPr>
              <w:keepNext w:val="0"/>
              <w:keepLines w:val="0"/>
              <w:suppressLineNumbers w:val="0"/>
              <w:spacing w:before="0" w:beforeAutospacing="0" w:after="0" w:afterAutospacing="0" w:line="260" w:lineRule="exact"/>
              <w:ind w:left="0" w:right="0"/>
              <w:rPr>
                <w:rFonts w:hint="default"/>
              </w:rPr>
            </w:pPr>
          </w:p>
        </w:tc>
        <w:tc>
          <w:tcPr>
            <w:tcW w:w="248" w:type="pct"/>
            <w:gridSpan w:val="2"/>
            <w:vMerge w:val="continue"/>
            <w:tcBorders>
              <w:top w:val="single" w:color="000000" w:sz="4" w:space="0"/>
              <w:left w:val="single" w:color="000000" w:sz="4" w:space="0"/>
              <w:bottom w:val="single" w:color="000000" w:sz="4" w:space="0"/>
              <w:right w:val="single" w:color="000000" w:sz="4" w:space="0"/>
            </w:tcBorders>
            <w:noWrap/>
            <w:vAlign w:val="center"/>
          </w:tcPr>
          <w:p w14:paraId="0C368116">
            <w:pPr>
              <w:keepNext w:val="0"/>
              <w:keepLines w:val="0"/>
              <w:suppressLineNumbers w:val="0"/>
              <w:spacing w:before="0" w:beforeAutospacing="0" w:after="0" w:afterAutospacing="0" w:line="260" w:lineRule="exact"/>
              <w:ind w:left="0" w:right="0"/>
              <w:rPr>
                <w:rFonts w:hint="default"/>
              </w:rPr>
            </w:pPr>
          </w:p>
        </w:tc>
        <w:tc>
          <w:tcPr>
            <w:tcW w:w="423" w:type="pct"/>
            <w:gridSpan w:val="2"/>
            <w:vMerge w:val="continue"/>
            <w:tcBorders>
              <w:top w:val="single" w:color="000000" w:sz="4" w:space="0"/>
              <w:left w:val="single" w:color="000000" w:sz="4" w:space="0"/>
              <w:bottom w:val="single" w:color="000000" w:sz="4" w:space="0"/>
              <w:right w:val="single" w:color="000000" w:sz="4" w:space="0"/>
            </w:tcBorders>
            <w:noWrap/>
            <w:vAlign w:val="center"/>
          </w:tcPr>
          <w:p w14:paraId="5E53552C">
            <w:pPr>
              <w:keepNext w:val="0"/>
              <w:keepLines w:val="0"/>
              <w:suppressLineNumbers w:val="0"/>
              <w:spacing w:before="0" w:beforeAutospacing="0" w:after="0" w:afterAutospacing="0" w:line="260" w:lineRule="exact"/>
              <w:ind w:left="0" w:right="0"/>
              <w:rPr>
                <w:rFonts w:hint="default"/>
              </w:rPr>
            </w:pPr>
          </w:p>
        </w:tc>
        <w:tc>
          <w:tcPr>
            <w:tcW w:w="925" w:type="pct"/>
            <w:gridSpan w:val="4"/>
            <w:tcBorders>
              <w:top w:val="single" w:color="000000" w:sz="4" w:space="0"/>
              <w:left w:val="single" w:color="000000" w:sz="4" w:space="0"/>
              <w:bottom w:val="single" w:color="000000" w:sz="4" w:space="0"/>
              <w:right w:val="single" w:color="000000" w:sz="4" w:space="0"/>
            </w:tcBorders>
            <w:noWrap/>
            <w:vAlign w:val="center"/>
          </w:tcPr>
          <w:p w14:paraId="3CC66563">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指标6：居民人均收入有提升，脱贫人口脱贫成果进一步巩固。脱贫户人均收入提升</w:t>
            </w:r>
          </w:p>
        </w:tc>
        <w:tc>
          <w:tcPr>
            <w:tcW w:w="460" w:type="pct"/>
            <w:gridSpan w:val="2"/>
            <w:tcBorders>
              <w:top w:val="single" w:color="000000" w:sz="4" w:space="0"/>
              <w:left w:val="single" w:color="000000" w:sz="4" w:space="0"/>
              <w:bottom w:val="single" w:color="000000" w:sz="4" w:space="0"/>
              <w:right w:val="single" w:color="000000" w:sz="4" w:space="0"/>
            </w:tcBorders>
            <w:noWrap/>
            <w:vAlign w:val="center"/>
          </w:tcPr>
          <w:p w14:paraId="7E382694">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18"/>
                <w:szCs w:val="18"/>
              </w:rPr>
            </w:pPr>
            <w:r>
              <w:rPr>
                <w:rFonts w:hint="eastAsia" w:ascii="宋体" w:eastAsia="宋体" w:cs="宋体"/>
                <w:color w:val="000000"/>
                <w:kern w:val="0"/>
                <w:sz w:val="18"/>
                <w:szCs w:val="18"/>
              </w:rPr>
              <w:t>≥</w:t>
            </w:r>
          </w:p>
        </w:tc>
        <w:tc>
          <w:tcPr>
            <w:tcW w:w="1058" w:type="pct"/>
            <w:tcBorders>
              <w:top w:val="single" w:color="000000" w:sz="4" w:space="0"/>
              <w:left w:val="single" w:color="000000" w:sz="4" w:space="0"/>
              <w:bottom w:val="single" w:color="000000" w:sz="4" w:space="0"/>
              <w:right w:val="single" w:color="000000" w:sz="4" w:space="0"/>
            </w:tcBorders>
            <w:noWrap/>
            <w:vAlign w:val="center"/>
          </w:tcPr>
          <w:p w14:paraId="039BD1AC">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9</w:t>
            </w:r>
          </w:p>
        </w:tc>
        <w:tc>
          <w:tcPr>
            <w:tcW w:w="222" w:type="pct"/>
            <w:gridSpan w:val="2"/>
            <w:tcBorders>
              <w:top w:val="single" w:color="000000" w:sz="4" w:space="0"/>
              <w:left w:val="single" w:color="000000" w:sz="4" w:space="0"/>
              <w:bottom w:val="single" w:color="000000" w:sz="4" w:space="0"/>
              <w:right w:val="single" w:color="000000" w:sz="4" w:space="0"/>
            </w:tcBorders>
            <w:noWrap/>
            <w:vAlign w:val="center"/>
          </w:tcPr>
          <w:p w14:paraId="182F76B6">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strike/>
                <w:color w:val="000000"/>
                <w:sz w:val="18"/>
                <w:szCs w:val="18"/>
              </w:rPr>
            </w:pPr>
            <w:r>
              <w:rPr>
                <w:rFonts w:hint="eastAsia" w:ascii="宋体" w:eastAsia="宋体" w:cs="宋体"/>
                <w:strike/>
                <w:color w:val="000000"/>
                <w:kern w:val="0"/>
                <w:sz w:val="18"/>
                <w:szCs w:val="18"/>
              </w:rPr>
              <w:t>%</w:t>
            </w:r>
          </w:p>
        </w:tc>
        <w:tc>
          <w:tcPr>
            <w:tcW w:w="349" w:type="pct"/>
            <w:gridSpan w:val="2"/>
            <w:tcBorders>
              <w:top w:val="single" w:color="000000" w:sz="4" w:space="0"/>
              <w:left w:val="single" w:color="000000" w:sz="4" w:space="0"/>
              <w:bottom w:val="single" w:color="000000" w:sz="4" w:space="0"/>
              <w:right w:val="single" w:color="000000" w:sz="4" w:space="0"/>
            </w:tcBorders>
            <w:noWrap/>
            <w:vAlign w:val="center"/>
          </w:tcPr>
          <w:p w14:paraId="6140676A">
            <w:pPr>
              <w:keepNext w:val="0"/>
              <w:keepLines w:val="0"/>
              <w:suppressLineNumbers w:val="0"/>
              <w:spacing w:before="0" w:beforeAutospacing="0" w:after="0" w:afterAutospacing="0" w:line="260" w:lineRule="exact"/>
              <w:ind w:left="0" w:right="0"/>
              <w:jc w:val="center"/>
              <w:rPr>
                <w:rFonts w:hint="eastAsia" w:ascii="宋体" w:eastAsia="宋体" w:cs="宋体"/>
                <w:color w:val="000000"/>
                <w:sz w:val="18"/>
                <w:szCs w:val="18"/>
              </w:rPr>
            </w:pPr>
          </w:p>
        </w:tc>
        <w:tc>
          <w:tcPr>
            <w:tcW w:w="1110" w:type="pct"/>
            <w:gridSpan w:val="5"/>
            <w:tcBorders>
              <w:top w:val="single" w:color="000000" w:sz="4" w:space="0"/>
              <w:left w:val="single" w:color="000000" w:sz="4" w:space="0"/>
              <w:bottom w:val="single" w:color="000000" w:sz="4" w:space="0"/>
              <w:right w:val="single" w:color="000000" w:sz="4" w:space="0"/>
            </w:tcBorders>
            <w:noWrap/>
            <w:vAlign w:val="center"/>
          </w:tcPr>
          <w:p w14:paraId="0C5D55F3">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17-19</w:t>
            </w:r>
          </w:p>
        </w:tc>
      </w:tr>
      <w:tr w14:paraId="217CE45A">
        <w:tblPrEx>
          <w:tblCellMar>
            <w:top w:w="0" w:type="dxa"/>
            <w:left w:w="108" w:type="dxa"/>
            <w:bottom w:w="0" w:type="dxa"/>
            <w:right w:w="108" w:type="dxa"/>
          </w:tblCellMar>
        </w:tblPrEx>
        <w:trPr>
          <w:trHeight w:val="1200" w:hRule="atLeast"/>
        </w:trPr>
        <w:tc>
          <w:tcPr>
            <w:tcW w:w="201" w:type="pct"/>
            <w:vMerge w:val="continue"/>
            <w:tcBorders>
              <w:left w:val="single" w:color="000000" w:sz="4" w:space="0"/>
              <w:bottom w:val="single" w:color="000000" w:sz="4" w:space="0"/>
              <w:right w:val="single" w:color="000000" w:sz="4" w:space="0"/>
            </w:tcBorders>
            <w:noWrap/>
            <w:vAlign w:val="center"/>
          </w:tcPr>
          <w:p w14:paraId="01380EF5">
            <w:pPr>
              <w:keepNext w:val="0"/>
              <w:keepLines w:val="0"/>
              <w:suppressLineNumbers w:val="0"/>
              <w:spacing w:before="0" w:beforeAutospacing="0" w:after="0" w:afterAutospacing="0" w:line="260" w:lineRule="exact"/>
              <w:ind w:left="0" w:right="0"/>
              <w:rPr>
                <w:rFonts w:hint="default"/>
              </w:rPr>
            </w:pPr>
          </w:p>
        </w:tc>
        <w:tc>
          <w:tcPr>
            <w:tcW w:w="248" w:type="pct"/>
            <w:gridSpan w:val="2"/>
            <w:vMerge w:val="continue"/>
            <w:tcBorders>
              <w:top w:val="single" w:color="000000" w:sz="4" w:space="0"/>
              <w:left w:val="single" w:color="000000" w:sz="4" w:space="0"/>
              <w:bottom w:val="single" w:color="000000" w:sz="4" w:space="0"/>
              <w:right w:val="single" w:color="000000" w:sz="4" w:space="0"/>
            </w:tcBorders>
            <w:noWrap/>
            <w:vAlign w:val="center"/>
          </w:tcPr>
          <w:p w14:paraId="36B22681">
            <w:pPr>
              <w:keepNext w:val="0"/>
              <w:keepLines w:val="0"/>
              <w:suppressLineNumbers w:val="0"/>
              <w:spacing w:before="0" w:beforeAutospacing="0" w:after="0" w:afterAutospacing="0" w:line="260" w:lineRule="exact"/>
              <w:ind w:left="0" w:right="0"/>
              <w:rPr>
                <w:rFonts w:hint="default"/>
              </w:rPr>
            </w:pPr>
          </w:p>
        </w:tc>
        <w:tc>
          <w:tcPr>
            <w:tcW w:w="423" w:type="pct"/>
            <w:gridSpan w:val="2"/>
            <w:vMerge w:val="continue"/>
            <w:tcBorders>
              <w:top w:val="single" w:color="000000" w:sz="4" w:space="0"/>
              <w:left w:val="single" w:color="000000" w:sz="4" w:space="0"/>
              <w:bottom w:val="single" w:color="000000" w:sz="4" w:space="0"/>
              <w:right w:val="single" w:color="000000" w:sz="4" w:space="0"/>
            </w:tcBorders>
            <w:noWrap/>
            <w:vAlign w:val="center"/>
          </w:tcPr>
          <w:p w14:paraId="4F3E4C05">
            <w:pPr>
              <w:keepNext w:val="0"/>
              <w:keepLines w:val="0"/>
              <w:suppressLineNumbers w:val="0"/>
              <w:spacing w:before="0" w:beforeAutospacing="0" w:after="0" w:afterAutospacing="0" w:line="260" w:lineRule="exact"/>
              <w:ind w:left="0" w:right="0"/>
              <w:rPr>
                <w:rFonts w:hint="default"/>
              </w:rPr>
            </w:pPr>
          </w:p>
        </w:tc>
        <w:tc>
          <w:tcPr>
            <w:tcW w:w="925" w:type="pct"/>
            <w:gridSpan w:val="4"/>
            <w:tcBorders>
              <w:top w:val="single" w:color="000000" w:sz="4" w:space="0"/>
              <w:left w:val="single" w:color="000000" w:sz="4" w:space="0"/>
              <w:bottom w:val="single" w:color="000000" w:sz="4" w:space="0"/>
              <w:right w:val="single" w:color="000000" w:sz="4" w:space="0"/>
            </w:tcBorders>
            <w:noWrap/>
            <w:vAlign w:val="center"/>
          </w:tcPr>
          <w:p w14:paraId="11C15300">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指标7：强化军粮供应管理，全面保障部队需要，巩固完善军粮供应站。</w:t>
            </w:r>
          </w:p>
        </w:tc>
        <w:tc>
          <w:tcPr>
            <w:tcW w:w="460" w:type="pct"/>
            <w:gridSpan w:val="2"/>
            <w:tcBorders>
              <w:top w:val="single" w:color="000000" w:sz="4" w:space="0"/>
              <w:left w:val="single" w:color="000000" w:sz="4" w:space="0"/>
              <w:bottom w:val="single" w:color="000000" w:sz="4" w:space="0"/>
              <w:right w:val="single" w:color="000000" w:sz="4" w:space="0"/>
            </w:tcBorders>
            <w:noWrap/>
            <w:vAlign w:val="center"/>
          </w:tcPr>
          <w:p w14:paraId="5416EEC1">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18"/>
                <w:szCs w:val="18"/>
              </w:rPr>
            </w:pPr>
            <w:r>
              <w:rPr>
                <w:rFonts w:hint="eastAsia" w:ascii="宋体" w:eastAsia="宋体" w:cs="宋体"/>
                <w:color w:val="000000"/>
                <w:kern w:val="0"/>
                <w:sz w:val="18"/>
                <w:szCs w:val="18"/>
              </w:rPr>
              <w:t>=</w:t>
            </w:r>
          </w:p>
        </w:tc>
        <w:tc>
          <w:tcPr>
            <w:tcW w:w="1058" w:type="pct"/>
            <w:tcBorders>
              <w:top w:val="single" w:color="000000" w:sz="4" w:space="0"/>
              <w:left w:val="single" w:color="000000" w:sz="4" w:space="0"/>
              <w:bottom w:val="single" w:color="000000" w:sz="4" w:space="0"/>
              <w:right w:val="single" w:color="000000" w:sz="4" w:space="0"/>
            </w:tcBorders>
            <w:noWrap/>
            <w:vAlign w:val="center"/>
          </w:tcPr>
          <w:p w14:paraId="316A5926">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1</w:t>
            </w:r>
          </w:p>
        </w:tc>
        <w:tc>
          <w:tcPr>
            <w:tcW w:w="222" w:type="pct"/>
            <w:gridSpan w:val="2"/>
            <w:tcBorders>
              <w:top w:val="single" w:color="000000" w:sz="4" w:space="0"/>
              <w:left w:val="single" w:color="000000" w:sz="4" w:space="0"/>
              <w:bottom w:val="single" w:color="000000" w:sz="4" w:space="0"/>
              <w:right w:val="single" w:color="000000" w:sz="4" w:space="0"/>
            </w:tcBorders>
            <w:noWrap/>
            <w:vAlign w:val="center"/>
          </w:tcPr>
          <w:p w14:paraId="239A70A5">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18"/>
                <w:szCs w:val="18"/>
              </w:rPr>
            </w:pPr>
            <w:r>
              <w:rPr>
                <w:rFonts w:hint="eastAsia" w:ascii="宋体" w:eastAsia="宋体" w:cs="宋体"/>
                <w:color w:val="000000"/>
                <w:kern w:val="0"/>
                <w:sz w:val="18"/>
                <w:szCs w:val="18"/>
              </w:rPr>
              <w:t>个</w:t>
            </w:r>
          </w:p>
        </w:tc>
        <w:tc>
          <w:tcPr>
            <w:tcW w:w="349" w:type="pct"/>
            <w:gridSpan w:val="2"/>
            <w:tcBorders>
              <w:top w:val="single" w:color="000000" w:sz="4" w:space="0"/>
              <w:left w:val="single" w:color="000000" w:sz="4" w:space="0"/>
              <w:bottom w:val="single" w:color="000000" w:sz="4" w:space="0"/>
              <w:right w:val="single" w:color="000000" w:sz="4" w:space="0"/>
            </w:tcBorders>
            <w:noWrap/>
            <w:vAlign w:val="center"/>
          </w:tcPr>
          <w:p w14:paraId="1425FB1A">
            <w:pPr>
              <w:keepNext w:val="0"/>
              <w:keepLines w:val="0"/>
              <w:suppressLineNumbers w:val="0"/>
              <w:spacing w:before="0" w:beforeAutospacing="0" w:after="0" w:afterAutospacing="0" w:line="260" w:lineRule="exact"/>
              <w:ind w:left="0" w:right="0"/>
              <w:jc w:val="center"/>
              <w:rPr>
                <w:rFonts w:hint="eastAsia" w:ascii="宋体" w:eastAsia="宋体" w:cs="宋体"/>
                <w:color w:val="000000"/>
                <w:sz w:val="18"/>
                <w:szCs w:val="18"/>
              </w:rPr>
            </w:pPr>
          </w:p>
        </w:tc>
        <w:tc>
          <w:tcPr>
            <w:tcW w:w="1110" w:type="pct"/>
            <w:gridSpan w:val="5"/>
            <w:tcBorders>
              <w:top w:val="single" w:color="000000" w:sz="4" w:space="0"/>
              <w:left w:val="single" w:color="000000" w:sz="4" w:space="0"/>
              <w:bottom w:val="single" w:color="000000" w:sz="4" w:space="0"/>
              <w:right w:val="single" w:color="000000" w:sz="4" w:space="0"/>
            </w:tcBorders>
            <w:noWrap/>
            <w:vAlign w:val="center"/>
          </w:tcPr>
          <w:p w14:paraId="5C1B9779">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1</w:t>
            </w:r>
          </w:p>
        </w:tc>
      </w:tr>
      <w:tr w14:paraId="0FD5DE78">
        <w:tblPrEx>
          <w:tblCellMar>
            <w:top w:w="0" w:type="dxa"/>
            <w:left w:w="108" w:type="dxa"/>
            <w:bottom w:w="0" w:type="dxa"/>
            <w:right w:w="108" w:type="dxa"/>
          </w:tblCellMar>
        </w:tblPrEx>
        <w:trPr>
          <w:trHeight w:val="1542" w:hRule="atLeast"/>
        </w:trPr>
        <w:tc>
          <w:tcPr>
            <w:tcW w:w="201" w:type="pct"/>
            <w:vMerge w:val="restart"/>
            <w:tcBorders>
              <w:top w:val="single" w:color="000000" w:sz="4" w:space="0"/>
              <w:left w:val="single" w:color="000000" w:sz="4" w:space="0"/>
              <w:right w:val="single" w:color="000000" w:sz="4" w:space="0"/>
            </w:tcBorders>
            <w:noWrap/>
            <w:vAlign w:val="center"/>
          </w:tcPr>
          <w:p w14:paraId="26B656BA">
            <w:pPr>
              <w:keepNext w:val="0"/>
              <w:keepLines w:val="0"/>
              <w:suppressLineNumbers w:val="0"/>
              <w:spacing w:before="0" w:beforeAutospacing="0" w:after="0" w:afterAutospacing="0" w:line="260" w:lineRule="exact"/>
              <w:ind w:left="0" w:right="0"/>
              <w:rPr>
                <w:rFonts w:hint="default"/>
              </w:rPr>
            </w:pPr>
          </w:p>
        </w:tc>
        <w:tc>
          <w:tcPr>
            <w:tcW w:w="248" w:type="pct"/>
            <w:gridSpan w:val="2"/>
            <w:vMerge w:val="continue"/>
            <w:tcBorders>
              <w:top w:val="single" w:color="000000" w:sz="4" w:space="0"/>
              <w:left w:val="single" w:color="000000" w:sz="4" w:space="0"/>
              <w:bottom w:val="single" w:color="000000" w:sz="4" w:space="0"/>
              <w:right w:val="single" w:color="000000" w:sz="4" w:space="0"/>
            </w:tcBorders>
            <w:noWrap/>
            <w:vAlign w:val="center"/>
          </w:tcPr>
          <w:p w14:paraId="79EEA45F">
            <w:pPr>
              <w:keepNext w:val="0"/>
              <w:keepLines w:val="0"/>
              <w:suppressLineNumbers w:val="0"/>
              <w:spacing w:before="0" w:beforeAutospacing="0" w:after="0" w:afterAutospacing="0" w:line="260" w:lineRule="exact"/>
              <w:ind w:left="0" w:right="0"/>
              <w:rPr>
                <w:rFonts w:hint="default"/>
              </w:rPr>
            </w:pPr>
          </w:p>
        </w:tc>
        <w:tc>
          <w:tcPr>
            <w:tcW w:w="423" w:type="pct"/>
            <w:gridSpan w:val="2"/>
            <w:vMerge w:val="continue"/>
            <w:tcBorders>
              <w:top w:val="single" w:color="000000" w:sz="4" w:space="0"/>
              <w:left w:val="single" w:color="000000" w:sz="4" w:space="0"/>
              <w:bottom w:val="single" w:color="000000" w:sz="4" w:space="0"/>
              <w:right w:val="single" w:color="000000" w:sz="4" w:space="0"/>
            </w:tcBorders>
            <w:noWrap/>
            <w:vAlign w:val="center"/>
          </w:tcPr>
          <w:p w14:paraId="739A7420">
            <w:pPr>
              <w:keepNext w:val="0"/>
              <w:keepLines w:val="0"/>
              <w:suppressLineNumbers w:val="0"/>
              <w:spacing w:before="0" w:beforeAutospacing="0" w:after="0" w:afterAutospacing="0" w:line="260" w:lineRule="exact"/>
              <w:ind w:left="0" w:right="0"/>
              <w:rPr>
                <w:rFonts w:hint="default"/>
              </w:rPr>
            </w:pPr>
          </w:p>
        </w:tc>
        <w:tc>
          <w:tcPr>
            <w:tcW w:w="925" w:type="pct"/>
            <w:gridSpan w:val="4"/>
            <w:tcBorders>
              <w:top w:val="single" w:color="000000" w:sz="4" w:space="0"/>
              <w:left w:val="single" w:color="000000" w:sz="4" w:space="0"/>
              <w:bottom w:val="single" w:color="000000" w:sz="4" w:space="0"/>
              <w:right w:val="single" w:color="000000" w:sz="4" w:space="0"/>
            </w:tcBorders>
            <w:noWrap/>
            <w:vAlign w:val="center"/>
          </w:tcPr>
          <w:p w14:paraId="260C228C">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指标8：全市政策性储备粮食、新收获粮食、应急粮食、军供粮食质量安全监测，包括出库监测、入库监测、专项监测、应急监测和日常监督监测等</w:t>
            </w:r>
          </w:p>
        </w:tc>
        <w:tc>
          <w:tcPr>
            <w:tcW w:w="460" w:type="pct"/>
            <w:gridSpan w:val="2"/>
            <w:tcBorders>
              <w:top w:val="single" w:color="000000" w:sz="4" w:space="0"/>
              <w:left w:val="single" w:color="000000" w:sz="4" w:space="0"/>
              <w:bottom w:val="single" w:color="000000" w:sz="4" w:space="0"/>
              <w:right w:val="single" w:color="000000" w:sz="4" w:space="0"/>
            </w:tcBorders>
            <w:noWrap/>
            <w:vAlign w:val="center"/>
          </w:tcPr>
          <w:p w14:paraId="76479462">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18"/>
                <w:szCs w:val="18"/>
              </w:rPr>
            </w:pPr>
            <w:r>
              <w:rPr>
                <w:rFonts w:hint="eastAsia" w:ascii="宋体" w:eastAsia="宋体" w:cs="宋体"/>
                <w:color w:val="000000"/>
                <w:kern w:val="0"/>
                <w:sz w:val="18"/>
                <w:szCs w:val="18"/>
              </w:rPr>
              <w:t>≥</w:t>
            </w:r>
          </w:p>
        </w:tc>
        <w:tc>
          <w:tcPr>
            <w:tcW w:w="1058" w:type="pct"/>
            <w:tcBorders>
              <w:top w:val="single" w:color="000000" w:sz="4" w:space="0"/>
              <w:left w:val="single" w:color="000000" w:sz="4" w:space="0"/>
              <w:bottom w:val="single" w:color="000000" w:sz="4" w:space="0"/>
              <w:right w:val="single" w:color="000000" w:sz="4" w:space="0"/>
            </w:tcBorders>
            <w:noWrap/>
            <w:vAlign w:val="center"/>
          </w:tcPr>
          <w:p w14:paraId="1ED01270">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200</w:t>
            </w:r>
          </w:p>
        </w:tc>
        <w:tc>
          <w:tcPr>
            <w:tcW w:w="222" w:type="pct"/>
            <w:gridSpan w:val="2"/>
            <w:tcBorders>
              <w:top w:val="single" w:color="000000" w:sz="4" w:space="0"/>
              <w:left w:val="single" w:color="000000" w:sz="4" w:space="0"/>
              <w:bottom w:val="single" w:color="000000" w:sz="4" w:space="0"/>
              <w:right w:val="single" w:color="000000" w:sz="4" w:space="0"/>
            </w:tcBorders>
            <w:noWrap/>
            <w:vAlign w:val="center"/>
          </w:tcPr>
          <w:p w14:paraId="77413EAD">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18"/>
                <w:szCs w:val="18"/>
              </w:rPr>
            </w:pPr>
            <w:r>
              <w:rPr>
                <w:rFonts w:hint="eastAsia" w:ascii="宋体" w:eastAsia="宋体" w:cs="宋体"/>
                <w:color w:val="000000"/>
                <w:kern w:val="0"/>
                <w:sz w:val="18"/>
                <w:szCs w:val="18"/>
              </w:rPr>
              <w:t>份</w:t>
            </w:r>
          </w:p>
        </w:tc>
        <w:tc>
          <w:tcPr>
            <w:tcW w:w="349" w:type="pct"/>
            <w:gridSpan w:val="2"/>
            <w:tcBorders>
              <w:top w:val="single" w:color="000000" w:sz="4" w:space="0"/>
              <w:left w:val="single" w:color="000000" w:sz="4" w:space="0"/>
              <w:bottom w:val="single" w:color="000000" w:sz="4" w:space="0"/>
              <w:right w:val="single" w:color="000000" w:sz="4" w:space="0"/>
            </w:tcBorders>
            <w:noWrap/>
            <w:vAlign w:val="center"/>
          </w:tcPr>
          <w:p w14:paraId="76C4FC46">
            <w:pPr>
              <w:keepNext w:val="0"/>
              <w:keepLines w:val="0"/>
              <w:suppressLineNumbers w:val="0"/>
              <w:spacing w:before="0" w:beforeAutospacing="0" w:after="0" w:afterAutospacing="0" w:line="260" w:lineRule="exact"/>
              <w:ind w:left="0" w:right="0"/>
              <w:jc w:val="center"/>
              <w:rPr>
                <w:rFonts w:hint="eastAsia" w:ascii="宋体" w:eastAsia="宋体" w:cs="宋体"/>
                <w:color w:val="000000"/>
                <w:sz w:val="18"/>
                <w:szCs w:val="18"/>
              </w:rPr>
            </w:pPr>
          </w:p>
        </w:tc>
        <w:tc>
          <w:tcPr>
            <w:tcW w:w="1110" w:type="pct"/>
            <w:gridSpan w:val="5"/>
            <w:tcBorders>
              <w:top w:val="single" w:color="000000" w:sz="4" w:space="0"/>
              <w:left w:val="single" w:color="000000" w:sz="4" w:space="0"/>
              <w:bottom w:val="single" w:color="000000" w:sz="4" w:space="0"/>
              <w:right w:val="single" w:color="000000" w:sz="4" w:space="0"/>
            </w:tcBorders>
            <w:noWrap/>
            <w:vAlign w:val="center"/>
          </w:tcPr>
          <w:p w14:paraId="4084CAB7">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216</w:t>
            </w:r>
          </w:p>
        </w:tc>
      </w:tr>
      <w:tr w14:paraId="5448EE17">
        <w:tblPrEx>
          <w:tblCellMar>
            <w:top w:w="0" w:type="dxa"/>
            <w:left w:w="108" w:type="dxa"/>
            <w:bottom w:w="0" w:type="dxa"/>
            <w:right w:w="108" w:type="dxa"/>
          </w:tblCellMar>
        </w:tblPrEx>
        <w:trPr>
          <w:trHeight w:val="900" w:hRule="atLeast"/>
        </w:trPr>
        <w:tc>
          <w:tcPr>
            <w:tcW w:w="201" w:type="pct"/>
            <w:vMerge w:val="continue"/>
            <w:tcBorders>
              <w:left w:val="single" w:color="000000" w:sz="4" w:space="0"/>
              <w:right w:val="single" w:color="000000" w:sz="4" w:space="0"/>
            </w:tcBorders>
            <w:noWrap/>
            <w:vAlign w:val="center"/>
          </w:tcPr>
          <w:p w14:paraId="6F1FE295">
            <w:pPr>
              <w:keepNext w:val="0"/>
              <w:keepLines w:val="0"/>
              <w:suppressLineNumbers w:val="0"/>
              <w:spacing w:before="0" w:beforeAutospacing="0" w:after="0" w:afterAutospacing="0" w:line="260" w:lineRule="exact"/>
              <w:ind w:left="0" w:right="0"/>
              <w:rPr>
                <w:rFonts w:hint="default"/>
              </w:rPr>
            </w:pPr>
          </w:p>
        </w:tc>
        <w:tc>
          <w:tcPr>
            <w:tcW w:w="248" w:type="pct"/>
            <w:gridSpan w:val="2"/>
            <w:vMerge w:val="continue"/>
            <w:tcBorders>
              <w:top w:val="single" w:color="000000" w:sz="4" w:space="0"/>
              <w:left w:val="single" w:color="000000" w:sz="4" w:space="0"/>
              <w:bottom w:val="single" w:color="000000" w:sz="4" w:space="0"/>
              <w:right w:val="single" w:color="000000" w:sz="4" w:space="0"/>
            </w:tcBorders>
            <w:noWrap/>
            <w:vAlign w:val="center"/>
          </w:tcPr>
          <w:p w14:paraId="11B3C002">
            <w:pPr>
              <w:keepNext w:val="0"/>
              <w:keepLines w:val="0"/>
              <w:suppressLineNumbers w:val="0"/>
              <w:spacing w:before="0" w:beforeAutospacing="0" w:after="0" w:afterAutospacing="0" w:line="260" w:lineRule="exact"/>
              <w:ind w:left="0" w:right="0"/>
              <w:rPr>
                <w:rFonts w:hint="default"/>
              </w:rPr>
            </w:pPr>
          </w:p>
        </w:tc>
        <w:tc>
          <w:tcPr>
            <w:tcW w:w="423" w:type="pct"/>
            <w:gridSpan w:val="2"/>
            <w:vMerge w:val="continue"/>
            <w:tcBorders>
              <w:top w:val="single" w:color="000000" w:sz="4" w:space="0"/>
              <w:left w:val="single" w:color="000000" w:sz="4" w:space="0"/>
              <w:bottom w:val="single" w:color="000000" w:sz="4" w:space="0"/>
              <w:right w:val="single" w:color="000000" w:sz="4" w:space="0"/>
            </w:tcBorders>
            <w:noWrap/>
            <w:vAlign w:val="center"/>
          </w:tcPr>
          <w:p w14:paraId="257B5D06">
            <w:pPr>
              <w:keepNext w:val="0"/>
              <w:keepLines w:val="0"/>
              <w:suppressLineNumbers w:val="0"/>
              <w:spacing w:before="0" w:beforeAutospacing="0" w:after="0" w:afterAutospacing="0" w:line="260" w:lineRule="exact"/>
              <w:ind w:left="0" w:right="0"/>
              <w:rPr>
                <w:rFonts w:hint="default"/>
              </w:rPr>
            </w:pPr>
          </w:p>
        </w:tc>
        <w:tc>
          <w:tcPr>
            <w:tcW w:w="925" w:type="pct"/>
            <w:gridSpan w:val="4"/>
            <w:tcBorders>
              <w:top w:val="single" w:color="000000" w:sz="4" w:space="0"/>
              <w:left w:val="single" w:color="000000" w:sz="4" w:space="0"/>
              <w:bottom w:val="single" w:color="000000" w:sz="4" w:space="0"/>
              <w:right w:val="single" w:color="000000" w:sz="4" w:space="0"/>
            </w:tcBorders>
            <w:noWrap/>
            <w:vAlign w:val="center"/>
          </w:tcPr>
          <w:p w14:paraId="44C56240">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指标9：我市常年粮食产量约160万吨，按照不少于主要粮食产量每万吨抽检1个样品进行质量调查和质量安全监测、有针对性的选择优质品种开展品质测报的要求，预计抽检农户、专业合作社、家庭农场等产新粮食样品</w:t>
            </w:r>
          </w:p>
        </w:tc>
        <w:tc>
          <w:tcPr>
            <w:tcW w:w="460" w:type="pct"/>
            <w:gridSpan w:val="2"/>
            <w:tcBorders>
              <w:top w:val="single" w:color="000000" w:sz="4" w:space="0"/>
              <w:left w:val="single" w:color="000000" w:sz="4" w:space="0"/>
              <w:bottom w:val="single" w:color="000000" w:sz="4" w:space="0"/>
              <w:right w:val="single" w:color="000000" w:sz="4" w:space="0"/>
            </w:tcBorders>
            <w:noWrap/>
            <w:vAlign w:val="center"/>
          </w:tcPr>
          <w:p w14:paraId="7AE0D79D">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18"/>
                <w:szCs w:val="18"/>
              </w:rPr>
            </w:pPr>
            <w:r>
              <w:rPr>
                <w:rFonts w:hint="eastAsia" w:ascii="宋体" w:eastAsia="宋体" w:cs="宋体"/>
                <w:color w:val="000000"/>
                <w:kern w:val="0"/>
                <w:sz w:val="18"/>
                <w:szCs w:val="18"/>
              </w:rPr>
              <w:t>≥</w:t>
            </w:r>
          </w:p>
        </w:tc>
        <w:tc>
          <w:tcPr>
            <w:tcW w:w="1058" w:type="pct"/>
            <w:tcBorders>
              <w:top w:val="single" w:color="000000" w:sz="4" w:space="0"/>
              <w:left w:val="single" w:color="000000" w:sz="4" w:space="0"/>
              <w:bottom w:val="single" w:color="000000" w:sz="4" w:space="0"/>
              <w:right w:val="single" w:color="000000" w:sz="4" w:space="0"/>
            </w:tcBorders>
            <w:noWrap/>
            <w:vAlign w:val="center"/>
          </w:tcPr>
          <w:p w14:paraId="574C5A14">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160</w:t>
            </w:r>
          </w:p>
        </w:tc>
        <w:tc>
          <w:tcPr>
            <w:tcW w:w="222" w:type="pct"/>
            <w:gridSpan w:val="2"/>
            <w:tcBorders>
              <w:top w:val="single" w:color="000000" w:sz="4" w:space="0"/>
              <w:left w:val="single" w:color="000000" w:sz="4" w:space="0"/>
              <w:bottom w:val="single" w:color="000000" w:sz="4" w:space="0"/>
              <w:right w:val="single" w:color="000000" w:sz="4" w:space="0"/>
            </w:tcBorders>
            <w:noWrap/>
            <w:vAlign w:val="center"/>
          </w:tcPr>
          <w:p w14:paraId="4CF7CD3F">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18"/>
                <w:szCs w:val="18"/>
              </w:rPr>
            </w:pPr>
            <w:r>
              <w:rPr>
                <w:rFonts w:hint="eastAsia" w:ascii="宋体" w:eastAsia="宋体" w:cs="宋体"/>
                <w:color w:val="000000"/>
                <w:kern w:val="0"/>
                <w:sz w:val="18"/>
                <w:szCs w:val="18"/>
              </w:rPr>
              <w:t>份</w:t>
            </w:r>
          </w:p>
        </w:tc>
        <w:tc>
          <w:tcPr>
            <w:tcW w:w="349" w:type="pct"/>
            <w:gridSpan w:val="2"/>
            <w:tcBorders>
              <w:top w:val="single" w:color="000000" w:sz="4" w:space="0"/>
              <w:left w:val="single" w:color="000000" w:sz="4" w:space="0"/>
              <w:bottom w:val="single" w:color="000000" w:sz="4" w:space="0"/>
              <w:right w:val="single" w:color="000000" w:sz="4" w:space="0"/>
            </w:tcBorders>
            <w:noWrap/>
            <w:vAlign w:val="center"/>
          </w:tcPr>
          <w:p w14:paraId="5FD04A82">
            <w:pPr>
              <w:keepNext w:val="0"/>
              <w:keepLines w:val="0"/>
              <w:suppressLineNumbers w:val="0"/>
              <w:spacing w:before="0" w:beforeAutospacing="0" w:after="0" w:afterAutospacing="0" w:line="260" w:lineRule="exact"/>
              <w:ind w:left="0" w:right="0"/>
              <w:jc w:val="center"/>
              <w:rPr>
                <w:rFonts w:hint="eastAsia" w:ascii="宋体" w:eastAsia="宋体" w:cs="宋体"/>
                <w:color w:val="000000"/>
                <w:sz w:val="18"/>
                <w:szCs w:val="18"/>
              </w:rPr>
            </w:pPr>
          </w:p>
        </w:tc>
        <w:tc>
          <w:tcPr>
            <w:tcW w:w="1110" w:type="pct"/>
            <w:gridSpan w:val="5"/>
            <w:tcBorders>
              <w:top w:val="single" w:color="000000" w:sz="4" w:space="0"/>
              <w:left w:val="single" w:color="000000" w:sz="4" w:space="0"/>
              <w:bottom w:val="single" w:color="000000" w:sz="4" w:space="0"/>
              <w:right w:val="single" w:color="000000" w:sz="4" w:space="0"/>
            </w:tcBorders>
            <w:noWrap/>
            <w:vAlign w:val="center"/>
          </w:tcPr>
          <w:p w14:paraId="54402410">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160</w:t>
            </w:r>
          </w:p>
        </w:tc>
      </w:tr>
      <w:tr w14:paraId="54733DB4">
        <w:tblPrEx>
          <w:tblCellMar>
            <w:top w:w="0" w:type="dxa"/>
            <w:left w:w="108" w:type="dxa"/>
            <w:bottom w:w="0" w:type="dxa"/>
            <w:right w:w="108" w:type="dxa"/>
          </w:tblCellMar>
        </w:tblPrEx>
        <w:trPr>
          <w:trHeight w:val="1560" w:hRule="atLeast"/>
        </w:trPr>
        <w:tc>
          <w:tcPr>
            <w:tcW w:w="201" w:type="pct"/>
            <w:vMerge w:val="continue"/>
            <w:tcBorders>
              <w:left w:val="single" w:color="000000" w:sz="4" w:space="0"/>
              <w:right w:val="single" w:color="000000" w:sz="4" w:space="0"/>
            </w:tcBorders>
            <w:noWrap/>
            <w:vAlign w:val="center"/>
          </w:tcPr>
          <w:p w14:paraId="6D394A07">
            <w:pPr>
              <w:keepNext w:val="0"/>
              <w:keepLines w:val="0"/>
              <w:suppressLineNumbers w:val="0"/>
              <w:spacing w:before="0" w:beforeAutospacing="0" w:after="0" w:afterAutospacing="0" w:line="260" w:lineRule="exact"/>
              <w:ind w:left="0" w:right="0"/>
              <w:rPr>
                <w:rFonts w:hint="default"/>
              </w:rPr>
            </w:pPr>
          </w:p>
        </w:tc>
        <w:tc>
          <w:tcPr>
            <w:tcW w:w="248" w:type="pct"/>
            <w:gridSpan w:val="2"/>
            <w:vMerge w:val="continue"/>
            <w:tcBorders>
              <w:top w:val="single" w:color="000000" w:sz="4" w:space="0"/>
              <w:left w:val="single" w:color="000000" w:sz="4" w:space="0"/>
              <w:bottom w:val="single" w:color="000000" w:sz="4" w:space="0"/>
              <w:right w:val="single" w:color="000000" w:sz="4" w:space="0"/>
            </w:tcBorders>
            <w:noWrap/>
            <w:vAlign w:val="center"/>
          </w:tcPr>
          <w:p w14:paraId="4EE82822">
            <w:pPr>
              <w:keepNext w:val="0"/>
              <w:keepLines w:val="0"/>
              <w:suppressLineNumbers w:val="0"/>
              <w:spacing w:before="0" w:beforeAutospacing="0" w:after="0" w:afterAutospacing="0" w:line="260" w:lineRule="exact"/>
              <w:ind w:left="0" w:right="0"/>
              <w:rPr>
                <w:rFonts w:hint="default"/>
              </w:rPr>
            </w:pPr>
          </w:p>
        </w:tc>
        <w:tc>
          <w:tcPr>
            <w:tcW w:w="423" w:type="pct"/>
            <w:gridSpan w:val="2"/>
            <w:vMerge w:val="continue"/>
            <w:tcBorders>
              <w:top w:val="single" w:color="000000" w:sz="4" w:space="0"/>
              <w:left w:val="single" w:color="000000" w:sz="4" w:space="0"/>
              <w:bottom w:val="single" w:color="000000" w:sz="4" w:space="0"/>
              <w:right w:val="single" w:color="000000" w:sz="4" w:space="0"/>
            </w:tcBorders>
            <w:noWrap/>
            <w:vAlign w:val="center"/>
          </w:tcPr>
          <w:p w14:paraId="700D05E9">
            <w:pPr>
              <w:keepNext w:val="0"/>
              <w:keepLines w:val="0"/>
              <w:suppressLineNumbers w:val="0"/>
              <w:spacing w:before="0" w:beforeAutospacing="0" w:after="0" w:afterAutospacing="0" w:line="260" w:lineRule="exact"/>
              <w:ind w:left="0" w:right="0"/>
              <w:rPr>
                <w:rFonts w:hint="default"/>
              </w:rPr>
            </w:pPr>
          </w:p>
        </w:tc>
        <w:tc>
          <w:tcPr>
            <w:tcW w:w="925" w:type="pct"/>
            <w:gridSpan w:val="4"/>
            <w:tcBorders>
              <w:top w:val="single" w:color="000000" w:sz="4" w:space="0"/>
              <w:left w:val="nil"/>
              <w:bottom w:val="single" w:color="000000" w:sz="4" w:space="0"/>
              <w:right w:val="nil"/>
            </w:tcBorders>
            <w:noWrap/>
            <w:vAlign w:val="center"/>
          </w:tcPr>
          <w:p w14:paraId="0F8A670F">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 xml:space="preserve"> 指标10：完成实验室核心设备维修维护（根据规定为社会提供公证数据的产品质量检验机构，必须经计量行政部门计量认证）</w:t>
            </w:r>
          </w:p>
        </w:tc>
        <w:tc>
          <w:tcPr>
            <w:tcW w:w="460" w:type="pct"/>
            <w:gridSpan w:val="2"/>
            <w:tcBorders>
              <w:top w:val="single" w:color="000000" w:sz="4" w:space="0"/>
              <w:left w:val="single" w:color="000000" w:sz="4" w:space="0"/>
              <w:bottom w:val="single" w:color="000000" w:sz="4" w:space="0"/>
              <w:right w:val="single" w:color="000000" w:sz="4" w:space="0"/>
            </w:tcBorders>
            <w:noWrap/>
            <w:vAlign w:val="center"/>
          </w:tcPr>
          <w:p w14:paraId="610A543E">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w:t>
            </w:r>
          </w:p>
        </w:tc>
        <w:tc>
          <w:tcPr>
            <w:tcW w:w="1058" w:type="pct"/>
            <w:tcBorders>
              <w:top w:val="single" w:color="000000" w:sz="4" w:space="0"/>
              <w:left w:val="single" w:color="000000" w:sz="4" w:space="0"/>
              <w:bottom w:val="single" w:color="000000" w:sz="4" w:space="0"/>
              <w:right w:val="single" w:color="000000" w:sz="4" w:space="0"/>
            </w:tcBorders>
            <w:noWrap/>
            <w:vAlign w:val="center"/>
          </w:tcPr>
          <w:p w14:paraId="4C7331A9">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71</w:t>
            </w:r>
          </w:p>
        </w:tc>
        <w:tc>
          <w:tcPr>
            <w:tcW w:w="222" w:type="pct"/>
            <w:gridSpan w:val="2"/>
            <w:tcBorders>
              <w:top w:val="single" w:color="000000" w:sz="4" w:space="0"/>
              <w:left w:val="single" w:color="000000" w:sz="4" w:space="0"/>
              <w:bottom w:val="single" w:color="000000" w:sz="4" w:space="0"/>
              <w:right w:val="single" w:color="000000" w:sz="4" w:space="0"/>
            </w:tcBorders>
            <w:noWrap/>
            <w:vAlign w:val="center"/>
          </w:tcPr>
          <w:p w14:paraId="2C6BC719">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个（台、套、件、辆</w:t>
            </w:r>
          </w:p>
        </w:tc>
        <w:tc>
          <w:tcPr>
            <w:tcW w:w="349" w:type="pct"/>
            <w:gridSpan w:val="2"/>
            <w:tcBorders>
              <w:top w:val="single" w:color="000000" w:sz="4" w:space="0"/>
              <w:left w:val="single" w:color="000000" w:sz="4" w:space="0"/>
              <w:bottom w:val="single" w:color="000000" w:sz="4" w:space="0"/>
              <w:right w:val="single" w:color="000000" w:sz="4" w:space="0"/>
            </w:tcBorders>
            <w:noWrap/>
            <w:vAlign w:val="center"/>
          </w:tcPr>
          <w:p w14:paraId="661C580B">
            <w:pPr>
              <w:keepNext w:val="0"/>
              <w:keepLines w:val="0"/>
              <w:suppressLineNumbers w:val="0"/>
              <w:spacing w:before="0" w:beforeAutospacing="0" w:after="0" w:afterAutospacing="0" w:line="260" w:lineRule="exact"/>
              <w:ind w:left="0" w:right="0"/>
              <w:jc w:val="left"/>
              <w:rPr>
                <w:rFonts w:hint="eastAsia" w:ascii="宋体" w:eastAsia="宋体" w:cs="宋体"/>
                <w:color w:val="000000"/>
                <w:sz w:val="20"/>
                <w:szCs w:val="20"/>
              </w:rPr>
            </w:pPr>
          </w:p>
        </w:tc>
        <w:tc>
          <w:tcPr>
            <w:tcW w:w="1110" w:type="pct"/>
            <w:gridSpan w:val="5"/>
            <w:tcBorders>
              <w:top w:val="single" w:color="000000" w:sz="4" w:space="0"/>
              <w:left w:val="single" w:color="000000" w:sz="4" w:space="0"/>
              <w:bottom w:val="single" w:color="000000" w:sz="4" w:space="0"/>
              <w:right w:val="single" w:color="000000" w:sz="4" w:space="0"/>
            </w:tcBorders>
            <w:noWrap/>
            <w:vAlign w:val="center"/>
          </w:tcPr>
          <w:p w14:paraId="4E88023D">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71</w:t>
            </w:r>
          </w:p>
        </w:tc>
      </w:tr>
      <w:tr w14:paraId="3737BA5C">
        <w:tblPrEx>
          <w:tblCellMar>
            <w:top w:w="0" w:type="dxa"/>
            <w:left w:w="108" w:type="dxa"/>
            <w:bottom w:w="0" w:type="dxa"/>
            <w:right w:w="108" w:type="dxa"/>
          </w:tblCellMar>
        </w:tblPrEx>
        <w:trPr>
          <w:trHeight w:val="1481" w:hRule="atLeast"/>
        </w:trPr>
        <w:tc>
          <w:tcPr>
            <w:tcW w:w="201" w:type="pct"/>
            <w:vMerge w:val="continue"/>
            <w:tcBorders>
              <w:left w:val="single" w:color="000000" w:sz="4" w:space="0"/>
              <w:right w:val="single" w:color="000000" w:sz="4" w:space="0"/>
            </w:tcBorders>
            <w:noWrap/>
            <w:vAlign w:val="center"/>
          </w:tcPr>
          <w:p w14:paraId="6612F1B2">
            <w:pPr>
              <w:keepNext w:val="0"/>
              <w:keepLines w:val="0"/>
              <w:suppressLineNumbers w:val="0"/>
              <w:spacing w:before="0" w:beforeAutospacing="0" w:after="0" w:afterAutospacing="0" w:line="260" w:lineRule="exact"/>
              <w:ind w:left="0" w:right="0"/>
              <w:rPr>
                <w:rFonts w:hint="default"/>
              </w:rPr>
            </w:pPr>
          </w:p>
        </w:tc>
        <w:tc>
          <w:tcPr>
            <w:tcW w:w="248" w:type="pct"/>
            <w:gridSpan w:val="2"/>
            <w:vMerge w:val="continue"/>
            <w:tcBorders>
              <w:top w:val="single" w:color="000000" w:sz="4" w:space="0"/>
              <w:left w:val="single" w:color="000000" w:sz="4" w:space="0"/>
              <w:bottom w:val="single" w:color="000000" w:sz="4" w:space="0"/>
              <w:right w:val="single" w:color="000000" w:sz="4" w:space="0"/>
            </w:tcBorders>
            <w:noWrap/>
            <w:vAlign w:val="center"/>
          </w:tcPr>
          <w:p w14:paraId="641D6179">
            <w:pPr>
              <w:keepNext w:val="0"/>
              <w:keepLines w:val="0"/>
              <w:suppressLineNumbers w:val="0"/>
              <w:spacing w:before="0" w:beforeAutospacing="0" w:after="0" w:afterAutospacing="0" w:line="260" w:lineRule="exact"/>
              <w:ind w:left="0" w:right="0"/>
              <w:rPr>
                <w:rFonts w:hint="default"/>
              </w:rPr>
            </w:pPr>
          </w:p>
        </w:tc>
        <w:tc>
          <w:tcPr>
            <w:tcW w:w="423" w:type="pct"/>
            <w:gridSpan w:val="2"/>
            <w:vMerge w:val="continue"/>
            <w:tcBorders>
              <w:top w:val="single" w:color="000000" w:sz="4" w:space="0"/>
              <w:left w:val="single" w:color="000000" w:sz="4" w:space="0"/>
              <w:bottom w:val="single" w:color="000000" w:sz="4" w:space="0"/>
              <w:right w:val="single" w:color="000000" w:sz="4" w:space="0"/>
            </w:tcBorders>
            <w:noWrap/>
            <w:vAlign w:val="center"/>
          </w:tcPr>
          <w:p w14:paraId="5F832A3C">
            <w:pPr>
              <w:keepNext w:val="0"/>
              <w:keepLines w:val="0"/>
              <w:suppressLineNumbers w:val="0"/>
              <w:spacing w:before="0" w:beforeAutospacing="0" w:after="0" w:afterAutospacing="0" w:line="260" w:lineRule="exact"/>
              <w:ind w:left="0" w:right="0"/>
              <w:rPr>
                <w:rFonts w:hint="default"/>
              </w:rPr>
            </w:pPr>
          </w:p>
        </w:tc>
        <w:tc>
          <w:tcPr>
            <w:tcW w:w="925" w:type="pct"/>
            <w:gridSpan w:val="4"/>
            <w:tcBorders>
              <w:top w:val="single" w:color="000000" w:sz="4" w:space="0"/>
              <w:left w:val="nil"/>
              <w:bottom w:val="single" w:color="000000" w:sz="4" w:space="0"/>
              <w:right w:val="nil"/>
            </w:tcBorders>
            <w:noWrap/>
            <w:vAlign w:val="center"/>
          </w:tcPr>
          <w:p w14:paraId="3DAACA3D">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指标11：完成的救灾储备物资的装卸、运输、大型避难场所发电机、板房等维护保养，货车保养运输，救灾物资翻晒、保养、清洗等日常工作。</w:t>
            </w:r>
          </w:p>
        </w:tc>
        <w:tc>
          <w:tcPr>
            <w:tcW w:w="460" w:type="pct"/>
            <w:gridSpan w:val="2"/>
            <w:tcBorders>
              <w:top w:val="single" w:color="000000" w:sz="4" w:space="0"/>
              <w:left w:val="single" w:color="000000" w:sz="4" w:space="0"/>
              <w:bottom w:val="single" w:color="000000" w:sz="4" w:space="0"/>
              <w:right w:val="single" w:color="000000" w:sz="4" w:space="0"/>
            </w:tcBorders>
            <w:noWrap/>
            <w:vAlign w:val="center"/>
          </w:tcPr>
          <w:p w14:paraId="1890430B">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w:t>
            </w:r>
          </w:p>
        </w:tc>
        <w:tc>
          <w:tcPr>
            <w:tcW w:w="1058" w:type="pct"/>
            <w:tcBorders>
              <w:top w:val="single" w:color="000000" w:sz="4" w:space="0"/>
              <w:left w:val="single" w:color="000000" w:sz="4" w:space="0"/>
              <w:bottom w:val="single" w:color="000000" w:sz="4" w:space="0"/>
              <w:right w:val="single" w:color="000000" w:sz="4" w:space="0"/>
            </w:tcBorders>
            <w:noWrap/>
            <w:vAlign w:val="center"/>
          </w:tcPr>
          <w:p w14:paraId="3A5F87A5">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45000</w:t>
            </w:r>
          </w:p>
        </w:tc>
        <w:tc>
          <w:tcPr>
            <w:tcW w:w="222" w:type="pct"/>
            <w:gridSpan w:val="2"/>
            <w:tcBorders>
              <w:top w:val="single" w:color="000000" w:sz="4" w:space="0"/>
              <w:left w:val="single" w:color="000000" w:sz="4" w:space="0"/>
              <w:bottom w:val="single" w:color="000000" w:sz="4" w:space="0"/>
              <w:right w:val="single" w:color="000000" w:sz="4" w:space="0"/>
            </w:tcBorders>
            <w:noWrap/>
            <w:vAlign w:val="center"/>
          </w:tcPr>
          <w:p w14:paraId="32AC5031">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床</w:t>
            </w:r>
          </w:p>
        </w:tc>
        <w:tc>
          <w:tcPr>
            <w:tcW w:w="349" w:type="pct"/>
            <w:gridSpan w:val="2"/>
            <w:tcBorders>
              <w:top w:val="single" w:color="000000" w:sz="4" w:space="0"/>
              <w:left w:val="single" w:color="000000" w:sz="4" w:space="0"/>
              <w:bottom w:val="single" w:color="000000" w:sz="4" w:space="0"/>
              <w:right w:val="single" w:color="000000" w:sz="4" w:space="0"/>
            </w:tcBorders>
            <w:noWrap/>
            <w:vAlign w:val="center"/>
          </w:tcPr>
          <w:p w14:paraId="1A6FF799">
            <w:pPr>
              <w:keepNext w:val="0"/>
              <w:keepLines w:val="0"/>
              <w:suppressLineNumbers w:val="0"/>
              <w:spacing w:before="0" w:beforeAutospacing="0" w:after="0" w:afterAutospacing="0" w:line="260" w:lineRule="exact"/>
              <w:ind w:left="0" w:right="0"/>
              <w:jc w:val="left"/>
              <w:rPr>
                <w:rFonts w:hint="eastAsia" w:ascii="宋体" w:eastAsia="宋体" w:cs="宋体"/>
                <w:color w:val="000000"/>
                <w:sz w:val="20"/>
                <w:szCs w:val="20"/>
              </w:rPr>
            </w:pPr>
          </w:p>
        </w:tc>
        <w:tc>
          <w:tcPr>
            <w:tcW w:w="1110" w:type="pct"/>
            <w:gridSpan w:val="5"/>
            <w:tcBorders>
              <w:top w:val="single" w:color="000000" w:sz="4" w:space="0"/>
              <w:left w:val="single" w:color="000000" w:sz="4" w:space="0"/>
              <w:bottom w:val="single" w:color="000000" w:sz="4" w:space="0"/>
              <w:right w:val="single" w:color="000000" w:sz="4" w:space="0"/>
            </w:tcBorders>
            <w:noWrap/>
            <w:vAlign w:val="center"/>
          </w:tcPr>
          <w:p w14:paraId="3D8AE577">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45600</w:t>
            </w:r>
          </w:p>
        </w:tc>
      </w:tr>
      <w:tr w14:paraId="34449BDF">
        <w:tblPrEx>
          <w:tblCellMar>
            <w:top w:w="0" w:type="dxa"/>
            <w:left w:w="108" w:type="dxa"/>
            <w:bottom w:w="0" w:type="dxa"/>
            <w:right w:w="108" w:type="dxa"/>
          </w:tblCellMar>
        </w:tblPrEx>
        <w:trPr>
          <w:trHeight w:val="270" w:hRule="atLeast"/>
        </w:trPr>
        <w:tc>
          <w:tcPr>
            <w:tcW w:w="201" w:type="pct"/>
            <w:vMerge w:val="continue"/>
            <w:tcBorders>
              <w:left w:val="single" w:color="000000" w:sz="4" w:space="0"/>
              <w:right w:val="single" w:color="000000" w:sz="4" w:space="0"/>
            </w:tcBorders>
            <w:noWrap/>
            <w:vAlign w:val="center"/>
          </w:tcPr>
          <w:p w14:paraId="5251A29F">
            <w:pPr>
              <w:keepNext w:val="0"/>
              <w:keepLines w:val="0"/>
              <w:suppressLineNumbers w:val="0"/>
              <w:spacing w:before="0" w:beforeAutospacing="0" w:after="0" w:afterAutospacing="0" w:line="260" w:lineRule="exact"/>
              <w:ind w:left="0" w:right="0"/>
              <w:rPr>
                <w:rFonts w:hint="default"/>
              </w:rPr>
            </w:pPr>
          </w:p>
        </w:tc>
        <w:tc>
          <w:tcPr>
            <w:tcW w:w="248" w:type="pct"/>
            <w:gridSpan w:val="2"/>
            <w:vMerge w:val="continue"/>
            <w:tcBorders>
              <w:top w:val="single" w:color="000000" w:sz="4" w:space="0"/>
              <w:left w:val="single" w:color="000000" w:sz="4" w:space="0"/>
              <w:bottom w:val="single" w:color="000000" w:sz="4" w:space="0"/>
              <w:right w:val="single" w:color="000000" w:sz="4" w:space="0"/>
            </w:tcBorders>
            <w:noWrap/>
            <w:vAlign w:val="center"/>
          </w:tcPr>
          <w:p w14:paraId="4665BA0D">
            <w:pPr>
              <w:keepNext w:val="0"/>
              <w:keepLines w:val="0"/>
              <w:suppressLineNumbers w:val="0"/>
              <w:spacing w:before="0" w:beforeAutospacing="0" w:after="0" w:afterAutospacing="0" w:line="260" w:lineRule="exact"/>
              <w:ind w:left="0" w:right="0"/>
              <w:rPr>
                <w:rFonts w:hint="default"/>
              </w:rPr>
            </w:pPr>
          </w:p>
        </w:tc>
        <w:tc>
          <w:tcPr>
            <w:tcW w:w="423" w:type="pct"/>
            <w:gridSpan w:val="2"/>
            <w:tcBorders>
              <w:top w:val="single" w:color="000000" w:sz="4" w:space="0"/>
              <w:left w:val="single" w:color="000000" w:sz="4" w:space="0"/>
              <w:bottom w:val="single" w:color="000000" w:sz="4" w:space="0"/>
              <w:right w:val="single" w:color="000000" w:sz="4" w:space="0"/>
            </w:tcBorders>
            <w:noWrap/>
            <w:vAlign w:val="center"/>
          </w:tcPr>
          <w:p w14:paraId="56E27DE8">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质量指标</w:t>
            </w:r>
          </w:p>
        </w:tc>
        <w:tc>
          <w:tcPr>
            <w:tcW w:w="925" w:type="pct"/>
            <w:gridSpan w:val="4"/>
            <w:tcBorders>
              <w:top w:val="single" w:color="000000" w:sz="4" w:space="0"/>
              <w:left w:val="single" w:color="000000" w:sz="4" w:space="0"/>
              <w:bottom w:val="single" w:color="000000" w:sz="4" w:space="0"/>
              <w:right w:val="single" w:color="000000" w:sz="4" w:space="0"/>
            </w:tcBorders>
            <w:noWrap/>
            <w:vAlign w:val="center"/>
          </w:tcPr>
          <w:p w14:paraId="5512A764">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 xml:space="preserve"> 指标1：合格率</w:t>
            </w:r>
          </w:p>
        </w:tc>
        <w:tc>
          <w:tcPr>
            <w:tcW w:w="460" w:type="pct"/>
            <w:gridSpan w:val="2"/>
            <w:tcBorders>
              <w:top w:val="single" w:color="000000" w:sz="4" w:space="0"/>
              <w:left w:val="single" w:color="000000" w:sz="4" w:space="0"/>
              <w:bottom w:val="single" w:color="000000" w:sz="4" w:space="0"/>
              <w:right w:val="single" w:color="000000" w:sz="4" w:space="0"/>
            </w:tcBorders>
            <w:noWrap/>
            <w:vAlign w:val="center"/>
          </w:tcPr>
          <w:p w14:paraId="28C7BC6B">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w:t>
            </w:r>
          </w:p>
        </w:tc>
        <w:tc>
          <w:tcPr>
            <w:tcW w:w="1058" w:type="pct"/>
            <w:tcBorders>
              <w:top w:val="single" w:color="000000" w:sz="4" w:space="0"/>
              <w:left w:val="single" w:color="000000" w:sz="4" w:space="0"/>
              <w:bottom w:val="single" w:color="000000" w:sz="4" w:space="0"/>
              <w:right w:val="single" w:color="000000" w:sz="4" w:space="0"/>
            </w:tcBorders>
            <w:noWrap/>
            <w:vAlign w:val="center"/>
          </w:tcPr>
          <w:p w14:paraId="052660B2">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100</w:t>
            </w:r>
          </w:p>
        </w:tc>
        <w:tc>
          <w:tcPr>
            <w:tcW w:w="222" w:type="pct"/>
            <w:gridSpan w:val="2"/>
            <w:tcBorders>
              <w:top w:val="single" w:color="000000" w:sz="4" w:space="0"/>
              <w:left w:val="single" w:color="000000" w:sz="4" w:space="0"/>
              <w:bottom w:val="single" w:color="000000" w:sz="4" w:space="0"/>
              <w:right w:val="single" w:color="000000" w:sz="4" w:space="0"/>
            </w:tcBorders>
            <w:noWrap/>
            <w:vAlign w:val="center"/>
          </w:tcPr>
          <w:p w14:paraId="551DA038">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w:t>
            </w:r>
          </w:p>
        </w:tc>
        <w:tc>
          <w:tcPr>
            <w:tcW w:w="349" w:type="pct"/>
            <w:gridSpan w:val="2"/>
            <w:tcBorders>
              <w:top w:val="single" w:color="000000" w:sz="4" w:space="0"/>
              <w:left w:val="single" w:color="000000" w:sz="4" w:space="0"/>
              <w:bottom w:val="single" w:color="000000" w:sz="4" w:space="0"/>
              <w:right w:val="single" w:color="000000" w:sz="4" w:space="0"/>
            </w:tcBorders>
            <w:noWrap/>
            <w:vAlign w:val="center"/>
          </w:tcPr>
          <w:p w14:paraId="4FF1CF77">
            <w:pPr>
              <w:keepNext w:val="0"/>
              <w:keepLines w:val="0"/>
              <w:suppressLineNumbers w:val="0"/>
              <w:spacing w:before="0" w:beforeAutospacing="0" w:after="0" w:afterAutospacing="0" w:line="260" w:lineRule="exact"/>
              <w:ind w:left="0" w:right="0"/>
              <w:jc w:val="left"/>
              <w:rPr>
                <w:rFonts w:hint="eastAsia" w:ascii="宋体" w:eastAsia="宋体" w:cs="宋体"/>
                <w:color w:val="000000"/>
                <w:sz w:val="20"/>
                <w:szCs w:val="20"/>
              </w:rPr>
            </w:pPr>
          </w:p>
        </w:tc>
        <w:tc>
          <w:tcPr>
            <w:tcW w:w="1110" w:type="pct"/>
            <w:gridSpan w:val="5"/>
            <w:tcBorders>
              <w:top w:val="single" w:color="000000" w:sz="4" w:space="0"/>
              <w:left w:val="single" w:color="000000" w:sz="4" w:space="0"/>
              <w:bottom w:val="single" w:color="000000" w:sz="4" w:space="0"/>
              <w:right w:val="single" w:color="000000" w:sz="4" w:space="0"/>
            </w:tcBorders>
            <w:noWrap/>
            <w:vAlign w:val="center"/>
          </w:tcPr>
          <w:p w14:paraId="5DFE584A">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100</w:t>
            </w:r>
          </w:p>
        </w:tc>
      </w:tr>
      <w:tr w14:paraId="4F899BD7">
        <w:tblPrEx>
          <w:tblCellMar>
            <w:top w:w="0" w:type="dxa"/>
            <w:left w:w="108" w:type="dxa"/>
            <w:bottom w:w="0" w:type="dxa"/>
            <w:right w:w="108" w:type="dxa"/>
          </w:tblCellMar>
        </w:tblPrEx>
        <w:trPr>
          <w:trHeight w:val="420" w:hRule="atLeast"/>
        </w:trPr>
        <w:tc>
          <w:tcPr>
            <w:tcW w:w="201" w:type="pct"/>
            <w:vMerge w:val="continue"/>
            <w:tcBorders>
              <w:left w:val="single" w:color="000000" w:sz="4" w:space="0"/>
              <w:bottom w:val="single" w:color="000000" w:sz="4" w:space="0"/>
              <w:right w:val="single" w:color="000000" w:sz="4" w:space="0"/>
            </w:tcBorders>
            <w:noWrap/>
            <w:vAlign w:val="center"/>
          </w:tcPr>
          <w:p w14:paraId="0BA798A4">
            <w:pPr>
              <w:keepNext w:val="0"/>
              <w:keepLines w:val="0"/>
              <w:suppressLineNumbers w:val="0"/>
              <w:spacing w:before="0" w:beforeAutospacing="0" w:after="0" w:afterAutospacing="0" w:line="260" w:lineRule="exact"/>
              <w:ind w:left="0" w:right="0"/>
              <w:rPr>
                <w:rFonts w:hint="default"/>
              </w:rPr>
            </w:pPr>
          </w:p>
        </w:tc>
        <w:tc>
          <w:tcPr>
            <w:tcW w:w="248" w:type="pct"/>
            <w:gridSpan w:val="2"/>
            <w:vMerge w:val="continue"/>
            <w:tcBorders>
              <w:top w:val="single" w:color="000000" w:sz="4" w:space="0"/>
              <w:left w:val="single" w:color="000000" w:sz="4" w:space="0"/>
              <w:bottom w:val="single" w:color="000000" w:sz="4" w:space="0"/>
              <w:right w:val="single" w:color="000000" w:sz="4" w:space="0"/>
            </w:tcBorders>
            <w:noWrap/>
            <w:vAlign w:val="center"/>
          </w:tcPr>
          <w:p w14:paraId="78735FBB">
            <w:pPr>
              <w:keepNext w:val="0"/>
              <w:keepLines w:val="0"/>
              <w:suppressLineNumbers w:val="0"/>
              <w:spacing w:before="0" w:beforeAutospacing="0" w:after="0" w:afterAutospacing="0" w:line="260" w:lineRule="exact"/>
              <w:ind w:left="0" w:right="0"/>
              <w:rPr>
                <w:rFonts w:hint="default"/>
              </w:rPr>
            </w:pPr>
          </w:p>
        </w:tc>
        <w:tc>
          <w:tcPr>
            <w:tcW w:w="423" w:type="pct"/>
            <w:gridSpan w:val="2"/>
            <w:tcBorders>
              <w:top w:val="single" w:color="000000" w:sz="4" w:space="0"/>
              <w:left w:val="single" w:color="000000" w:sz="4" w:space="0"/>
              <w:bottom w:val="single" w:color="000000" w:sz="4" w:space="0"/>
              <w:right w:val="single" w:color="000000" w:sz="4" w:space="0"/>
            </w:tcBorders>
            <w:noWrap/>
            <w:vAlign w:val="center"/>
          </w:tcPr>
          <w:p w14:paraId="0724898D">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时效指标</w:t>
            </w:r>
          </w:p>
        </w:tc>
        <w:tc>
          <w:tcPr>
            <w:tcW w:w="925" w:type="pct"/>
            <w:gridSpan w:val="4"/>
            <w:tcBorders>
              <w:top w:val="single" w:color="000000" w:sz="4" w:space="0"/>
              <w:left w:val="single" w:color="000000" w:sz="4" w:space="0"/>
              <w:bottom w:val="single" w:color="000000" w:sz="4" w:space="0"/>
              <w:right w:val="single" w:color="000000" w:sz="4" w:space="0"/>
            </w:tcBorders>
            <w:noWrap/>
            <w:vAlign w:val="center"/>
          </w:tcPr>
          <w:p w14:paraId="1F132941">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 xml:space="preserve"> 指标1：完成时间</w:t>
            </w:r>
          </w:p>
        </w:tc>
        <w:tc>
          <w:tcPr>
            <w:tcW w:w="460" w:type="pct"/>
            <w:gridSpan w:val="2"/>
            <w:tcBorders>
              <w:top w:val="single" w:color="000000" w:sz="4" w:space="0"/>
              <w:left w:val="single" w:color="000000" w:sz="4" w:space="0"/>
              <w:bottom w:val="single" w:color="000000" w:sz="4" w:space="0"/>
              <w:right w:val="single" w:color="000000" w:sz="4" w:space="0"/>
            </w:tcBorders>
            <w:noWrap/>
            <w:vAlign w:val="center"/>
          </w:tcPr>
          <w:p w14:paraId="0F8CC53F">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w:t>
            </w:r>
          </w:p>
        </w:tc>
        <w:tc>
          <w:tcPr>
            <w:tcW w:w="1058" w:type="pct"/>
            <w:tcBorders>
              <w:top w:val="single" w:color="000000" w:sz="4" w:space="0"/>
              <w:left w:val="single" w:color="000000" w:sz="4" w:space="0"/>
              <w:bottom w:val="single" w:color="000000" w:sz="4" w:space="0"/>
              <w:right w:val="single" w:color="000000" w:sz="4" w:space="0"/>
            </w:tcBorders>
            <w:noWrap/>
            <w:vAlign w:val="center"/>
          </w:tcPr>
          <w:p w14:paraId="4EA6B0E1">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12</w:t>
            </w:r>
          </w:p>
        </w:tc>
        <w:tc>
          <w:tcPr>
            <w:tcW w:w="222" w:type="pct"/>
            <w:gridSpan w:val="2"/>
            <w:tcBorders>
              <w:top w:val="single" w:color="000000" w:sz="4" w:space="0"/>
              <w:left w:val="single" w:color="000000" w:sz="4" w:space="0"/>
              <w:bottom w:val="single" w:color="000000" w:sz="4" w:space="0"/>
              <w:right w:val="single" w:color="000000" w:sz="4" w:space="0"/>
            </w:tcBorders>
            <w:noWrap/>
            <w:vAlign w:val="center"/>
          </w:tcPr>
          <w:p w14:paraId="267A4C54">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月</w:t>
            </w:r>
          </w:p>
        </w:tc>
        <w:tc>
          <w:tcPr>
            <w:tcW w:w="349" w:type="pct"/>
            <w:gridSpan w:val="2"/>
            <w:tcBorders>
              <w:top w:val="single" w:color="000000" w:sz="4" w:space="0"/>
              <w:left w:val="single" w:color="000000" w:sz="4" w:space="0"/>
              <w:bottom w:val="single" w:color="000000" w:sz="4" w:space="0"/>
              <w:right w:val="single" w:color="000000" w:sz="4" w:space="0"/>
            </w:tcBorders>
            <w:noWrap/>
            <w:vAlign w:val="center"/>
          </w:tcPr>
          <w:p w14:paraId="109BF35C">
            <w:pPr>
              <w:keepNext w:val="0"/>
              <w:keepLines w:val="0"/>
              <w:suppressLineNumbers w:val="0"/>
              <w:spacing w:before="0" w:beforeAutospacing="0" w:after="0" w:afterAutospacing="0" w:line="260" w:lineRule="exact"/>
              <w:ind w:left="0" w:right="0"/>
              <w:jc w:val="left"/>
              <w:rPr>
                <w:rFonts w:hint="eastAsia" w:ascii="宋体" w:eastAsia="宋体" w:cs="宋体"/>
                <w:color w:val="000000"/>
                <w:sz w:val="20"/>
                <w:szCs w:val="20"/>
              </w:rPr>
            </w:pPr>
          </w:p>
        </w:tc>
        <w:tc>
          <w:tcPr>
            <w:tcW w:w="1110" w:type="pct"/>
            <w:gridSpan w:val="5"/>
            <w:tcBorders>
              <w:top w:val="single" w:color="000000" w:sz="4" w:space="0"/>
              <w:left w:val="single" w:color="000000" w:sz="4" w:space="0"/>
              <w:bottom w:val="single" w:color="000000" w:sz="4" w:space="0"/>
              <w:right w:val="single" w:color="000000" w:sz="4" w:space="0"/>
            </w:tcBorders>
            <w:noWrap/>
            <w:vAlign w:val="center"/>
          </w:tcPr>
          <w:p w14:paraId="24E3C4A6">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12</w:t>
            </w:r>
          </w:p>
        </w:tc>
      </w:tr>
      <w:tr w14:paraId="63A99BF4">
        <w:tblPrEx>
          <w:tblCellMar>
            <w:top w:w="0" w:type="dxa"/>
            <w:left w:w="108" w:type="dxa"/>
            <w:bottom w:w="0" w:type="dxa"/>
            <w:right w:w="108" w:type="dxa"/>
          </w:tblCellMar>
        </w:tblPrEx>
        <w:trPr>
          <w:trHeight w:val="780" w:hRule="atLeast"/>
        </w:trPr>
        <w:tc>
          <w:tcPr>
            <w:tcW w:w="201" w:type="pct"/>
            <w:vMerge w:val="restart"/>
            <w:tcBorders>
              <w:top w:val="single" w:color="000000" w:sz="4" w:space="0"/>
              <w:left w:val="single" w:color="000000" w:sz="4" w:space="0"/>
              <w:right w:val="single" w:color="000000" w:sz="4" w:space="0"/>
            </w:tcBorders>
            <w:noWrap/>
            <w:vAlign w:val="center"/>
          </w:tcPr>
          <w:p w14:paraId="69992740">
            <w:pPr>
              <w:keepNext w:val="0"/>
              <w:keepLines w:val="0"/>
              <w:suppressLineNumbers w:val="0"/>
              <w:spacing w:before="0" w:beforeAutospacing="0" w:after="0" w:afterAutospacing="0" w:line="260" w:lineRule="exact"/>
              <w:ind w:left="0" w:right="0"/>
              <w:rPr>
                <w:rFonts w:hint="default"/>
              </w:rPr>
            </w:pPr>
          </w:p>
        </w:tc>
        <w:tc>
          <w:tcPr>
            <w:tcW w:w="248" w:type="pct"/>
            <w:gridSpan w:val="2"/>
            <w:tcBorders>
              <w:top w:val="single" w:color="000000" w:sz="4" w:space="0"/>
              <w:left w:val="single" w:color="000000" w:sz="4" w:space="0"/>
              <w:bottom w:val="single" w:color="000000" w:sz="4" w:space="0"/>
              <w:right w:val="single" w:color="000000" w:sz="4" w:space="0"/>
            </w:tcBorders>
            <w:noWrap/>
            <w:vAlign w:val="center"/>
          </w:tcPr>
          <w:p w14:paraId="112BA6D5">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成本指标</w:t>
            </w:r>
          </w:p>
        </w:tc>
        <w:tc>
          <w:tcPr>
            <w:tcW w:w="423" w:type="pct"/>
            <w:gridSpan w:val="2"/>
            <w:tcBorders>
              <w:top w:val="single" w:color="000000" w:sz="4" w:space="0"/>
              <w:left w:val="single" w:color="000000" w:sz="4" w:space="0"/>
              <w:bottom w:val="single" w:color="000000" w:sz="4" w:space="0"/>
              <w:right w:val="single" w:color="000000" w:sz="4" w:space="0"/>
            </w:tcBorders>
            <w:noWrap/>
            <w:vAlign w:val="center"/>
          </w:tcPr>
          <w:p w14:paraId="43E8BFF1">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经济成本指标</w:t>
            </w:r>
          </w:p>
        </w:tc>
        <w:tc>
          <w:tcPr>
            <w:tcW w:w="925" w:type="pct"/>
            <w:gridSpan w:val="4"/>
            <w:tcBorders>
              <w:top w:val="single" w:color="000000" w:sz="4" w:space="0"/>
              <w:left w:val="single" w:color="000000" w:sz="4" w:space="0"/>
              <w:bottom w:val="single" w:color="000000" w:sz="4" w:space="0"/>
              <w:right w:val="single" w:color="000000" w:sz="4" w:space="0"/>
            </w:tcBorders>
            <w:noWrap/>
            <w:vAlign w:val="center"/>
          </w:tcPr>
          <w:p w14:paraId="5C6933E2">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指标1：预算控制数</w:t>
            </w:r>
          </w:p>
        </w:tc>
        <w:tc>
          <w:tcPr>
            <w:tcW w:w="460" w:type="pct"/>
            <w:gridSpan w:val="2"/>
            <w:tcBorders>
              <w:top w:val="single" w:color="000000" w:sz="4" w:space="0"/>
              <w:left w:val="single" w:color="000000" w:sz="4" w:space="0"/>
              <w:bottom w:val="single" w:color="000000" w:sz="4" w:space="0"/>
              <w:right w:val="single" w:color="000000" w:sz="4" w:space="0"/>
            </w:tcBorders>
            <w:noWrap/>
            <w:vAlign w:val="center"/>
          </w:tcPr>
          <w:p w14:paraId="278497DD">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w:t>
            </w:r>
          </w:p>
        </w:tc>
        <w:tc>
          <w:tcPr>
            <w:tcW w:w="1058" w:type="pct"/>
            <w:tcBorders>
              <w:top w:val="single" w:color="000000" w:sz="4" w:space="0"/>
              <w:left w:val="single" w:color="000000" w:sz="4" w:space="0"/>
              <w:bottom w:val="single" w:color="000000" w:sz="4" w:space="0"/>
              <w:right w:val="single" w:color="000000" w:sz="4" w:space="0"/>
            </w:tcBorders>
            <w:noWrap/>
            <w:vAlign w:val="center"/>
          </w:tcPr>
          <w:p w14:paraId="094D88A8">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4249.6</w:t>
            </w:r>
          </w:p>
        </w:tc>
        <w:tc>
          <w:tcPr>
            <w:tcW w:w="222" w:type="pct"/>
            <w:gridSpan w:val="2"/>
            <w:tcBorders>
              <w:top w:val="single" w:color="000000" w:sz="4" w:space="0"/>
              <w:left w:val="single" w:color="000000" w:sz="4" w:space="0"/>
              <w:bottom w:val="single" w:color="000000" w:sz="4" w:space="0"/>
              <w:right w:val="single" w:color="000000" w:sz="4" w:space="0"/>
            </w:tcBorders>
            <w:noWrap/>
            <w:vAlign w:val="center"/>
          </w:tcPr>
          <w:p w14:paraId="614976AC">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FF0000"/>
                <w:sz w:val="20"/>
                <w:szCs w:val="20"/>
              </w:rPr>
            </w:pPr>
            <w:r>
              <w:rPr>
                <w:rFonts w:hint="eastAsia" w:ascii="宋体" w:eastAsia="宋体" w:cs="宋体"/>
                <w:color w:val="FF0000"/>
                <w:kern w:val="0"/>
                <w:sz w:val="20"/>
                <w:szCs w:val="20"/>
              </w:rPr>
              <w:t>万元</w:t>
            </w:r>
          </w:p>
        </w:tc>
        <w:tc>
          <w:tcPr>
            <w:tcW w:w="349" w:type="pct"/>
            <w:gridSpan w:val="2"/>
            <w:tcBorders>
              <w:top w:val="single" w:color="000000" w:sz="4" w:space="0"/>
              <w:left w:val="single" w:color="000000" w:sz="4" w:space="0"/>
              <w:bottom w:val="single" w:color="000000" w:sz="4" w:space="0"/>
              <w:right w:val="single" w:color="000000" w:sz="4" w:space="0"/>
            </w:tcBorders>
            <w:noWrap/>
            <w:vAlign w:val="center"/>
          </w:tcPr>
          <w:p w14:paraId="7489BC5D">
            <w:pPr>
              <w:keepNext w:val="0"/>
              <w:keepLines w:val="0"/>
              <w:suppressLineNumbers w:val="0"/>
              <w:spacing w:before="0" w:beforeAutospacing="0" w:after="0" w:afterAutospacing="0" w:line="260" w:lineRule="exact"/>
              <w:ind w:left="0" w:right="0"/>
              <w:jc w:val="center"/>
              <w:rPr>
                <w:rFonts w:hint="eastAsia" w:ascii="宋体" w:eastAsia="宋体" w:cs="宋体"/>
                <w:color w:val="000000"/>
                <w:sz w:val="20"/>
                <w:szCs w:val="20"/>
              </w:rPr>
            </w:pPr>
          </w:p>
        </w:tc>
        <w:tc>
          <w:tcPr>
            <w:tcW w:w="1110" w:type="pct"/>
            <w:gridSpan w:val="5"/>
            <w:tcBorders>
              <w:top w:val="single" w:color="000000" w:sz="4" w:space="0"/>
              <w:left w:val="single" w:color="000000" w:sz="4" w:space="0"/>
              <w:bottom w:val="single" w:color="000000" w:sz="4" w:space="0"/>
              <w:right w:val="single" w:color="000000" w:sz="4" w:space="0"/>
            </w:tcBorders>
            <w:noWrap/>
            <w:vAlign w:val="center"/>
          </w:tcPr>
          <w:p w14:paraId="58247897">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4053.66</w:t>
            </w:r>
          </w:p>
        </w:tc>
      </w:tr>
      <w:tr w14:paraId="77C74629">
        <w:tblPrEx>
          <w:tblCellMar>
            <w:top w:w="0" w:type="dxa"/>
            <w:left w:w="108" w:type="dxa"/>
            <w:bottom w:w="0" w:type="dxa"/>
            <w:right w:w="108" w:type="dxa"/>
          </w:tblCellMar>
        </w:tblPrEx>
        <w:trPr>
          <w:trHeight w:val="1200" w:hRule="atLeast"/>
        </w:trPr>
        <w:tc>
          <w:tcPr>
            <w:tcW w:w="201" w:type="pct"/>
            <w:vMerge w:val="continue"/>
            <w:tcBorders>
              <w:left w:val="single" w:color="000000" w:sz="4" w:space="0"/>
              <w:right w:val="single" w:color="000000" w:sz="4" w:space="0"/>
            </w:tcBorders>
            <w:noWrap/>
            <w:vAlign w:val="center"/>
          </w:tcPr>
          <w:p w14:paraId="143A32E2">
            <w:pPr>
              <w:keepNext w:val="0"/>
              <w:keepLines w:val="0"/>
              <w:suppressLineNumbers w:val="0"/>
              <w:spacing w:before="0" w:beforeAutospacing="0" w:after="0" w:afterAutospacing="0" w:line="260" w:lineRule="exact"/>
              <w:ind w:left="0" w:right="0"/>
              <w:rPr>
                <w:rFonts w:hint="default"/>
              </w:rPr>
            </w:pPr>
          </w:p>
        </w:tc>
        <w:tc>
          <w:tcPr>
            <w:tcW w:w="248" w:type="pct"/>
            <w:gridSpan w:val="2"/>
            <w:vMerge w:val="restart"/>
            <w:tcBorders>
              <w:top w:val="single" w:color="000000" w:sz="4" w:space="0"/>
              <w:left w:val="single" w:color="000000" w:sz="4" w:space="0"/>
              <w:bottom w:val="nil"/>
              <w:right w:val="single" w:color="000000" w:sz="4" w:space="0"/>
            </w:tcBorders>
            <w:noWrap/>
            <w:vAlign w:val="center"/>
          </w:tcPr>
          <w:p w14:paraId="1E60F32F">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效益指标</w:t>
            </w:r>
          </w:p>
        </w:tc>
        <w:tc>
          <w:tcPr>
            <w:tcW w:w="423" w:type="pct"/>
            <w:gridSpan w:val="2"/>
            <w:vMerge w:val="restart"/>
            <w:tcBorders>
              <w:top w:val="single" w:color="000000" w:sz="4" w:space="0"/>
              <w:left w:val="single" w:color="000000" w:sz="4" w:space="0"/>
              <w:bottom w:val="single" w:color="000000" w:sz="4" w:space="0"/>
              <w:right w:val="single" w:color="000000" w:sz="4" w:space="0"/>
            </w:tcBorders>
            <w:noWrap/>
            <w:vAlign w:val="center"/>
          </w:tcPr>
          <w:p w14:paraId="1D06E5EB">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经济效益指标</w:t>
            </w:r>
          </w:p>
        </w:tc>
        <w:tc>
          <w:tcPr>
            <w:tcW w:w="925" w:type="pct"/>
            <w:gridSpan w:val="4"/>
            <w:tcBorders>
              <w:top w:val="single" w:color="000000" w:sz="4" w:space="0"/>
              <w:left w:val="single" w:color="000000" w:sz="4" w:space="0"/>
              <w:bottom w:val="single" w:color="000000" w:sz="4" w:space="0"/>
              <w:right w:val="single" w:color="000000" w:sz="4" w:space="0"/>
            </w:tcBorders>
            <w:noWrap/>
            <w:vAlign w:val="center"/>
          </w:tcPr>
          <w:p w14:paraId="23FAD240">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指标1：固定资产投资</w:t>
            </w:r>
          </w:p>
        </w:tc>
        <w:tc>
          <w:tcPr>
            <w:tcW w:w="460" w:type="pct"/>
            <w:gridSpan w:val="2"/>
            <w:tcBorders>
              <w:top w:val="single" w:color="000000" w:sz="4" w:space="0"/>
              <w:left w:val="single" w:color="000000" w:sz="4" w:space="0"/>
              <w:bottom w:val="single" w:color="000000" w:sz="4" w:space="0"/>
              <w:right w:val="single" w:color="000000" w:sz="4" w:space="0"/>
            </w:tcBorders>
            <w:noWrap/>
            <w:vAlign w:val="center"/>
          </w:tcPr>
          <w:p w14:paraId="6A24F5B6">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定性</w:t>
            </w:r>
          </w:p>
        </w:tc>
        <w:tc>
          <w:tcPr>
            <w:tcW w:w="1058" w:type="pct"/>
            <w:tcBorders>
              <w:top w:val="single" w:color="000000" w:sz="4" w:space="0"/>
              <w:left w:val="single" w:color="000000" w:sz="4" w:space="0"/>
              <w:bottom w:val="single" w:color="000000" w:sz="4" w:space="0"/>
              <w:right w:val="single" w:color="000000" w:sz="4" w:space="0"/>
            </w:tcBorders>
            <w:noWrap/>
            <w:vAlign w:val="center"/>
          </w:tcPr>
          <w:p w14:paraId="54480846">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以项目投资带动全市经济社会快速发展</w:t>
            </w:r>
          </w:p>
        </w:tc>
        <w:tc>
          <w:tcPr>
            <w:tcW w:w="222" w:type="pct"/>
            <w:gridSpan w:val="2"/>
            <w:tcBorders>
              <w:top w:val="single" w:color="000000" w:sz="4" w:space="0"/>
              <w:left w:val="single" w:color="000000" w:sz="4" w:space="0"/>
              <w:bottom w:val="single" w:color="000000" w:sz="4" w:space="0"/>
              <w:right w:val="single" w:color="000000" w:sz="4" w:space="0"/>
            </w:tcBorders>
            <w:noWrap/>
            <w:vAlign w:val="center"/>
          </w:tcPr>
          <w:p w14:paraId="52C4F946">
            <w:pPr>
              <w:keepNext w:val="0"/>
              <w:keepLines w:val="0"/>
              <w:suppressLineNumbers w:val="0"/>
              <w:spacing w:before="0" w:beforeAutospacing="0" w:after="0" w:afterAutospacing="0" w:line="260" w:lineRule="exact"/>
              <w:ind w:left="0" w:right="0"/>
              <w:jc w:val="center"/>
              <w:rPr>
                <w:rFonts w:hint="eastAsia" w:ascii="宋体" w:eastAsia="宋体" w:cs="宋体"/>
                <w:color w:val="000000"/>
                <w:sz w:val="20"/>
                <w:szCs w:val="20"/>
              </w:rPr>
            </w:pPr>
          </w:p>
        </w:tc>
        <w:tc>
          <w:tcPr>
            <w:tcW w:w="349" w:type="pct"/>
            <w:gridSpan w:val="2"/>
            <w:tcBorders>
              <w:top w:val="single" w:color="000000" w:sz="4" w:space="0"/>
              <w:left w:val="single" w:color="000000" w:sz="4" w:space="0"/>
              <w:bottom w:val="single" w:color="000000" w:sz="4" w:space="0"/>
              <w:right w:val="single" w:color="000000" w:sz="4" w:space="0"/>
            </w:tcBorders>
            <w:noWrap/>
            <w:vAlign w:val="center"/>
          </w:tcPr>
          <w:p w14:paraId="0E8AB4D1">
            <w:pPr>
              <w:keepNext w:val="0"/>
              <w:keepLines w:val="0"/>
              <w:suppressLineNumbers w:val="0"/>
              <w:spacing w:before="0" w:beforeAutospacing="0" w:after="0" w:afterAutospacing="0" w:line="260" w:lineRule="exact"/>
              <w:ind w:left="0" w:right="0"/>
              <w:jc w:val="left"/>
              <w:rPr>
                <w:rFonts w:hint="eastAsia" w:ascii="宋体" w:eastAsia="宋体" w:cs="宋体"/>
                <w:color w:val="000000"/>
                <w:sz w:val="20"/>
                <w:szCs w:val="20"/>
              </w:rPr>
            </w:pPr>
          </w:p>
        </w:tc>
        <w:tc>
          <w:tcPr>
            <w:tcW w:w="1110" w:type="pct"/>
            <w:gridSpan w:val="5"/>
            <w:tcBorders>
              <w:top w:val="single" w:color="000000" w:sz="4" w:space="0"/>
              <w:left w:val="single" w:color="000000" w:sz="4" w:space="0"/>
              <w:bottom w:val="single" w:color="000000" w:sz="4" w:space="0"/>
              <w:right w:val="single" w:color="000000" w:sz="4" w:space="0"/>
            </w:tcBorders>
            <w:noWrap/>
            <w:vAlign w:val="center"/>
          </w:tcPr>
          <w:p w14:paraId="1E991E94">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2023年，省反馈我市固定资产投资同比增长4.2%，增速排全省第14位。</w:t>
            </w:r>
          </w:p>
        </w:tc>
      </w:tr>
      <w:tr w14:paraId="3BF29486">
        <w:tblPrEx>
          <w:tblCellMar>
            <w:top w:w="0" w:type="dxa"/>
            <w:left w:w="108" w:type="dxa"/>
            <w:bottom w:w="0" w:type="dxa"/>
            <w:right w:w="108" w:type="dxa"/>
          </w:tblCellMar>
        </w:tblPrEx>
        <w:trPr>
          <w:trHeight w:val="3840" w:hRule="atLeast"/>
        </w:trPr>
        <w:tc>
          <w:tcPr>
            <w:tcW w:w="201" w:type="pct"/>
            <w:vMerge w:val="continue"/>
            <w:tcBorders>
              <w:left w:val="single" w:color="000000" w:sz="4" w:space="0"/>
              <w:right w:val="single" w:color="000000" w:sz="4" w:space="0"/>
            </w:tcBorders>
            <w:noWrap/>
            <w:vAlign w:val="center"/>
          </w:tcPr>
          <w:p w14:paraId="34172276">
            <w:pPr>
              <w:keepNext w:val="0"/>
              <w:keepLines w:val="0"/>
              <w:suppressLineNumbers w:val="0"/>
              <w:spacing w:before="0" w:beforeAutospacing="0" w:after="0" w:afterAutospacing="0" w:line="260" w:lineRule="exact"/>
              <w:ind w:left="0" w:right="0"/>
              <w:rPr>
                <w:rFonts w:hint="default"/>
              </w:rPr>
            </w:pPr>
          </w:p>
        </w:tc>
        <w:tc>
          <w:tcPr>
            <w:tcW w:w="248" w:type="pct"/>
            <w:gridSpan w:val="2"/>
            <w:vMerge w:val="continue"/>
            <w:tcBorders>
              <w:top w:val="single" w:color="000000" w:sz="4" w:space="0"/>
              <w:left w:val="single" w:color="000000" w:sz="4" w:space="0"/>
              <w:bottom w:val="nil"/>
              <w:right w:val="single" w:color="000000" w:sz="4" w:space="0"/>
            </w:tcBorders>
            <w:noWrap/>
            <w:vAlign w:val="center"/>
          </w:tcPr>
          <w:p w14:paraId="19202EA3">
            <w:pPr>
              <w:keepNext w:val="0"/>
              <w:keepLines w:val="0"/>
              <w:suppressLineNumbers w:val="0"/>
              <w:spacing w:before="0" w:beforeAutospacing="0" w:after="0" w:afterAutospacing="0" w:line="260" w:lineRule="exact"/>
              <w:ind w:left="0" w:right="0"/>
              <w:rPr>
                <w:rFonts w:hint="default"/>
              </w:rPr>
            </w:pPr>
          </w:p>
        </w:tc>
        <w:tc>
          <w:tcPr>
            <w:tcW w:w="423" w:type="pct"/>
            <w:gridSpan w:val="2"/>
            <w:vMerge w:val="continue"/>
            <w:tcBorders>
              <w:top w:val="single" w:color="000000" w:sz="4" w:space="0"/>
              <w:left w:val="single" w:color="000000" w:sz="4" w:space="0"/>
              <w:bottom w:val="single" w:color="000000" w:sz="4" w:space="0"/>
              <w:right w:val="single" w:color="000000" w:sz="4" w:space="0"/>
            </w:tcBorders>
            <w:noWrap/>
            <w:vAlign w:val="center"/>
          </w:tcPr>
          <w:p w14:paraId="2414E058">
            <w:pPr>
              <w:keepNext w:val="0"/>
              <w:keepLines w:val="0"/>
              <w:suppressLineNumbers w:val="0"/>
              <w:spacing w:before="0" w:beforeAutospacing="0" w:after="0" w:afterAutospacing="0" w:line="260" w:lineRule="exact"/>
              <w:ind w:left="0" w:right="0"/>
              <w:rPr>
                <w:rFonts w:hint="default"/>
              </w:rPr>
            </w:pPr>
          </w:p>
        </w:tc>
        <w:tc>
          <w:tcPr>
            <w:tcW w:w="925" w:type="pct"/>
            <w:gridSpan w:val="4"/>
            <w:tcBorders>
              <w:top w:val="single" w:color="000000" w:sz="4" w:space="0"/>
              <w:left w:val="single" w:color="000000" w:sz="4" w:space="0"/>
              <w:bottom w:val="single" w:color="000000" w:sz="4" w:space="0"/>
              <w:right w:val="single" w:color="000000" w:sz="4" w:space="0"/>
            </w:tcBorders>
            <w:noWrap/>
            <w:vAlign w:val="center"/>
          </w:tcPr>
          <w:p w14:paraId="4EC8D94A">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 xml:space="preserve"> 指标2：持续发展产业，培育主导产业，集体经济持续巩固，提升造血功能。</w:t>
            </w:r>
          </w:p>
        </w:tc>
        <w:tc>
          <w:tcPr>
            <w:tcW w:w="460" w:type="pct"/>
            <w:gridSpan w:val="2"/>
            <w:tcBorders>
              <w:top w:val="single" w:color="000000" w:sz="4" w:space="0"/>
              <w:left w:val="single" w:color="000000" w:sz="4" w:space="0"/>
              <w:bottom w:val="single" w:color="000000" w:sz="4" w:space="0"/>
              <w:right w:val="single" w:color="000000" w:sz="4" w:space="0"/>
            </w:tcBorders>
            <w:noWrap/>
            <w:vAlign w:val="center"/>
          </w:tcPr>
          <w:p w14:paraId="3AC996B8">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定性</w:t>
            </w:r>
          </w:p>
        </w:tc>
        <w:tc>
          <w:tcPr>
            <w:tcW w:w="1058" w:type="pct"/>
            <w:tcBorders>
              <w:top w:val="single" w:color="000000" w:sz="4" w:space="0"/>
              <w:left w:val="single" w:color="000000" w:sz="4" w:space="0"/>
              <w:bottom w:val="single" w:color="000000" w:sz="4" w:space="0"/>
              <w:right w:val="single" w:color="000000" w:sz="4" w:space="0"/>
            </w:tcBorders>
            <w:noWrap/>
            <w:vAlign w:val="center"/>
          </w:tcPr>
          <w:p w14:paraId="6BC08CDC">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根据帮扶村实际，持续推进产业发展，培育一项主导产业；巩固村集体经济。脱贫户有增收产业项目、村有集体经济收入，环境，培育一项主导产业。</w:t>
            </w:r>
          </w:p>
        </w:tc>
        <w:tc>
          <w:tcPr>
            <w:tcW w:w="222" w:type="pct"/>
            <w:gridSpan w:val="2"/>
            <w:tcBorders>
              <w:top w:val="single" w:color="000000" w:sz="4" w:space="0"/>
              <w:left w:val="single" w:color="000000" w:sz="4" w:space="0"/>
              <w:bottom w:val="single" w:color="000000" w:sz="4" w:space="0"/>
              <w:right w:val="single" w:color="000000" w:sz="4" w:space="0"/>
            </w:tcBorders>
            <w:noWrap/>
            <w:vAlign w:val="center"/>
          </w:tcPr>
          <w:p w14:paraId="2B9331DA">
            <w:pPr>
              <w:keepNext w:val="0"/>
              <w:keepLines w:val="0"/>
              <w:suppressLineNumbers w:val="0"/>
              <w:spacing w:before="0" w:beforeAutospacing="0" w:after="0" w:afterAutospacing="0" w:line="260" w:lineRule="exact"/>
              <w:ind w:left="0" w:right="0"/>
              <w:jc w:val="center"/>
              <w:rPr>
                <w:rFonts w:hint="eastAsia" w:ascii="宋体" w:eastAsia="宋体" w:cs="宋体"/>
                <w:color w:val="000000"/>
                <w:sz w:val="20"/>
                <w:szCs w:val="20"/>
              </w:rPr>
            </w:pPr>
          </w:p>
        </w:tc>
        <w:tc>
          <w:tcPr>
            <w:tcW w:w="349" w:type="pct"/>
            <w:gridSpan w:val="2"/>
            <w:tcBorders>
              <w:top w:val="single" w:color="000000" w:sz="4" w:space="0"/>
              <w:left w:val="single" w:color="000000" w:sz="4" w:space="0"/>
              <w:bottom w:val="single" w:color="000000" w:sz="4" w:space="0"/>
              <w:right w:val="single" w:color="000000" w:sz="4" w:space="0"/>
            </w:tcBorders>
            <w:noWrap/>
            <w:vAlign w:val="center"/>
          </w:tcPr>
          <w:p w14:paraId="0588A0E0">
            <w:pPr>
              <w:keepNext w:val="0"/>
              <w:keepLines w:val="0"/>
              <w:suppressLineNumbers w:val="0"/>
              <w:spacing w:before="0" w:beforeAutospacing="0" w:after="0" w:afterAutospacing="0" w:line="260" w:lineRule="exact"/>
              <w:ind w:left="0" w:right="0"/>
              <w:jc w:val="left"/>
              <w:rPr>
                <w:rFonts w:hint="eastAsia" w:ascii="宋体" w:eastAsia="宋体" w:cs="宋体"/>
                <w:color w:val="000000"/>
                <w:sz w:val="20"/>
                <w:szCs w:val="20"/>
              </w:rPr>
            </w:pPr>
          </w:p>
        </w:tc>
        <w:tc>
          <w:tcPr>
            <w:tcW w:w="1110" w:type="pct"/>
            <w:gridSpan w:val="5"/>
            <w:tcBorders>
              <w:top w:val="single" w:color="000000" w:sz="4" w:space="0"/>
              <w:left w:val="single" w:color="000000" w:sz="4" w:space="0"/>
              <w:bottom w:val="single" w:color="000000" w:sz="4" w:space="0"/>
              <w:right w:val="single" w:color="000000" w:sz="4" w:space="0"/>
            </w:tcBorders>
            <w:noWrap/>
            <w:vAlign w:val="center"/>
          </w:tcPr>
          <w:p w14:paraId="7865C25A">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新山村协助发展壮大种养殖业，拓展收入渠道，收取管理费及设备租赁、入股分红2023年度集体经济收入比上年增加5万元，毛坝村以高山露地蔬菜种植和乡村名宿发展为重点发展方向，通过出租休闲垂钓鱼塘、入股滑雪场等方式，集体经济收入翻番。</w:t>
            </w:r>
          </w:p>
        </w:tc>
      </w:tr>
      <w:tr w14:paraId="44CF4ABF">
        <w:tblPrEx>
          <w:tblCellMar>
            <w:top w:w="0" w:type="dxa"/>
            <w:left w:w="108" w:type="dxa"/>
            <w:bottom w:w="0" w:type="dxa"/>
            <w:right w:w="108" w:type="dxa"/>
          </w:tblCellMar>
        </w:tblPrEx>
        <w:trPr>
          <w:trHeight w:val="1420" w:hRule="atLeast"/>
        </w:trPr>
        <w:tc>
          <w:tcPr>
            <w:tcW w:w="201" w:type="pct"/>
            <w:vMerge w:val="continue"/>
            <w:tcBorders>
              <w:left w:val="single" w:color="000000" w:sz="4" w:space="0"/>
              <w:bottom w:val="single" w:color="000000" w:sz="4" w:space="0"/>
              <w:right w:val="single" w:color="000000" w:sz="4" w:space="0"/>
            </w:tcBorders>
            <w:noWrap/>
            <w:vAlign w:val="center"/>
          </w:tcPr>
          <w:p w14:paraId="25A3638E">
            <w:pPr>
              <w:keepNext w:val="0"/>
              <w:keepLines w:val="0"/>
              <w:suppressLineNumbers w:val="0"/>
              <w:spacing w:before="0" w:beforeAutospacing="0" w:after="0" w:afterAutospacing="0" w:line="260" w:lineRule="exact"/>
              <w:ind w:left="0" w:right="0"/>
              <w:rPr>
                <w:rFonts w:hint="default"/>
              </w:rPr>
            </w:pPr>
          </w:p>
        </w:tc>
        <w:tc>
          <w:tcPr>
            <w:tcW w:w="248" w:type="pct"/>
            <w:gridSpan w:val="2"/>
            <w:vMerge w:val="continue"/>
            <w:tcBorders>
              <w:top w:val="single" w:color="000000" w:sz="4" w:space="0"/>
              <w:left w:val="single" w:color="000000" w:sz="4" w:space="0"/>
              <w:bottom w:val="nil"/>
              <w:right w:val="single" w:color="000000" w:sz="4" w:space="0"/>
            </w:tcBorders>
            <w:noWrap/>
            <w:vAlign w:val="center"/>
          </w:tcPr>
          <w:p w14:paraId="6EA2A55D">
            <w:pPr>
              <w:keepNext w:val="0"/>
              <w:keepLines w:val="0"/>
              <w:suppressLineNumbers w:val="0"/>
              <w:spacing w:before="0" w:beforeAutospacing="0" w:after="0" w:afterAutospacing="0" w:line="260" w:lineRule="exact"/>
              <w:ind w:left="0" w:right="0"/>
              <w:rPr>
                <w:rFonts w:hint="default"/>
              </w:rPr>
            </w:pPr>
          </w:p>
        </w:tc>
        <w:tc>
          <w:tcPr>
            <w:tcW w:w="423" w:type="pct"/>
            <w:gridSpan w:val="2"/>
            <w:vMerge w:val="continue"/>
            <w:tcBorders>
              <w:top w:val="single" w:color="000000" w:sz="4" w:space="0"/>
              <w:left w:val="single" w:color="000000" w:sz="4" w:space="0"/>
              <w:bottom w:val="single" w:color="000000" w:sz="4" w:space="0"/>
              <w:right w:val="single" w:color="000000" w:sz="4" w:space="0"/>
            </w:tcBorders>
            <w:noWrap/>
            <w:vAlign w:val="center"/>
          </w:tcPr>
          <w:p w14:paraId="1C8B5C4F">
            <w:pPr>
              <w:keepNext w:val="0"/>
              <w:keepLines w:val="0"/>
              <w:suppressLineNumbers w:val="0"/>
              <w:spacing w:before="0" w:beforeAutospacing="0" w:after="0" w:afterAutospacing="0" w:line="260" w:lineRule="exact"/>
              <w:ind w:left="0" w:right="0"/>
              <w:rPr>
                <w:rFonts w:hint="default"/>
              </w:rPr>
            </w:pPr>
          </w:p>
        </w:tc>
        <w:tc>
          <w:tcPr>
            <w:tcW w:w="925" w:type="pct"/>
            <w:gridSpan w:val="4"/>
            <w:tcBorders>
              <w:top w:val="single" w:color="000000" w:sz="4" w:space="0"/>
              <w:left w:val="single" w:color="000000" w:sz="4" w:space="0"/>
              <w:bottom w:val="single" w:color="000000" w:sz="4" w:space="0"/>
              <w:right w:val="single" w:color="000000" w:sz="4" w:space="0"/>
            </w:tcBorders>
            <w:noWrap/>
            <w:vAlign w:val="center"/>
          </w:tcPr>
          <w:p w14:paraId="4527FDE0">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指标3：提高企业粮食质量合格率</w:t>
            </w:r>
          </w:p>
        </w:tc>
        <w:tc>
          <w:tcPr>
            <w:tcW w:w="460" w:type="pct"/>
            <w:gridSpan w:val="2"/>
            <w:tcBorders>
              <w:top w:val="single" w:color="000000" w:sz="4" w:space="0"/>
              <w:left w:val="single" w:color="000000" w:sz="4" w:space="0"/>
              <w:bottom w:val="single" w:color="000000" w:sz="4" w:space="0"/>
              <w:right w:val="single" w:color="000000" w:sz="4" w:space="0"/>
            </w:tcBorders>
            <w:noWrap/>
            <w:vAlign w:val="center"/>
          </w:tcPr>
          <w:p w14:paraId="0A7D818E">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定性</w:t>
            </w:r>
          </w:p>
        </w:tc>
        <w:tc>
          <w:tcPr>
            <w:tcW w:w="1058" w:type="pct"/>
            <w:tcBorders>
              <w:top w:val="single" w:color="000000" w:sz="4" w:space="0"/>
              <w:left w:val="single" w:color="000000" w:sz="4" w:space="0"/>
              <w:bottom w:val="single" w:color="000000" w:sz="4" w:space="0"/>
              <w:right w:val="single" w:color="000000" w:sz="4" w:space="0"/>
            </w:tcBorders>
            <w:noWrap/>
            <w:vAlign w:val="center"/>
          </w:tcPr>
          <w:p w14:paraId="45F204FA">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为企业轮换粮食质量把关，提高企业购进粮食质量合格率，并根据质量情况实时指导企业科学储粮，避免粮食不合格、霉变等造成经济损失。。</w:t>
            </w:r>
          </w:p>
        </w:tc>
        <w:tc>
          <w:tcPr>
            <w:tcW w:w="222" w:type="pct"/>
            <w:gridSpan w:val="2"/>
            <w:tcBorders>
              <w:top w:val="single" w:color="000000" w:sz="4" w:space="0"/>
              <w:left w:val="single" w:color="000000" w:sz="4" w:space="0"/>
              <w:bottom w:val="single" w:color="000000" w:sz="4" w:space="0"/>
              <w:right w:val="single" w:color="000000" w:sz="4" w:space="0"/>
            </w:tcBorders>
            <w:noWrap/>
            <w:vAlign w:val="center"/>
          </w:tcPr>
          <w:p w14:paraId="650C1EAF">
            <w:pPr>
              <w:keepNext w:val="0"/>
              <w:keepLines w:val="0"/>
              <w:suppressLineNumbers w:val="0"/>
              <w:spacing w:before="0" w:beforeAutospacing="0" w:after="0" w:afterAutospacing="0" w:line="260" w:lineRule="exact"/>
              <w:ind w:left="0" w:right="0"/>
              <w:jc w:val="center"/>
              <w:rPr>
                <w:rFonts w:hint="eastAsia" w:ascii="宋体" w:eastAsia="宋体" w:cs="宋体"/>
                <w:color w:val="000000"/>
                <w:sz w:val="20"/>
                <w:szCs w:val="20"/>
              </w:rPr>
            </w:pPr>
          </w:p>
        </w:tc>
        <w:tc>
          <w:tcPr>
            <w:tcW w:w="349" w:type="pct"/>
            <w:gridSpan w:val="2"/>
            <w:tcBorders>
              <w:top w:val="single" w:color="000000" w:sz="4" w:space="0"/>
              <w:left w:val="single" w:color="000000" w:sz="4" w:space="0"/>
              <w:bottom w:val="single" w:color="000000" w:sz="4" w:space="0"/>
              <w:right w:val="single" w:color="000000" w:sz="4" w:space="0"/>
            </w:tcBorders>
            <w:noWrap/>
            <w:vAlign w:val="center"/>
          </w:tcPr>
          <w:p w14:paraId="3241664C">
            <w:pPr>
              <w:keepNext w:val="0"/>
              <w:keepLines w:val="0"/>
              <w:suppressLineNumbers w:val="0"/>
              <w:spacing w:before="0" w:beforeAutospacing="0" w:after="0" w:afterAutospacing="0" w:line="260" w:lineRule="exact"/>
              <w:ind w:left="0" w:right="0"/>
              <w:jc w:val="left"/>
              <w:rPr>
                <w:rFonts w:hint="eastAsia" w:ascii="宋体" w:eastAsia="宋体" w:cs="宋体"/>
                <w:color w:val="000000"/>
                <w:sz w:val="20"/>
                <w:szCs w:val="20"/>
              </w:rPr>
            </w:pPr>
          </w:p>
        </w:tc>
        <w:tc>
          <w:tcPr>
            <w:tcW w:w="1110" w:type="pct"/>
            <w:gridSpan w:val="5"/>
            <w:tcBorders>
              <w:top w:val="single" w:color="000000" w:sz="4" w:space="0"/>
              <w:left w:val="single" w:color="000000" w:sz="4" w:space="0"/>
              <w:bottom w:val="single" w:color="000000" w:sz="4" w:space="0"/>
              <w:right w:val="single" w:color="000000" w:sz="4" w:space="0"/>
            </w:tcBorders>
            <w:noWrap/>
            <w:vAlign w:val="center"/>
          </w:tcPr>
          <w:p w14:paraId="023059E2">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持续指导企业科学储粮，避免粮食不合格、霉变等造成经济损失</w:t>
            </w:r>
          </w:p>
        </w:tc>
      </w:tr>
      <w:tr w14:paraId="5EE43282">
        <w:tblPrEx>
          <w:tblCellMar>
            <w:top w:w="0" w:type="dxa"/>
            <w:left w:w="108" w:type="dxa"/>
            <w:bottom w:w="0" w:type="dxa"/>
            <w:right w:w="108" w:type="dxa"/>
          </w:tblCellMar>
        </w:tblPrEx>
        <w:trPr>
          <w:trHeight w:val="1967" w:hRule="atLeast"/>
        </w:trPr>
        <w:tc>
          <w:tcPr>
            <w:tcW w:w="201" w:type="pct"/>
            <w:vMerge w:val="restart"/>
            <w:tcBorders>
              <w:top w:val="single" w:color="000000" w:sz="4" w:space="0"/>
              <w:left w:val="single" w:color="000000" w:sz="4" w:space="0"/>
              <w:right w:val="single" w:color="000000" w:sz="4" w:space="0"/>
            </w:tcBorders>
            <w:noWrap/>
            <w:vAlign w:val="center"/>
          </w:tcPr>
          <w:p w14:paraId="340AC808">
            <w:pPr>
              <w:keepNext w:val="0"/>
              <w:keepLines w:val="0"/>
              <w:suppressLineNumbers w:val="0"/>
              <w:spacing w:before="0" w:beforeAutospacing="0" w:after="0" w:afterAutospacing="0" w:line="260" w:lineRule="exact"/>
              <w:ind w:left="0" w:right="0"/>
              <w:rPr>
                <w:rFonts w:hint="default"/>
              </w:rPr>
            </w:pPr>
          </w:p>
        </w:tc>
        <w:tc>
          <w:tcPr>
            <w:tcW w:w="248" w:type="pct"/>
            <w:gridSpan w:val="2"/>
            <w:vMerge w:val="continue"/>
            <w:tcBorders>
              <w:top w:val="single" w:color="000000" w:sz="4" w:space="0"/>
              <w:left w:val="single" w:color="000000" w:sz="4" w:space="0"/>
              <w:bottom w:val="nil"/>
              <w:right w:val="single" w:color="000000" w:sz="4" w:space="0"/>
            </w:tcBorders>
            <w:noWrap/>
            <w:vAlign w:val="center"/>
          </w:tcPr>
          <w:p w14:paraId="210AC8DA">
            <w:pPr>
              <w:keepNext w:val="0"/>
              <w:keepLines w:val="0"/>
              <w:suppressLineNumbers w:val="0"/>
              <w:spacing w:before="0" w:beforeAutospacing="0" w:after="0" w:afterAutospacing="0" w:line="260" w:lineRule="exact"/>
              <w:ind w:left="0" w:right="0"/>
              <w:rPr>
                <w:rFonts w:hint="default"/>
              </w:rPr>
            </w:pPr>
          </w:p>
        </w:tc>
        <w:tc>
          <w:tcPr>
            <w:tcW w:w="423" w:type="pct"/>
            <w:gridSpan w:val="2"/>
            <w:vMerge w:val="continue"/>
            <w:tcBorders>
              <w:top w:val="single" w:color="000000" w:sz="4" w:space="0"/>
              <w:left w:val="single" w:color="000000" w:sz="4" w:space="0"/>
              <w:bottom w:val="single" w:color="000000" w:sz="4" w:space="0"/>
              <w:right w:val="single" w:color="000000" w:sz="4" w:space="0"/>
            </w:tcBorders>
            <w:noWrap/>
            <w:vAlign w:val="center"/>
          </w:tcPr>
          <w:p w14:paraId="38547EEB">
            <w:pPr>
              <w:keepNext w:val="0"/>
              <w:keepLines w:val="0"/>
              <w:suppressLineNumbers w:val="0"/>
              <w:spacing w:before="0" w:beforeAutospacing="0" w:after="0" w:afterAutospacing="0" w:line="260" w:lineRule="exact"/>
              <w:ind w:left="0" w:right="0"/>
              <w:rPr>
                <w:rFonts w:hint="default"/>
              </w:rPr>
            </w:pPr>
          </w:p>
        </w:tc>
        <w:tc>
          <w:tcPr>
            <w:tcW w:w="925" w:type="pct"/>
            <w:gridSpan w:val="4"/>
            <w:tcBorders>
              <w:top w:val="single" w:color="000000" w:sz="4" w:space="0"/>
              <w:left w:val="single" w:color="000000" w:sz="4" w:space="0"/>
              <w:bottom w:val="single" w:color="000000" w:sz="4" w:space="0"/>
              <w:right w:val="single" w:color="000000" w:sz="4" w:space="0"/>
            </w:tcBorders>
            <w:noWrap/>
            <w:vAlign w:val="center"/>
          </w:tcPr>
          <w:p w14:paraId="6D18F0CA">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 xml:space="preserve"> 指标4：持续发展产业，培育主导产业，集体经济持续巩固，提升造血功能。</w:t>
            </w:r>
          </w:p>
        </w:tc>
        <w:tc>
          <w:tcPr>
            <w:tcW w:w="460" w:type="pct"/>
            <w:gridSpan w:val="2"/>
            <w:tcBorders>
              <w:top w:val="single" w:color="000000" w:sz="4" w:space="0"/>
              <w:left w:val="single" w:color="000000" w:sz="4" w:space="0"/>
              <w:bottom w:val="single" w:color="000000" w:sz="4" w:space="0"/>
              <w:right w:val="single" w:color="000000" w:sz="4" w:space="0"/>
            </w:tcBorders>
            <w:noWrap/>
            <w:vAlign w:val="center"/>
          </w:tcPr>
          <w:p w14:paraId="7C175BE1">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定性</w:t>
            </w:r>
          </w:p>
        </w:tc>
        <w:tc>
          <w:tcPr>
            <w:tcW w:w="1058" w:type="pct"/>
            <w:tcBorders>
              <w:top w:val="single" w:color="000000" w:sz="4" w:space="0"/>
              <w:left w:val="single" w:color="000000" w:sz="4" w:space="0"/>
              <w:bottom w:val="single" w:color="000000" w:sz="4" w:space="0"/>
              <w:right w:val="single" w:color="000000" w:sz="4" w:space="0"/>
            </w:tcBorders>
            <w:noWrap/>
            <w:vAlign w:val="center"/>
          </w:tcPr>
          <w:p w14:paraId="600BA594">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根据帮扶村实际，持续推进产业发展，培育一项主导产业；巩固村集体经济。脱贫户有增收产业项目、村有集体经济收入，环境，培育一项主导产业。</w:t>
            </w:r>
          </w:p>
        </w:tc>
        <w:tc>
          <w:tcPr>
            <w:tcW w:w="222" w:type="pct"/>
            <w:gridSpan w:val="2"/>
            <w:tcBorders>
              <w:top w:val="single" w:color="000000" w:sz="4" w:space="0"/>
              <w:left w:val="single" w:color="000000" w:sz="4" w:space="0"/>
              <w:bottom w:val="single" w:color="000000" w:sz="4" w:space="0"/>
              <w:right w:val="single" w:color="000000" w:sz="4" w:space="0"/>
            </w:tcBorders>
            <w:noWrap/>
            <w:vAlign w:val="center"/>
          </w:tcPr>
          <w:p w14:paraId="57C599DA">
            <w:pPr>
              <w:keepNext w:val="0"/>
              <w:keepLines w:val="0"/>
              <w:suppressLineNumbers w:val="0"/>
              <w:spacing w:before="0" w:beforeAutospacing="0" w:after="0" w:afterAutospacing="0" w:line="260" w:lineRule="exact"/>
              <w:ind w:left="0" w:right="0"/>
              <w:jc w:val="center"/>
              <w:rPr>
                <w:rFonts w:hint="eastAsia" w:ascii="宋体" w:eastAsia="宋体" w:cs="宋体"/>
                <w:color w:val="000000"/>
                <w:sz w:val="20"/>
                <w:szCs w:val="20"/>
              </w:rPr>
            </w:pPr>
          </w:p>
        </w:tc>
        <w:tc>
          <w:tcPr>
            <w:tcW w:w="349" w:type="pct"/>
            <w:gridSpan w:val="2"/>
            <w:tcBorders>
              <w:top w:val="single" w:color="000000" w:sz="4" w:space="0"/>
              <w:left w:val="single" w:color="000000" w:sz="4" w:space="0"/>
              <w:bottom w:val="single" w:color="000000" w:sz="4" w:space="0"/>
              <w:right w:val="single" w:color="000000" w:sz="4" w:space="0"/>
            </w:tcBorders>
            <w:noWrap/>
            <w:vAlign w:val="center"/>
          </w:tcPr>
          <w:p w14:paraId="11750CBB">
            <w:pPr>
              <w:keepNext w:val="0"/>
              <w:keepLines w:val="0"/>
              <w:suppressLineNumbers w:val="0"/>
              <w:spacing w:before="0" w:beforeAutospacing="0" w:after="0" w:afterAutospacing="0" w:line="260" w:lineRule="exact"/>
              <w:ind w:left="0" w:right="0"/>
              <w:jc w:val="left"/>
              <w:rPr>
                <w:rFonts w:hint="eastAsia" w:ascii="宋体" w:eastAsia="宋体" w:cs="宋体"/>
                <w:color w:val="000000"/>
                <w:sz w:val="20"/>
                <w:szCs w:val="20"/>
              </w:rPr>
            </w:pPr>
          </w:p>
        </w:tc>
        <w:tc>
          <w:tcPr>
            <w:tcW w:w="1110" w:type="pct"/>
            <w:gridSpan w:val="5"/>
            <w:tcBorders>
              <w:top w:val="single" w:color="000000" w:sz="4" w:space="0"/>
              <w:left w:val="single" w:color="000000" w:sz="4" w:space="0"/>
              <w:bottom w:val="single" w:color="000000" w:sz="4" w:space="0"/>
              <w:right w:val="single" w:color="000000" w:sz="4" w:space="0"/>
            </w:tcBorders>
            <w:noWrap/>
            <w:vAlign w:val="center"/>
          </w:tcPr>
          <w:p w14:paraId="09FEB888">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新山村协助发展壮大种养殖业，拓展收入渠道，收取管理费及设备租赁、入股分红2023年度集体经济收入比上年增加5万元，毛坝村以高山露地蔬菜种植和乡村名宿发展为重点发展方向，通过出租休闲垂钓鱼塘、入股滑雪场等方式，集体经济收入翻番。</w:t>
            </w:r>
          </w:p>
        </w:tc>
      </w:tr>
      <w:tr w14:paraId="046244B7">
        <w:tblPrEx>
          <w:tblCellMar>
            <w:top w:w="0" w:type="dxa"/>
            <w:left w:w="108" w:type="dxa"/>
            <w:bottom w:w="0" w:type="dxa"/>
            <w:right w:w="108" w:type="dxa"/>
          </w:tblCellMar>
        </w:tblPrEx>
        <w:trPr>
          <w:trHeight w:val="2600" w:hRule="atLeast"/>
        </w:trPr>
        <w:tc>
          <w:tcPr>
            <w:tcW w:w="201" w:type="pct"/>
            <w:vMerge w:val="continue"/>
            <w:tcBorders>
              <w:left w:val="single" w:color="000000" w:sz="4" w:space="0"/>
              <w:right w:val="single" w:color="000000" w:sz="4" w:space="0"/>
            </w:tcBorders>
            <w:noWrap/>
            <w:vAlign w:val="center"/>
          </w:tcPr>
          <w:p w14:paraId="7E5C7D66">
            <w:pPr>
              <w:keepNext w:val="0"/>
              <w:keepLines w:val="0"/>
              <w:suppressLineNumbers w:val="0"/>
              <w:spacing w:before="0" w:beforeAutospacing="0" w:after="0" w:afterAutospacing="0" w:line="260" w:lineRule="exact"/>
              <w:ind w:left="0" w:right="0"/>
              <w:rPr>
                <w:rFonts w:hint="default"/>
              </w:rPr>
            </w:pPr>
          </w:p>
        </w:tc>
        <w:tc>
          <w:tcPr>
            <w:tcW w:w="248" w:type="pct"/>
            <w:gridSpan w:val="2"/>
            <w:vMerge w:val="continue"/>
            <w:tcBorders>
              <w:top w:val="single" w:color="000000" w:sz="4" w:space="0"/>
              <w:left w:val="single" w:color="000000" w:sz="4" w:space="0"/>
              <w:bottom w:val="nil"/>
              <w:right w:val="single" w:color="000000" w:sz="4" w:space="0"/>
            </w:tcBorders>
            <w:noWrap/>
            <w:vAlign w:val="center"/>
          </w:tcPr>
          <w:p w14:paraId="7927C848">
            <w:pPr>
              <w:keepNext w:val="0"/>
              <w:keepLines w:val="0"/>
              <w:suppressLineNumbers w:val="0"/>
              <w:spacing w:before="0" w:beforeAutospacing="0" w:after="0" w:afterAutospacing="0" w:line="260" w:lineRule="exact"/>
              <w:ind w:left="0" w:right="0"/>
              <w:rPr>
                <w:rFonts w:hint="default"/>
              </w:rPr>
            </w:pPr>
          </w:p>
        </w:tc>
        <w:tc>
          <w:tcPr>
            <w:tcW w:w="423" w:type="pct"/>
            <w:gridSpan w:val="2"/>
            <w:vMerge w:val="restart"/>
            <w:tcBorders>
              <w:top w:val="single" w:color="000000" w:sz="4" w:space="0"/>
              <w:left w:val="single" w:color="000000" w:sz="4" w:space="0"/>
              <w:bottom w:val="single" w:color="000000" w:sz="4" w:space="0"/>
              <w:right w:val="single" w:color="000000" w:sz="4" w:space="0"/>
            </w:tcBorders>
            <w:noWrap/>
            <w:vAlign w:val="center"/>
          </w:tcPr>
          <w:p w14:paraId="326EF817">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社会效益指标</w:t>
            </w:r>
          </w:p>
        </w:tc>
        <w:tc>
          <w:tcPr>
            <w:tcW w:w="925" w:type="pct"/>
            <w:gridSpan w:val="4"/>
            <w:tcBorders>
              <w:top w:val="single" w:color="000000" w:sz="4" w:space="0"/>
              <w:left w:val="single" w:color="000000" w:sz="4" w:space="0"/>
              <w:bottom w:val="single" w:color="000000" w:sz="4" w:space="0"/>
              <w:right w:val="single" w:color="000000" w:sz="4" w:space="0"/>
            </w:tcBorders>
            <w:noWrap/>
            <w:vAlign w:val="center"/>
          </w:tcPr>
          <w:p w14:paraId="253214AB">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指标1：加快项目推进</w:t>
            </w:r>
          </w:p>
        </w:tc>
        <w:tc>
          <w:tcPr>
            <w:tcW w:w="460" w:type="pct"/>
            <w:gridSpan w:val="2"/>
            <w:tcBorders>
              <w:top w:val="single" w:color="000000" w:sz="4" w:space="0"/>
              <w:left w:val="single" w:color="000000" w:sz="4" w:space="0"/>
              <w:bottom w:val="single" w:color="000000" w:sz="4" w:space="0"/>
              <w:right w:val="single" w:color="000000" w:sz="4" w:space="0"/>
            </w:tcBorders>
            <w:noWrap/>
            <w:vAlign w:val="center"/>
          </w:tcPr>
          <w:p w14:paraId="4A526C4D">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定性</w:t>
            </w:r>
          </w:p>
        </w:tc>
        <w:tc>
          <w:tcPr>
            <w:tcW w:w="1058" w:type="pct"/>
            <w:tcBorders>
              <w:top w:val="single" w:color="000000" w:sz="4" w:space="0"/>
              <w:left w:val="single" w:color="000000" w:sz="4" w:space="0"/>
              <w:bottom w:val="single" w:color="000000" w:sz="4" w:space="0"/>
              <w:right w:val="single" w:color="000000" w:sz="4" w:space="0"/>
            </w:tcBorders>
            <w:noWrap/>
            <w:vAlign w:val="center"/>
          </w:tcPr>
          <w:p w14:paraId="37F357FD">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促进了我市基础设施进一步完善，社会民生保障更加健全</w:t>
            </w:r>
          </w:p>
        </w:tc>
        <w:tc>
          <w:tcPr>
            <w:tcW w:w="222" w:type="pct"/>
            <w:gridSpan w:val="2"/>
            <w:tcBorders>
              <w:top w:val="single" w:color="000000" w:sz="4" w:space="0"/>
              <w:left w:val="single" w:color="000000" w:sz="4" w:space="0"/>
              <w:bottom w:val="single" w:color="000000" w:sz="4" w:space="0"/>
              <w:right w:val="single" w:color="000000" w:sz="4" w:space="0"/>
            </w:tcBorders>
            <w:noWrap/>
            <w:vAlign w:val="center"/>
          </w:tcPr>
          <w:p w14:paraId="26F53E09">
            <w:pPr>
              <w:keepNext w:val="0"/>
              <w:keepLines w:val="0"/>
              <w:suppressLineNumbers w:val="0"/>
              <w:spacing w:before="0" w:beforeAutospacing="0" w:after="0" w:afterAutospacing="0" w:line="260" w:lineRule="exact"/>
              <w:ind w:left="0" w:right="0"/>
              <w:jc w:val="center"/>
              <w:rPr>
                <w:rFonts w:hint="eastAsia" w:ascii="宋体" w:eastAsia="宋体" w:cs="宋体"/>
                <w:color w:val="000000"/>
                <w:sz w:val="20"/>
                <w:szCs w:val="20"/>
              </w:rPr>
            </w:pPr>
          </w:p>
        </w:tc>
        <w:tc>
          <w:tcPr>
            <w:tcW w:w="349" w:type="pct"/>
            <w:gridSpan w:val="2"/>
            <w:tcBorders>
              <w:top w:val="single" w:color="000000" w:sz="4" w:space="0"/>
              <w:left w:val="single" w:color="000000" w:sz="4" w:space="0"/>
              <w:bottom w:val="single" w:color="000000" w:sz="4" w:space="0"/>
              <w:right w:val="single" w:color="000000" w:sz="4" w:space="0"/>
            </w:tcBorders>
            <w:noWrap/>
            <w:vAlign w:val="center"/>
          </w:tcPr>
          <w:p w14:paraId="32E7558A">
            <w:pPr>
              <w:keepNext w:val="0"/>
              <w:keepLines w:val="0"/>
              <w:suppressLineNumbers w:val="0"/>
              <w:spacing w:before="0" w:beforeAutospacing="0" w:after="0" w:afterAutospacing="0" w:line="260" w:lineRule="exact"/>
              <w:ind w:left="0" w:right="0"/>
              <w:jc w:val="left"/>
              <w:rPr>
                <w:rFonts w:hint="eastAsia" w:ascii="宋体" w:eastAsia="宋体" w:cs="宋体"/>
                <w:color w:val="000000"/>
                <w:sz w:val="20"/>
                <w:szCs w:val="20"/>
              </w:rPr>
            </w:pPr>
          </w:p>
        </w:tc>
        <w:tc>
          <w:tcPr>
            <w:tcW w:w="1110" w:type="pct"/>
            <w:gridSpan w:val="5"/>
            <w:tcBorders>
              <w:top w:val="single" w:color="000000" w:sz="4" w:space="0"/>
              <w:left w:val="single" w:color="000000" w:sz="4" w:space="0"/>
              <w:bottom w:val="single" w:color="000000" w:sz="4" w:space="0"/>
              <w:right w:val="single" w:color="000000" w:sz="4" w:space="0"/>
            </w:tcBorders>
            <w:noWrap/>
            <w:vAlign w:val="center"/>
          </w:tcPr>
          <w:p w14:paraId="43B3271C">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奋力保障项目落地。加快推动规划许可、环评、能评、水资源、用地等前期要件办理，尽早达成项目征地拆迁、供电、供水等建设条件，推动项目早开工早建设。按季度开展重大项目现场推进活动，全年开展4批次，开工项目945个、总投资1390.54亿元，分别增长37%和12%。</w:t>
            </w:r>
          </w:p>
        </w:tc>
      </w:tr>
      <w:tr w14:paraId="58FF09C6">
        <w:tblPrEx>
          <w:tblCellMar>
            <w:top w:w="0" w:type="dxa"/>
            <w:left w:w="108" w:type="dxa"/>
            <w:bottom w:w="0" w:type="dxa"/>
            <w:right w:w="108" w:type="dxa"/>
          </w:tblCellMar>
        </w:tblPrEx>
        <w:trPr>
          <w:trHeight w:val="1080" w:hRule="atLeast"/>
        </w:trPr>
        <w:tc>
          <w:tcPr>
            <w:tcW w:w="201" w:type="pct"/>
            <w:vMerge w:val="continue"/>
            <w:tcBorders>
              <w:left w:val="single" w:color="000000" w:sz="4" w:space="0"/>
              <w:bottom w:val="single" w:color="auto" w:sz="4" w:space="0"/>
              <w:right w:val="single" w:color="000000" w:sz="4" w:space="0"/>
            </w:tcBorders>
            <w:noWrap/>
            <w:vAlign w:val="center"/>
          </w:tcPr>
          <w:p w14:paraId="518CA4D4">
            <w:pPr>
              <w:keepNext w:val="0"/>
              <w:keepLines w:val="0"/>
              <w:suppressLineNumbers w:val="0"/>
              <w:spacing w:before="0" w:beforeAutospacing="0" w:after="0" w:afterAutospacing="0" w:line="260" w:lineRule="exact"/>
              <w:ind w:left="0" w:right="0"/>
              <w:rPr>
                <w:rFonts w:hint="default"/>
              </w:rPr>
            </w:pPr>
          </w:p>
        </w:tc>
        <w:tc>
          <w:tcPr>
            <w:tcW w:w="248" w:type="pct"/>
            <w:gridSpan w:val="2"/>
            <w:vMerge w:val="continue"/>
            <w:tcBorders>
              <w:top w:val="single" w:color="000000" w:sz="4" w:space="0"/>
              <w:left w:val="single" w:color="000000" w:sz="4" w:space="0"/>
              <w:bottom w:val="single" w:color="auto" w:sz="4" w:space="0"/>
              <w:right w:val="single" w:color="000000" w:sz="4" w:space="0"/>
            </w:tcBorders>
            <w:noWrap/>
            <w:vAlign w:val="center"/>
          </w:tcPr>
          <w:p w14:paraId="67CF40C7">
            <w:pPr>
              <w:keepNext w:val="0"/>
              <w:keepLines w:val="0"/>
              <w:suppressLineNumbers w:val="0"/>
              <w:spacing w:before="0" w:beforeAutospacing="0" w:after="0" w:afterAutospacing="0" w:line="260" w:lineRule="exact"/>
              <w:ind w:left="0" w:right="0"/>
              <w:rPr>
                <w:rFonts w:hint="default"/>
              </w:rPr>
            </w:pPr>
          </w:p>
        </w:tc>
        <w:tc>
          <w:tcPr>
            <w:tcW w:w="423" w:type="pct"/>
            <w:gridSpan w:val="2"/>
            <w:vMerge w:val="continue"/>
            <w:tcBorders>
              <w:top w:val="single" w:color="000000" w:sz="4" w:space="0"/>
              <w:left w:val="single" w:color="000000" w:sz="4" w:space="0"/>
              <w:bottom w:val="single" w:color="auto" w:sz="4" w:space="0"/>
              <w:right w:val="single" w:color="000000" w:sz="4" w:space="0"/>
            </w:tcBorders>
            <w:noWrap/>
            <w:vAlign w:val="center"/>
          </w:tcPr>
          <w:p w14:paraId="366D1EB2">
            <w:pPr>
              <w:keepNext w:val="0"/>
              <w:keepLines w:val="0"/>
              <w:suppressLineNumbers w:val="0"/>
              <w:spacing w:before="0" w:beforeAutospacing="0" w:after="0" w:afterAutospacing="0" w:line="260" w:lineRule="exact"/>
              <w:ind w:left="0" w:right="0"/>
              <w:rPr>
                <w:rFonts w:hint="default"/>
              </w:rPr>
            </w:pPr>
          </w:p>
        </w:tc>
        <w:tc>
          <w:tcPr>
            <w:tcW w:w="925" w:type="pct"/>
            <w:gridSpan w:val="4"/>
            <w:tcBorders>
              <w:top w:val="single" w:color="000000" w:sz="4" w:space="0"/>
              <w:left w:val="single" w:color="000000" w:sz="4" w:space="0"/>
              <w:bottom w:val="single" w:color="000000" w:sz="4" w:space="0"/>
              <w:right w:val="single" w:color="000000" w:sz="4" w:space="0"/>
            </w:tcBorders>
            <w:noWrap/>
            <w:vAlign w:val="center"/>
          </w:tcPr>
          <w:p w14:paraId="26790132">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指标2：强化源头污染防控，确保粮食质量安全</w:t>
            </w:r>
          </w:p>
        </w:tc>
        <w:tc>
          <w:tcPr>
            <w:tcW w:w="460" w:type="pct"/>
            <w:gridSpan w:val="2"/>
            <w:tcBorders>
              <w:top w:val="single" w:color="000000" w:sz="4" w:space="0"/>
              <w:left w:val="single" w:color="000000" w:sz="4" w:space="0"/>
              <w:bottom w:val="single" w:color="000000" w:sz="4" w:space="0"/>
              <w:right w:val="single" w:color="000000" w:sz="4" w:space="0"/>
            </w:tcBorders>
            <w:noWrap/>
            <w:vAlign w:val="center"/>
          </w:tcPr>
          <w:p w14:paraId="089C1D3C">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定性</w:t>
            </w:r>
          </w:p>
        </w:tc>
        <w:tc>
          <w:tcPr>
            <w:tcW w:w="1058" w:type="pct"/>
            <w:tcBorders>
              <w:top w:val="single" w:color="000000" w:sz="4" w:space="0"/>
              <w:left w:val="single" w:color="000000" w:sz="4" w:space="0"/>
              <w:bottom w:val="single" w:color="000000" w:sz="4" w:space="0"/>
              <w:right w:val="single" w:color="000000" w:sz="4" w:space="0"/>
            </w:tcBorders>
            <w:noWrap/>
            <w:vAlign w:val="center"/>
          </w:tcPr>
          <w:p w14:paraId="5AED3598">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全面贯彻党中央和省、市政府关于粮食安全工作的决策部署，严格落实粮食安全和食品安全党政同责，将粮食安全保障向前推进一公里，守住粮食质量安全的第一道屏障，切实加强全市范围内产新粮食质量安全监测，强化源头污染防控，确保粮食质量安全。</w:t>
            </w:r>
          </w:p>
        </w:tc>
        <w:tc>
          <w:tcPr>
            <w:tcW w:w="222" w:type="pct"/>
            <w:gridSpan w:val="2"/>
            <w:tcBorders>
              <w:top w:val="single" w:color="000000" w:sz="4" w:space="0"/>
              <w:left w:val="single" w:color="000000" w:sz="4" w:space="0"/>
              <w:bottom w:val="single" w:color="000000" w:sz="4" w:space="0"/>
              <w:right w:val="single" w:color="000000" w:sz="4" w:space="0"/>
            </w:tcBorders>
            <w:noWrap/>
            <w:vAlign w:val="center"/>
          </w:tcPr>
          <w:p w14:paraId="38430658">
            <w:pPr>
              <w:keepNext w:val="0"/>
              <w:keepLines w:val="0"/>
              <w:suppressLineNumbers w:val="0"/>
              <w:spacing w:before="0" w:beforeAutospacing="0" w:after="0" w:afterAutospacing="0" w:line="260" w:lineRule="exact"/>
              <w:ind w:left="0" w:right="0"/>
              <w:jc w:val="center"/>
              <w:rPr>
                <w:rFonts w:hint="eastAsia" w:ascii="宋体" w:eastAsia="宋体" w:cs="宋体"/>
                <w:color w:val="000000"/>
                <w:sz w:val="20"/>
                <w:szCs w:val="20"/>
              </w:rPr>
            </w:pPr>
          </w:p>
        </w:tc>
        <w:tc>
          <w:tcPr>
            <w:tcW w:w="349" w:type="pct"/>
            <w:gridSpan w:val="2"/>
            <w:tcBorders>
              <w:top w:val="single" w:color="000000" w:sz="4" w:space="0"/>
              <w:left w:val="single" w:color="000000" w:sz="4" w:space="0"/>
              <w:bottom w:val="single" w:color="000000" w:sz="4" w:space="0"/>
              <w:right w:val="single" w:color="000000" w:sz="4" w:space="0"/>
            </w:tcBorders>
            <w:noWrap/>
            <w:vAlign w:val="center"/>
          </w:tcPr>
          <w:p w14:paraId="647C3AE9">
            <w:pPr>
              <w:keepNext w:val="0"/>
              <w:keepLines w:val="0"/>
              <w:suppressLineNumbers w:val="0"/>
              <w:spacing w:before="0" w:beforeAutospacing="0" w:after="0" w:afterAutospacing="0" w:line="260" w:lineRule="exact"/>
              <w:ind w:left="0" w:right="0"/>
              <w:jc w:val="left"/>
              <w:rPr>
                <w:rFonts w:hint="eastAsia" w:ascii="宋体" w:eastAsia="宋体" w:cs="宋体"/>
                <w:color w:val="000000"/>
                <w:sz w:val="20"/>
                <w:szCs w:val="20"/>
              </w:rPr>
            </w:pPr>
          </w:p>
        </w:tc>
        <w:tc>
          <w:tcPr>
            <w:tcW w:w="1110" w:type="pct"/>
            <w:gridSpan w:val="5"/>
            <w:tcBorders>
              <w:top w:val="single" w:color="000000" w:sz="4" w:space="0"/>
              <w:left w:val="single" w:color="000000" w:sz="4" w:space="0"/>
              <w:bottom w:val="single" w:color="000000" w:sz="4" w:space="0"/>
              <w:right w:val="single" w:color="000000" w:sz="4" w:space="0"/>
            </w:tcBorders>
            <w:noWrap/>
            <w:vAlign w:val="center"/>
          </w:tcPr>
          <w:p w14:paraId="2C49686D">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持续加强全市范围内产新粮食质量安全监测，强化源头污染防控，确保粮食质量安全。</w:t>
            </w:r>
          </w:p>
        </w:tc>
      </w:tr>
      <w:tr w14:paraId="4B56E33B">
        <w:tblPrEx>
          <w:tblCellMar>
            <w:top w:w="0" w:type="dxa"/>
            <w:left w:w="108" w:type="dxa"/>
            <w:bottom w:w="0" w:type="dxa"/>
            <w:right w:w="108" w:type="dxa"/>
          </w:tblCellMar>
        </w:tblPrEx>
        <w:trPr>
          <w:trHeight w:val="975" w:hRule="atLeast"/>
        </w:trPr>
        <w:tc>
          <w:tcPr>
            <w:tcW w:w="201" w:type="pct"/>
            <w:vMerge w:val="restart"/>
            <w:tcBorders>
              <w:top w:val="single" w:color="auto" w:sz="4" w:space="0"/>
              <w:left w:val="single" w:color="auto" w:sz="4" w:space="0"/>
              <w:bottom w:val="single" w:color="auto" w:sz="4" w:space="0"/>
              <w:right w:val="single" w:color="auto" w:sz="4" w:space="0"/>
            </w:tcBorders>
            <w:noWrap/>
            <w:vAlign w:val="center"/>
          </w:tcPr>
          <w:p w14:paraId="332CE4C8">
            <w:pPr>
              <w:keepNext w:val="0"/>
              <w:keepLines w:val="0"/>
              <w:suppressLineNumbers w:val="0"/>
              <w:spacing w:before="0" w:beforeAutospacing="0" w:after="0" w:afterAutospacing="0" w:line="260" w:lineRule="exact"/>
              <w:ind w:left="0" w:right="0"/>
              <w:rPr>
                <w:rFonts w:hint="default"/>
              </w:rPr>
            </w:pPr>
          </w:p>
        </w:tc>
        <w:tc>
          <w:tcPr>
            <w:tcW w:w="248" w:type="pct"/>
            <w:gridSpan w:val="2"/>
            <w:vMerge w:val="continue"/>
            <w:tcBorders>
              <w:top w:val="single" w:color="auto" w:sz="4" w:space="0"/>
              <w:left w:val="single" w:color="auto" w:sz="4" w:space="0"/>
              <w:bottom w:val="single" w:color="auto" w:sz="4" w:space="0"/>
              <w:right w:val="single" w:color="auto" w:sz="4" w:space="0"/>
            </w:tcBorders>
            <w:noWrap/>
            <w:vAlign w:val="center"/>
          </w:tcPr>
          <w:p w14:paraId="55CF93BA">
            <w:pPr>
              <w:keepNext w:val="0"/>
              <w:keepLines w:val="0"/>
              <w:suppressLineNumbers w:val="0"/>
              <w:spacing w:before="0" w:beforeAutospacing="0" w:after="0" w:afterAutospacing="0" w:line="260" w:lineRule="exact"/>
              <w:ind w:left="0" w:right="0"/>
              <w:rPr>
                <w:rFonts w:hint="default"/>
              </w:rPr>
            </w:pPr>
          </w:p>
        </w:tc>
        <w:tc>
          <w:tcPr>
            <w:tcW w:w="423" w:type="pct"/>
            <w:gridSpan w:val="2"/>
            <w:vMerge w:val="continue"/>
            <w:tcBorders>
              <w:top w:val="single" w:color="auto" w:sz="4" w:space="0"/>
              <w:left w:val="single" w:color="auto" w:sz="4" w:space="0"/>
              <w:bottom w:val="single" w:color="auto" w:sz="4" w:space="0"/>
              <w:right w:val="single" w:color="auto" w:sz="4" w:space="0"/>
            </w:tcBorders>
            <w:noWrap/>
            <w:vAlign w:val="center"/>
          </w:tcPr>
          <w:p w14:paraId="3804E9D9">
            <w:pPr>
              <w:keepNext w:val="0"/>
              <w:keepLines w:val="0"/>
              <w:suppressLineNumbers w:val="0"/>
              <w:spacing w:before="0" w:beforeAutospacing="0" w:after="0" w:afterAutospacing="0" w:line="260" w:lineRule="exact"/>
              <w:ind w:left="0" w:right="0"/>
              <w:rPr>
                <w:rFonts w:hint="default"/>
              </w:rPr>
            </w:pPr>
          </w:p>
        </w:tc>
        <w:tc>
          <w:tcPr>
            <w:tcW w:w="925" w:type="pct"/>
            <w:gridSpan w:val="4"/>
            <w:tcBorders>
              <w:top w:val="single" w:color="000000" w:sz="4" w:space="0"/>
              <w:left w:val="single" w:color="auto" w:sz="4" w:space="0"/>
              <w:bottom w:val="single" w:color="000000" w:sz="4" w:space="0"/>
              <w:right w:val="single" w:color="000000" w:sz="4" w:space="0"/>
            </w:tcBorders>
            <w:noWrap/>
            <w:vAlign w:val="center"/>
          </w:tcPr>
          <w:p w14:paraId="2B9AC2CB">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 xml:space="preserve"> 指标3：完成救灾物资储备、管理和运输、发放。</w:t>
            </w:r>
          </w:p>
        </w:tc>
        <w:tc>
          <w:tcPr>
            <w:tcW w:w="460" w:type="pct"/>
            <w:gridSpan w:val="2"/>
            <w:tcBorders>
              <w:top w:val="single" w:color="000000" w:sz="4" w:space="0"/>
              <w:left w:val="single" w:color="000000" w:sz="4" w:space="0"/>
              <w:bottom w:val="single" w:color="000000" w:sz="4" w:space="0"/>
              <w:right w:val="single" w:color="000000" w:sz="4" w:space="0"/>
            </w:tcBorders>
            <w:noWrap/>
            <w:vAlign w:val="center"/>
          </w:tcPr>
          <w:p w14:paraId="49394A71">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定性</w:t>
            </w:r>
          </w:p>
        </w:tc>
        <w:tc>
          <w:tcPr>
            <w:tcW w:w="1058" w:type="pct"/>
            <w:tcBorders>
              <w:top w:val="single" w:color="000000" w:sz="4" w:space="0"/>
              <w:left w:val="single" w:color="000000" w:sz="4" w:space="0"/>
              <w:bottom w:val="single" w:color="000000" w:sz="4" w:space="0"/>
              <w:right w:val="single" w:color="000000" w:sz="4" w:space="0"/>
            </w:tcBorders>
            <w:noWrap/>
            <w:vAlign w:val="center"/>
          </w:tcPr>
          <w:p w14:paraId="330B481A">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确保市级救灾物资安全完整，以保障受灾困难群众基本生活</w:t>
            </w:r>
          </w:p>
        </w:tc>
        <w:tc>
          <w:tcPr>
            <w:tcW w:w="222" w:type="pct"/>
            <w:gridSpan w:val="2"/>
            <w:tcBorders>
              <w:top w:val="single" w:color="000000" w:sz="4" w:space="0"/>
              <w:left w:val="single" w:color="000000" w:sz="4" w:space="0"/>
              <w:bottom w:val="single" w:color="000000" w:sz="4" w:space="0"/>
              <w:right w:val="single" w:color="000000" w:sz="4" w:space="0"/>
            </w:tcBorders>
            <w:noWrap/>
            <w:vAlign w:val="center"/>
          </w:tcPr>
          <w:p w14:paraId="1BEA522C">
            <w:pPr>
              <w:keepNext w:val="0"/>
              <w:keepLines w:val="0"/>
              <w:suppressLineNumbers w:val="0"/>
              <w:spacing w:before="0" w:beforeAutospacing="0" w:after="0" w:afterAutospacing="0" w:line="260" w:lineRule="exact"/>
              <w:ind w:left="0" w:right="0"/>
              <w:jc w:val="center"/>
              <w:rPr>
                <w:rFonts w:hint="eastAsia" w:ascii="宋体" w:eastAsia="宋体" w:cs="宋体"/>
                <w:color w:val="000000"/>
                <w:sz w:val="20"/>
                <w:szCs w:val="20"/>
              </w:rPr>
            </w:pPr>
          </w:p>
        </w:tc>
        <w:tc>
          <w:tcPr>
            <w:tcW w:w="349" w:type="pct"/>
            <w:gridSpan w:val="2"/>
            <w:tcBorders>
              <w:top w:val="single" w:color="000000" w:sz="4" w:space="0"/>
              <w:left w:val="single" w:color="000000" w:sz="4" w:space="0"/>
              <w:bottom w:val="single" w:color="000000" w:sz="4" w:space="0"/>
              <w:right w:val="single" w:color="000000" w:sz="4" w:space="0"/>
            </w:tcBorders>
            <w:noWrap/>
            <w:vAlign w:val="center"/>
          </w:tcPr>
          <w:p w14:paraId="7BCDC906">
            <w:pPr>
              <w:keepNext w:val="0"/>
              <w:keepLines w:val="0"/>
              <w:suppressLineNumbers w:val="0"/>
              <w:spacing w:before="0" w:beforeAutospacing="0" w:after="0" w:afterAutospacing="0" w:line="260" w:lineRule="exact"/>
              <w:ind w:left="0" w:right="0"/>
              <w:jc w:val="left"/>
              <w:rPr>
                <w:rFonts w:hint="eastAsia" w:ascii="宋体" w:eastAsia="宋体" w:cs="宋体"/>
                <w:color w:val="000000"/>
                <w:sz w:val="20"/>
                <w:szCs w:val="20"/>
              </w:rPr>
            </w:pPr>
          </w:p>
        </w:tc>
        <w:tc>
          <w:tcPr>
            <w:tcW w:w="1110" w:type="pct"/>
            <w:gridSpan w:val="5"/>
            <w:tcBorders>
              <w:top w:val="single" w:color="000000" w:sz="4" w:space="0"/>
              <w:left w:val="single" w:color="000000" w:sz="4" w:space="0"/>
              <w:bottom w:val="single" w:color="000000" w:sz="4" w:space="0"/>
              <w:right w:val="single" w:color="000000" w:sz="4" w:space="0"/>
            </w:tcBorders>
            <w:noWrap/>
            <w:vAlign w:val="center"/>
          </w:tcPr>
          <w:p w14:paraId="528867EA">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发放棉被9004床，帐篷5顶，遮阳篷3顶，棉大衣3478件。</w:t>
            </w:r>
          </w:p>
        </w:tc>
      </w:tr>
      <w:tr w14:paraId="2D0BDC01">
        <w:tblPrEx>
          <w:tblCellMar>
            <w:top w:w="0" w:type="dxa"/>
            <w:left w:w="108" w:type="dxa"/>
            <w:bottom w:w="0" w:type="dxa"/>
            <w:right w:w="108" w:type="dxa"/>
          </w:tblCellMar>
        </w:tblPrEx>
        <w:trPr>
          <w:trHeight w:val="840" w:hRule="atLeast"/>
        </w:trPr>
        <w:tc>
          <w:tcPr>
            <w:tcW w:w="201" w:type="pct"/>
            <w:vMerge w:val="continue"/>
            <w:tcBorders>
              <w:top w:val="single" w:color="auto" w:sz="4" w:space="0"/>
              <w:left w:val="single" w:color="auto" w:sz="4" w:space="0"/>
              <w:bottom w:val="single" w:color="auto" w:sz="4" w:space="0"/>
              <w:right w:val="single" w:color="auto" w:sz="4" w:space="0"/>
            </w:tcBorders>
            <w:noWrap/>
            <w:vAlign w:val="center"/>
          </w:tcPr>
          <w:p w14:paraId="2A70F417">
            <w:pPr>
              <w:keepNext w:val="0"/>
              <w:keepLines w:val="0"/>
              <w:suppressLineNumbers w:val="0"/>
              <w:spacing w:before="0" w:beforeAutospacing="0" w:after="0" w:afterAutospacing="0" w:line="260" w:lineRule="exact"/>
              <w:ind w:left="0" w:right="0"/>
              <w:rPr>
                <w:rFonts w:hint="default"/>
              </w:rPr>
            </w:pPr>
          </w:p>
        </w:tc>
        <w:tc>
          <w:tcPr>
            <w:tcW w:w="248" w:type="pct"/>
            <w:gridSpan w:val="2"/>
            <w:vMerge w:val="continue"/>
            <w:tcBorders>
              <w:top w:val="single" w:color="auto" w:sz="4" w:space="0"/>
              <w:left w:val="single" w:color="auto" w:sz="4" w:space="0"/>
              <w:bottom w:val="single" w:color="auto" w:sz="4" w:space="0"/>
              <w:right w:val="single" w:color="auto" w:sz="4" w:space="0"/>
            </w:tcBorders>
            <w:noWrap/>
            <w:vAlign w:val="center"/>
          </w:tcPr>
          <w:p w14:paraId="1C5A6D55">
            <w:pPr>
              <w:keepNext w:val="0"/>
              <w:keepLines w:val="0"/>
              <w:suppressLineNumbers w:val="0"/>
              <w:spacing w:before="0" w:beforeAutospacing="0" w:after="0" w:afterAutospacing="0" w:line="260" w:lineRule="exact"/>
              <w:ind w:left="0" w:right="0"/>
              <w:rPr>
                <w:rFonts w:hint="default"/>
              </w:rPr>
            </w:pPr>
          </w:p>
        </w:tc>
        <w:tc>
          <w:tcPr>
            <w:tcW w:w="423" w:type="pct"/>
            <w:gridSpan w:val="2"/>
            <w:vMerge w:val="continue"/>
            <w:tcBorders>
              <w:top w:val="single" w:color="auto" w:sz="4" w:space="0"/>
              <w:left w:val="single" w:color="auto" w:sz="4" w:space="0"/>
              <w:bottom w:val="single" w:color="auto" w:sz="4" w:space="0"/>
              <w:right w:val="single" w:color="auto" w:sz="4" w:space="0"/>
            </w:tcBorders>
            <w:noWrap/>
            <w:vAlign w:val="center"/>
          </w:tcPr>
          <w:p w14:paraId="6086A80C">
            <w:pPr>
              <w:keepNext w:val="0"/>
              <w:keepLines w:val="0"/>
              <w:suppressLineNumbers w:val="0"/>
              <w:spacing w:before="0" w:beforeAutospacing="0" w:after="0" w:afterAutospacing="0" w:line="260" w:lineRule="exact"/>
              <w:ind w:left="0" w:right="0"/>
              <w:rPr>
                <w:rFonts w:hint="default"/>
              </w:rPr>
            </w:pPr>
          </w:p>
        </w:tc>
        <w:tc>
          <w:tcPr>
            <w:tcW w:w="925" w:type="pct"/>
            <w:gridSpan w:val="4"/>
            <w:tcBorders>
              <w:top w:val="single" w:color="000000" w:sz="4" w:space="0"/>
              <w:left w:val="single" w:color="auto" w:sz="4" w:space="0"/>
              <w:bottom w:val="single" w:color="000000" w:sz="4" w:space="0"/>
              <w:right w:val="single" w:color="000000" w:sz="4" w:space="0"/>
            </w:tcBorders>
            <w:noWrap/>
            <w:vAlign w:val="center"/>
          </w:tcPr>
          <w:p w14:paraId="56813055">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指标4：开拓区域合作新局面，吸引企业赴广投资。</w:t>
            </w:r>
          </w:p>
        </w:tc>
        <w:tc>
          <w:tcPr>
            <w:tcW w:w="460" w:type="pct"/>
            <w:gridSpan w:val="2"/>
            <w:tcBorders>
              <w:top w:val="single" w:color="000000" w:sz="4" w:space="0"/>
              <w:left w:val="single" w:color="000000" w:sz="4" w:space="0"/>
              <w:bottom w:val="single" w:color="000000" w:sz="4" w:space="0"/>
              <w:right w:val="single" w:color="000000" w:sz="4" w:space="0"/>
            </w:tcBorders>
            <w:noWrap/>
            <w:vAlign w:val="center"/>
          </w:tcPr>
          <w:p w14:paraId="02F145AA">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定性</w:t>
            </w:r>
          </w:p>
        </w:tc>
        <w:tc>
          <w:tcPr>
            <w:tcW w:w="1058" w:type="pct"/>
            <w:tcBorders>
              <w:top w:val="single" w:color="000000" w:sz="4" w:space="0"/>
              <w:left w:val="single" w:color="000000" w:sz="4" w:space="0"/>
              <w:bottom w:val="single" w:color="000000" w:sz="4" w:space="0"/>
              <w:right w:val="single" w:color="000000" w:sz="4" w:space="0"/>
            </w:tcBorders>
            <w:noWrap/>
            <w:vAlign w:val="center"/>
          </w:tcPr>
          <w:p w14:paraId="0F369394">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持续发挥好的社会效益，有利于更好促进全市区域协同发展。</w:t>
            </w:r>
          </w:p>
        </w:tc>
        <w:tc>
          <w:tcPr>
            <w:tcW w:w="222" w:type="pct"/>
            <w:gridSpan w:val="2"/>
            <w:tcBorders>
              <w:top w:val="single" w:color="000000" w:sz="4" w:space="0"/>
              <w:left w:val="single" w:color="000000" w:sz="4" w:space="0"/>
              <w:bottom w:val="single" w:color="000000" w:sz="4" w:space="0"/>
              <w:right w:val="single" w:color="000000" w:sz="4" w:space="0"/>
            </w:tcBorders>
            <w:noWrap/>
            <w:vAlign w:val="center"/>
          </w:tcPr>
          <w:p w14:paraId="76B11C5E">
            <w:pPr>
              <w:keepNext w:val="0"/>
              <w:keepLines w:val="0"/>
              <w:suppressLineNumbers w:val="0"/>
              <w:spacing w:before="0" w:beforeAutospacing="0" w:after="0" w:afterAutospacing="0" w:line="260" w:lineRule="exact"/>
              <w:ind w:left="0" w:right="0"/>
              <w:jc w:val="center"/>
              <w:rPr>
                <w:rFonts w:hint="eastAsia" w:ascii="宋体" w:eastAsia="宋体" w:cs="宋体"/>
                <w:color w:val="000000"/>
                <w:sz w:val="20"/>
                <w:szCs w:val="20"/>
              </w:rPr>
            </w:pPr>
          </w:p>
        </w:tc>
        <w:tc>
          <w:tcPr>
            <w:tcW w:w="349" w:type="pct"/>
            <w:gridSpan w:val="2"/>
            <w:tcBorders>
              <w:top w:val="single" w:color="000000" w:sz="4" w:space="0"/>
              <w:left w:val="single" w:color="000000" w:sz="4" w:space="0"/>
              <w:bottom w:val="single" w:color="000000" w:sz="4" w:space="0"/>
              <w:right w:val="single" w:color="000000" w:sz="4" w:space="0"/>
            </w:tcBorders>
            <w:noWrap/>
            <w:vAlign w:val="center"/>
          </w:tcPr>
          <w:p w14:paraId="790B9CEF">
            <w:pPr>
              <w:keepNext w:val="0"/>
              <w:keepLines w:val="0"/>
              <w:suppressLineNumbers w:val="0"/>
              <w:spacing w:before="0" w:beforeAutospacing="0" w:after="0" w:afterAutospacing="0" w:line="260" w:lineRule="exact"/>
              <w:ind w:left="0" w:right="0"/>
              <w:jc w:val="left"/>
              <w:rPr>
                <w:rFonts w:hint="eastAsia" w:ascii="宋体" w:eastAsia="宋体" w:cs="宋体"/>
                <w:color w:val="000000"/>
                <w:sz w:val="20"/>
                <w:szCs w:val="20"/>
              </w:rPr>
            </w:pPr>
          </w:p>
        </w:tc>
        <w:tc>
          <w:tcPr>
            <w:tcW w:w="1110" w:type="pct"/>
            <w:gridSpan w:val="5"/>
            <w:tcBorders>
              <w:top w:val="single" w:color="000000" w:sz="4" w:space="0"/>
              <w:left w:val="single" w:color="000000" w:sz="4" w:space="0"/>
              <w:bottom w:val="single" w:color="000000" w:sz="4" w:space="0"/>
              <w:right w:val="single" w:color="000000" w:sz="4" w:space="0"/>
            </w:tcBorders>
            <w:noWrap/>
            <w:vAlign w:val="center"/>
          </w:tcPr>
          <w:p w14:paraId="7B88CF94">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持续发挥好的社会效益，有利于更好促进全市区域协同发展。</w:t>
            </w:r>
          </w:p>
        </w:tc>
      </w:tr>
      <w:tr w14:paraId="60B7B047">
        <w:tblPrEx>
          <w:tblCellMar>
            <w:top w:w="0" w:type="dxa"/>
            <w:left w:w="108" w:type="dxa"/>
            <w:bottom w:w="0" w:type="dxa"/>
            <w:right w:w="108" w:type="dxa"/>
          </w:tblCellMar>
        </w:tblPrEx>
        <w:trPr>
          <w:trHeight w:val="1100" w:hRule="atLeast"/>
        </w:trPr>
        <w:tc>
          <w:tcPr>
            <w:tcW w:w="201" w:type="pct"/>
            <w:vMerge w:val="continue"/>
            <w:tcBorders>
              <w:top w:val="single" w:color="auto" w:sz="4" w:space="0"/>
              <w:left w:val="single" w:color="auto" w:sz="4" w:space="0"/>
              <w:bottom w:val="single" w:color="auto" w:sz="4" w:space="0"/>
              <w:right w:val="single" w:color="auto" w:sz="4" w:space="0"/>
            </w:tcBorders>
            <w:noWrap/>
            <w:vAlign w:val="center"/>
          </w:tcPr>
          <w:p w14:paraId="283F3334">
            <w:pPr>
              <w:keepNext w:val="0"/>
              <w:keepLines w:val="0"/>
              <w:suppressLineNumbers w:val="0"/>
              <w:spacing w:before="0" w:beforeAutospacing="0" w:after="0" w:afterAutospacing="0" w:line="260" w:lineRule="exact"/>
              <w:ind w:left="0" w:right="0"/>
              <w:rPr>
                <w:rFonts w:hint="default"/>
              </w:rPr>
            </w:pPr>
          </w:p>
        </w:tc>
        <w:tc>
          <w:tcPr>
            <w:tcW w:w="248" w:type="pct"/>
            <w:gridSpan w:val="2"/>
            <w:vMerge w:val="continue"/>
            <w:tcBorders>
              <w:top w:val="single" w:color="auto" w:sz="4" w:space="0"/>
              <w:left w:val="single" w:color="auto" w:sz="4" w:space="0"/>
              <w:bottom w:val="single" w:color="auto" w:sz="4" w:space="0"/>
              <w:right w:val="single" w:color="auto" w:sz="4" w:space="0"/>
            </w:tcBorders>
            <w:noWrap/>
            <w:vAlign w:val="center"/>
          </w:tcPr>
          <w:p w14:paraId="6904DC5B">
            <w:pPr>
              <w:keepNext w:val="0"/>
              <w:keepLines w:val="0"/>
              <w:suppressLineNumbers w:val="0"/>
              <w:spacing w:before="0" w:beforeAutospacing="0" w:after="0" w:afterAutospacing="0" w:line="260" w:lineRule="exact"/>
              <w:ind w:left="0" w:right="0"/>
              <w:rPr>
                <w:rFonts w:hint="default"/>
              </w:rPr>
            </w:pPr>
          </w:p>
        </w:tc>
        <w:tc>
          <w:tcPr>
            <w:tcW w:w="423" w:type="pct"/>
            <w:gridSpan w:val="2"/>
            <w:vMerge w:val="restart"/>
            <w:tcBorders>
              <w:top w:val="single" w:color="auto" w:sz="4" w:space="0"/>
              <w:left w:val="single" w:color="auto" w:sz="4" w:space="0"/>
              <w:bottom w:val="single" w:color="auto" w:sz="4" w:space="0"/>
              <w:right w:val="single" w:color="auto" w:sz="4" w:space="0"/>
            </w:tcBorders>
            <w:noWrap/>
            <w:vAlign w:val="center"/>
          </w:tcPr>
          <w:p w14:paraId="108FD395">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可持续影响指标</w:t>
            </w:r>
          </w:p>
        </w:tc>
        <w:tc>
          <w:tcPr>
            <w:tcW w:w="925" w:type="pct"/>
            <w:gridSpan w:val="4"/>
            <w:tcBorders>
              <w:top w:val="single" w:color="000000" w:sz="4" w:space="0"/>
              <w:left w:val="single" w:color="auto" w:sz="4" w:space="0"/>
              <w:bottom w:val="single" w:color="000000" w:sz="4" w:space="0"/>
              <w:right w:val="single" w:color="000000" w:sz="4" w:space="0"/>
            </w:tcBorders>
            <w:noWrap/>
            <w:vAlign w:val="center"/>
          </w:tcPr>
          <w:p w14:paraId="7F0AE250">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 xml:space="preserve"> 指标1：突出重点项目可持续影响力</w:t>
            </w:r>
          </w:p>
        </w:tc>
        <w:tc>
          <w:tcPr>
            <w:tcW w:w="460" w:type="pct"/>
            <w:gridSpan w:val="2"/>
            <w:tcBorders>
              <w:top w:val="single" w:color="000000" w:sz="4" w:space="0"/>
              <w:left w:val="single" w:color="000000" w:sz="4" w:space="0"/>
              <w:bottom w:val="single" w:color="000000" w:sz="4" w:space="0"/>
              <w:right w:val="single" w:color="000000" w:sz="4" w:space="0"/>
            </w:tcBorders>
            <w:noWrap/>
            <w:vAlign w:val="center"/>
          </w:tcPr>
          <w:p w14:paraId="4AF8E166">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定性</w:t>
            </w:r>
          </w:p>
        </w:tc>
        <w:tc>
          <w:tcPr>
            <w:tcW w:w="1058" w:type="pct"/>
            <w:tcBorders>
              <w:top w:val="single" w:color="000000" w:sz="4" w:space="0"/>
              <w:left w:val="single" w:color="000000" w:sz="4" w:space="0"/>
              <w:bottom w:val="single" w:color="000000" w:sz="4" w:space="0"/>
              <w:right w:val="single" w:color="000000" w:sz="4" w:space="0"/>
            </w:tcBorders>
            <w:noWrap/>
            <w:vAlign w:val="center"/>
          </w:tcPr>
          <w:p w14:paraId="1248015B">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以重点项目示范带动作用，促进全市投资持续增长。</w:t>
            </w:r>
          </w:p>
        </w:tc>
        <w:tc>
          <w:tcPr>
            <w:tcW w:w="222" w:type="pct"/>
            <w:gridSpan w:val="2"/>
            <w:tcBorders>
              <w:top w:val="single" w:color="000000" w:sz="4" w:space="0"/>
              <w:left w:val="single" w:color="000000" w:sz="4" w:space="0"/>
              <w:bottom w:val="single" w:color="000000" w:sz="4" w:space="0"/>
              <w:right w:val="single" w:color="000000" w:sz="4" w:space="0"/>
            </w:tcBorders>
            <w:noWrap/>
            <w:vAlign w:val="center"/>
          </w:tcPr>
          <w:p w14:paraId="72D5A3F5">
            <w:pPr>
              <w:keepNext w:val="0"/>
              <w:keepLines w:val="0"/>
              <w:suppressLineNumbers w:val="0"/>
              <w:spacing w:before="0" w:beforeAutospacing="0" w:after="0" w:afterAutospacing="0" w:line="260" w:lineRule="exact"/>
              <w:ind w:left="0" w:right="0"/>
              <w:jc w:val="center"/>
              <w:rPr>
                <w:rFonts w:hint="eastAsia" w:ascii="宋体" w:eastAsia="宋体" w:cs="宋体"/>
                <w:color w:val="000000"/>
                <w:sz w:val="20"/>
                <w:szCs w:val="20"/>
              </w:rPr>
            </w:pPr>
          </w:p>
        </w:tc>
        <w:tc>
          <w:tcPr>
            <w:tcW w:w="349" w:type="pct"/>
            <w:gridSpan w:val="2"/>
            <w:tcBorders>
              <w:top w:val="single" w:color="000000" w:sz="4" w:space="0"/>
              <w:left w:val="single" w:color="000000" w:sz="4" w:space="0"/>
              <w:bottom w:val="single" w:color="000000" w:sz="4" w:space="0"/>
              <w:right w:val="single" w:color="000000" w:sz="4" w:space="0"/>
            </w:tcBorders>
            <w:noWrap/>
            <w:vAlign w:val="center"/>
          </w:tcPr>
          <w:p w14:paraId="66E660A2">
            <w:pPr>
              <w:keepNext w:val="0"/>
              <w:keepLines w:val="0"/>
              <w:suppressLineNumbers w:val="0"/>
              <w:spacing w:before="0" w:beforeAutospacing="0" w:after="0" w:afterAutospacing="0" w:line="260" w:lineRule="exact"/>
              <w:ind w:left="0" w:right="0"/>
              <w:jc w:val="left"/>
              <w:rPr>
                <w:rFonts w:hint="eastAsia" w:ascii="宋体" w:eastAsia="宋体" w:cs="宋体"/>
                <w:color w:val="000000"/>
                <w:sz w:val="20"/>
                <w:szCs w:val="20"/>
              </w:rPr>
            </w:pPr>
          </w:p>
        </w:tc>
        <w:tc>
          <w:tcPr>
            <w:tcW w:w="1110" w:type="pct"/>
            <w:gridSpan w:val="5"/>
            <w:tcBorders>
              <w:top w:val="single" w:color="000000" w:sz="4" w:space="0"/>
              <w:left w:val="single" w:color="000000" w:sz="4" w:space="0"/>
              <w:bottom w:val="single" w:color="000000" w:sz="4" w:space="0"/>
              <w:right w:val="single" w:color="000000" w:sz="4" w:space="0"/>
            </w:tcBorders>
            <w:noWrap/>
            <w:vAlign w:val="center"/>
          </w:tcPr>
          <w:p w14:paraId="44A858C0">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坚持月调度工作机制，相关市领导先后召开专题调度会议10余次，印发工作通报20期。按季度对重点项目推进情况开展现场督查核实、精准督办，对推进滞后的项目“点对点”发出提醒敦促函70余份。</w:t>
            </w:r>
          </w:p>
        </w:tc>
      </w:tr>
      <w:tr w14:paraId="64CF9431">
        <w:tblPrEx>
          <w:tblCellMar>
            <w:top w:w="0" w:type="dxa"/>
            <w:left w:w="108" w:type="dxa"/>
            <w:bottom w:w="0" w:type="dxa"/>
            <w:right w:w="108" w:type="dxa"/>
          </w:tblCellMar>
        </w:tblPrEx>
        <w:trPr>
          <w:trHeight w:val="1000" w:hRule="atLeast"/>
        </w:trPr>
        <w:tc>
          <w:tcPr>
            <w:tcW w:w="201" w:type="pct"/>
            <w:vMerge w:val="continue"/>
            <w:tcBorders>
              <w:top w:val="single" w:color="auto" w:sz="4" w:space="0"/>
              <w:left w:val="single" w:color="000000" w:sz="4" w:space="0"/>
              <w:right w:val="single" w:color="000000" w:sz="4" w:space="0"/>
            </w:tcBorders>
            <w:noWrap/>
            <w:vAlign w:val="center"/>
          </w:tcPr>
          <w:p w14:paraId="2FFA0D8C">
            <w:pPr>
              <w:keepNext w:val="0"/>
              <w:keepLines w:val="0"/>
              <w:suppressLineNumbers w:val="0"/>
              <w:spacing w:before="0" w:beforeAutospacing="0" w:after="0" w:afterAutospacing="0" w:line="260" w:lineRule="exact"/>
              <w:ind w:left="0" w:right="0"/>
              <w:rPr>
                <w:rFonts w:hint="default"/>
              </w:rPr>
            </w:pPr>
          </w:p>
        </w:tc>
        <w:tc>
          <w:tcPr>
            <w:tcW w:w="248" w:type="pct"/>
            <w:gridSpan w:val="2"/>
            <w:vMerge w:val="continue"/>
            <w:tcBorders>
              <w:top w:val="single" w:color="auto" w:sz="4" w:space="0"/>
              <w:left w:val="single" w:color="000000" w:sz="4" w:space="0"/>
              <w:bottom w:val="nil"/>
              <w:right w:val="single" w:color="000000" w:sz="4" w:space="0"/>
            </w:tcBorders>
            <w:noWrap/>
            <w:vAlign w:val="center"/>
          </w:tcPr>
          <w:p w14:paraId="0C16CABC">
            <w:pPr>
              <w:keepNext w:val="0"/>
              <w:keepLines w:val="0"/>
              <w:suppressLineNumbers w:val="0"/>
              <w:spacing w:before="0" w:beforeAutospacing="0" w:after="0" w:afterAutospacing="0" w:line="260" w:lineRule="exact"/>
              <w:ind w:left="0" w:right="0"/>
              <w:rPr>
                <w:rFonts w:hint="default"/>
              </w:rPr>
            </w:pPr>
          </w:p>
        </w:tc>
        <w:tc>
          <w:tcPr>
            <w:tcW w:w="423" w:type="pct"/>
            <w:gridSpan w:val="2"/>
            <w:vMerge w:val="continue"/>
            <w:tcBorders>
              <w:top w:val="single" w:color="auto" w:sz="4" w:space="0"/>
              <w:left w:val="single" w:color="000000" w:sz="4" w:space="0"/>
              <w:bottom w:val="single" w:color="000000" w:sz="4" w:space="0"/>
              <w:right w:val="single" w:color="000000" w:sz="4" w:space="0"/>
            </w:tcBorders>
            <w:noWrap/>
            <w:vAlign w:val="center"/>
          </w:tcPr>
          <w:p w14:paraId="6FBA9A17">
            <w:pPr>
              <w:keepNext w:val="0"/>
              <w:keepLines w:val="0"/>
              <w:suppressLineNumbers w:val="0"/>
              <w:spacing w:before="0" w:beforeAutospacing="0" w:after="0" w:afterAutospacing="0" w:line="260" w:lineRule="exact"/>
              <w:ind w:left="0" w:right="0"/>
              <w:rPr>
                <w:rFonts w:hint="default"/>
              </w:rPr>
            </w:pPr>
          </w:p>
        </w:tc>
        <w:tc>
          <w:tcPr>
            <w:tcW w:w="925" w:type="pct"/>
            <w:gridSpan w:val="4"/>
            <w:tcBorders>
              <w:top w:val="single" w:color="000000" w:sz="4" w:space="0"/>
              <w:left w:val="nil"/>
              <w:bottom w:val="single" w:color="000000" w:sz="4" w:space="0"/>
              <w:right w:val="single" w:color="000000" w:sz="4" w:space="0"/>
            </w:tcBorders>
            <w:noWrap/>
            <w:vAlign w:val="center"/>
          </w:tcPr>
          <w:p w14:paraId="09D5656D">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 xml:space="preserve"> 指标2：低碳城市建设</w:t>
            </w:r>
          </w:p>
        </w:tc>
        <w:tc>
          <w:tcPr>
            <w:tcW w:w="460" w:type="pct"/>
            <w:gridSpan w:val="2"/>
            <w:tcBorders>
              <w:top w:val="single" w:color="000000" w:sz="4" w:space="0"/>
              <w:left w:val="single" w:color="000000" w:sz="4" w:space="0"/>
              <w:bottom w:val="single" w:color="000000" w:sz="4" w:space="0"/>
              <w:right w:val="single" w:color="000000" w:sz="4" w:space="0"/>
            </w:tcBorders>
            <w:noWrap/>
            <w:vAlign w:val="center"/>
          </w:tcPr>
          <w:p w14:paraId="10DB746A">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定性</w:t>
            </w:r>
          </w:p>
        </w:tc>
        <w:tc>
          <w:tcPr>
            <w:tcW w:w="1058" w:type="pct"/>
            <w:tcBorders>
              <w:top w:val="single" w:color="000000" w:sz="4" w:space="0"/>
              <w:left w:val="single" w:color="000000" w:sz="4" w:space="0"/>
              <w:bottom w:val="single" w:color="000000" w:sz="4" w:space="0"/>
              <w:right w:val="single" w:color="000000" w:sz="4" w:space="0"/>
            </w:tcBorders>
            <w:noWrap/>
            <w:vAlign w:val="center"/>
          </w:tcPr>
          <w:p w14:paraId="6B693CBC">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继续推进试点工作，抓好国家生态文明先行示范区建设。</w:t>
            </w:r>
          </w:p>
        </w:tc>
        <w:tc>
          <w:tcPr>
            <w:tcW w:w="222" w:type="pct"/>
            <w:gridSpan w:val="2"/>
            <w:tcBorders>
              <w:top w:val="single" w:color="000000" w:sz="4" w:space="0"/>
              <w:left w:val="single" w:color="000000" w:sz="4" w:space="0"/>
              <w:bottom w:val="single" w:color="000000" w:sz="4" w:space="0"/>
              <w:right w:val="single" w:color="000000" w:sz="4" w:space="0"/>
            </w:tcBorders>
            <w:noWrap/>
            <w:vAlign w:val="center"/>
          </w:tcPr>
          <w:p w14:paraId="23196C0E">
            <w:pPr>
              <w:keepNext w:val="0"/>
              <w:keepLines w:val="0"/>
              <w:suppressLineNumbers w:val="0"/>
              <w:spacing w:before="0" w:beforeAutospacing="0" w:after="0" w:afterAutospacing="0" w:line="260" w:lineRule="exact"/>
              <w:ind w:left="0" w:right="0"/>
              <w:jc w:val="center"/>
              <w:rPr>
                <w:rFonts w:hint="eastAsia" w:ascii="宋体" w:eastAsia="宋体" w:cs="宋体"/>
                <w:color w:val="000000"/>
                <w:sz w:val="20"/>
                <w:szCs w:val="20"/>
              </w:rPr>
            </w:pPr>
          </w:p>
        </w:tc>
        <w:tc>
          <w:tcPr>
            <w:tcW w:w="349" w:type="pct"/>
            <w:gridSpan w:val="2"/>
            <w:tcBorders>
              <w:top w:val="single" w:color="000000" w:sz="4" w:space="0"/>
              <w:left w:val="single" w:color="000000" w:sz="4" w:space="0"/>
              <w:bottom w:val="single" w:color="000000" w:sz="4" w:space="0"/>
              <w:right w:val="single" w:color="000000" w:sz="4" w:space="0"/>
            </w:tcBorders>
            <w:noWrap/>
            <w:vAlign w:val="center"/>
          </w:tcPr>
          <w:p w14:paraId="7435CDD1">
            <w:pPr>
              <w:keepNext w:val="0"/>
              <w:keepLines w:val="0"/>
              <w:suppressLineNumbers w:val="0"/>
              <w:spacing w:before="0" w:beforeAutospacing="0" w:after="0" w:afterAutospacing="0" w:line="260" w:lineRule="exact"/>
              <w:ind w:left="0" w:right="0"/>
              <w:jc w:val="left"/>
              <w:rPr>
                <w:rFonts w:hint="eastAsia" w:ascii="宋体" w:eastAsia="宋体" w:cs="宋体"/>
                <w:color w:val="000000"/>
                <w:sz w:val="20"/>
                <w:szCs w:val="20"/>
              </w:rPr>
            </w:pPr>
          </w:p>
        </w:tc>
        <w:tc>
          <w:tcPr>
            <w:tcW w:w="1110" w:type="pct"/>
            <w:gridSpan w:val="5"/>
            <w:tcBorders>
              <w:top w:val="single" w:color="000000" w:sz="4" w:space="0"/>
              <w:left w:val="single" w:color="000000" w:sz="4" w:space="0"/>
              <w:bottom w:val="single" w:color="000000" w:sz="4" w:space="0"/>
              <w:right w:val="single" w:color="000000" w:sz="4" w:space="0"/>
            </w:tcBorders>
            <w:noWrap/>
            <w:vAlign w:val="center"/>
          </w:tcPr>
          <w:p w14:paraId="43A1C263">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继续推进试点工作，抓好国家生态文明先行示范区建设。</w:t>
            </w:r>
          </w:p>
        </w:tc>
      </w:tr>
      <w:tr w14:paraId="4C347A57">
        <w:tblPrEx>
          <w:tblCellMar>
            <w:top w:w="0" w:type="dxa"/>
            <w:left w:w="108" w:type="dxa"/>
            <w:bottom w:w="0" w:type="dxa"/>
            <w:right w:w="108" w:type="dxa"/>
          </w:tblCellMar>
        </w:tblPrEx>
        <w:trPr>
          <w:trHeight w:val="1320" w:hRule="atLeast"/>
        </w:trPr>
        <w:tc>
          <w:tcPr>
            <w:tcW w:w="201" w:type="pct"/>
            <w:vMerge w:val="continue"/>
            <w:tcBorders>
              <w:left w:val="single" w:color="000000" w:sz="4" w:space="0"/>
              <w:right w:val="single" w:color="000000" w:sz="4" w:space="0"/>
            </w:tcBorders>
            <w:noWrap/>
            <w:vAlign w:val="center"/>
          </w:tcPr>
          <w:p w14:paraId="018A9C8E">
            <w:pPr>
              <w:keepNext w:val="0"/>
              <w:keepLines w:val="0"/>
              <w:suppressLineNumbers w:val="0"/>
              <w:spacing w:before="0" w:beforeAutospacing="0" w:after="0" w:afterAutospacing="0" w:line="260" w:lineRule="exact"/>
              <w:ind w:left="0" w:right="0"/>
              <w:rPr>
                <w:rFonts w:hint="default"/>
              </w:rPr>
            </w:pPr>
          </w:p>
        </w:tc>
        <w:tc>
          <w:tcPr>
            <w:tcW w:w="248" w:type="pct"/>
            <w:gridSpan w:val="2"/>
            <w:vMerge w:val="continue"/>
            <w:tcBorders>
              <w:top w:val="single" w:color="000000" w:sz="4" w:space="0"/>
              <w:left w:val="single" w:color="000000" w:sz="4" w:space="0"/>
              <w:bottom w:val="nil"/>
              <w:right w:val="single" w:color="000000" w:sz="4" w:space="0"/>
            </w:tcBorders>
            <w:noWrap/>
            <w:vAlign w:val="center"/>
          </w:tcPr>
          <w:p w14:paraId="594731C2">
            <w:pPr>
              <w:keepNext w:val="0"/>
              <w:keepLines w:val="0"/>
              <w:suppressLineNumbers w:val="0"/>
              <w:spacing w:before="0" w:beforeAutospacing="0" w:after="0" w:afterAutospacing="0" w:line="260" w:lineRule="exact"/>
              <w:ind w:left="0" w:right="0"/>
              <w:rPr>
                <w:rFonts w:hint="default"/>
              </w:rPr>
            </w:pPr>
          </w:p>
        </w:tc>
        <w:tc>
          <w:tcPr>
            <w:tcW w:w="423" w:type="pct"/>
            <w:gridSpan w:val="2"/>
            <w:vMerge w:val="continue"/>
            <w:tcBorders>
              <w:top w:val="single" w:color="000000" w:sz="4" w:space="0"/>
              <w:left w:val="single" w:color="000000" w:sz="4" w:space="0"/>
              <w:bottom w:val="single" w:color="000000" w:sz="4" w:space="0"/>
              <w:right w:val="single" w:color="000000" w:sz="4" w:space="0"/>
            </w:tcBorders>
            <w:noWrap/>
            <w:vAlign w:val="center"/>
          </w:tcPr>
          <w:p w14:paraId="1B25D30B">
            <w:pPr>
              <w:keepNext w:val="0"/>
              <w:keepLines w:val="0"/>
              <w:suppressLineNumbers w:val="0"/>
              <w:spacing w:before="0" w:beforeAutospacing="0" w:after="0" w:afterAutospacing="0" w:line="260" w:lineRule="exact"/>
              <w:ind w:left="0" w:right="0"/>
              <w:rPr>
                <w:rFonts w:hint="default"/>
              </w:rPr>
            </w:pPr>
          </w:p>
        </w:tc>
        <w:tc>
          <w:tcPr>
            <w:tcW w:w="925" w:type="pct"/>
            <w:gridSpan w:val="4"/>
            <w:tcBorders>
              <w:top w:val="single" w:color="000000" w:sz="4" w:space="0"/>
              <w:left w:val="nil"/>
              <w:bottom w:val="single" w:color="000000" w:sz="4" w:space="0"/>
              <w:right w:val="single" w:color="000000" w:sz="4" w:space="0"/>
            </w:tcBorders>
            <w:noWrap/>
            <w:vAlign w:val="center"/>
          </w:tcPr>
          <w:p w14:paraId="7D2E8862">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 xml:space="preserve"> 指标3：维护本地粮食安全</w:t>
            </w:r>
          </w:p>
        </w:tc>
        <w:tc>
          <w:tcPr>
            <w:tcW w:w="460" w:type="pct"/>
            <w:gridSpan w:val="2"/>
            <w:tcBorders>
              <w:top w:val="single" w:color="000000" w:sz="4" w:space="0"/>
              <w:left w:val="single" w:color="000000" w:sz="4" w:space="0"/>
              <w:bottom w:val="single" w:color="000000" w:sz="4" w:space="0"/>
              <w:right w:val="single" w:color="000000" w:sz="4" w:space="0"/>
            </w:tcBorders>
            <w:noWrap/>
            <w:vAlign w:val="center"/>
          </w:tcPr>
          <w:p w14:paraId="12818661">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定性</w:t>
            </w:r>
          </w:p>
        </w:tc>
        <w:tc>
          <w:tcPr>
            <w:tcW w:w="1058" w:type="pct"/>
            <w:tcBorders>
              <w:top w:val="single" w:color="000000" w:sz="4" w:space="0"/>
              <w:left w:val="single" w:color="000000" w:sz="4" w:space="0"/>
              <w:bottom w:val="single" w:color="000000" w:sz="4" w:space="0"/>
              <w:right w:val="single" w:color="000000" w:sz="4" w:space="0"/>
            </w:tcBorders>
            <w:noWrap/>
            <w:vAlign w:val="center"/>
          </w:tcPr>
          <w:p w14:paraId="64BF4A7C">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通过动态监测，掌握本地重金属污染实际情况，为重金属防治工作提供指导，防止我市发生粮食安全事故，维护本地粮食安全。</w:t>
            </w:r>
          </w:p>
        </w:tc>
        <w:tc>
          <w:tcPr>
            <w:tcW w:w="222" w:type="pct"/>
            <w:gridSpan w:val="2"/>
            <w:tcBorders>
              <w:top w:val="single" w:color="000000" w:sz="4" w:space="0"/>
              <w:left w:val="single" w:color="000000" w:sz="4" w:space="0"/>
              <w:bottom w:val="single" w:color="000000" w:sz="4" w:space="0"/>
              <w:right w:val="single" w:color="000000" w:sz="4" w:space="0"/>
            </w:tcBorders>
            <w:noWrap/>
            <w:vAlign w:val="center"/>
          </w:tcPr>
          <w:p w14:paraId="203C401B">
            <w:pPr>
              <w:keepNext w:val="0"/>
              <w:keepLines w:val="0"/>
              <w:suppressLineNumbers w:val="0"/>
              <w:spacing w:before="0" w:beforeAutospacing="0" w:after="0" w:afterAutospacing="0" w:line="260" w:lineRule="exact"/>
              <w:ind w:left="0" w:right="0"/>
              <w:jc w:val="center"/>
              <w:rPr>
                <w:rFonts w:hint="eastAsia" w:ascii="宋体" w:eastAsia="宋体" w:cs="宋体"/>
                <w:color w:val="000000"/>
                <w:sz w:val="20"/>
                <w:szCs w:val="20"/>
              </w:rPr>
            </w:pPr>
          </w:p>
        </w:tc>
        <w:tc>
          <w:tcPr>
            <w:tcW w:w="349" w:type="pct"/>
            <w:gridSpan w:val="2"/>
            <w:tcBorders>
              <w:top w:val="single" w:color="000000" w:sz="4" w:space="0"/>
              <w:left w:val="single" w:color="000000" w:sz="4" w:space="0"/>
              <w:bottom w:val="single" w:color="000000" w:sz="4" w:space="0"/>
              <w:right w:val="single" w:color="000000" w:sz="4" w:space="0"/>
            </w:tcBorders>
            <w:noWrap/>
            <w:vAlign w:val="center"/>
          </w:tcPr>
          <w:p w14:paraId="11E3BBA3">
            <w:pPr>
              <w:keepNext w:val="0"/>
              <w:keepLines w:val="0"/>
              <w:suppressLineNumbers w:val="0"/>
              <w:spacing w:before="0" w:beforeAutospacing="0" w:after="0" w:afterAutospacing="0" w:line="260" w:lineRule="exact"/>
              <w:ind w:left="0" w:right="0"/>
              <w:jc w:val="left"/>
              <w:rPr>
                <w:rFonts w:hint="eastAsia" w:ascii="宋体" w:eastAsia="宋体" w:cs="宋体"/>
                <w:color w:val="000000"/>
                <w:sz w:val="20"/>
                <w:szCs w:val="20"/>
              </w:rPr>
            </w:pPr>
          </w:p>
        </w:tc>
        <w:tc>
          <w:tcPr>
            <w:tcW w:w="1110" w:type="pct"/>
            <w:gridSpan w:val="5"/>
            <w:tcBorders>
              <w:top w:val="single" w:color="000000" w:sz="4" w:space="0"/>
              <w:left w:val="single" w:color="000000" w:sz="4" w:space="0"/>
              <w:bottom w:val="single" w:color="000000" w:sz="4" w:space="0"/>
              <w:right w:val="single" w:color="000000" w:sz="4" w:space="0"/>
            </w:tcBorders>
            <w:noWrap/>
            <w:vAlign w:val="center"/>
          </w:tcPr>
          <w:p w14:paraId="74638E08">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持续维护本地粮食安全</w:t>
            </w:r>
          </w:p>
        </w:tc>
      </w:tr>
      <w:tr w14:paraId="4CAE3356">
        <w:tblPrEx>
          <w:tblCellMar>
            <w:top w:w="0" w:type="dxa"/>
            <w:left w:w="108" w:type="dxa"/>
            <w:bottom w:w="0" w:type="dxa"/>
            <w:right w:w="108" w:type="dxa"/>
          </w:tblCellMar>
        </w:tblPrEx>
        <w:trPr>
          <w:trHeight w:val="803" w:hRule="atLeast"/>
        </w:trPr>
        <w:tc>
          <w:tcPr>
            <w:tcW w:w="201" w:type="pct"/>
            <w:vMerge w:val="continue"/>
            <w:tcBorders>
              <w:left w:val="single" w:color="000000" w:sz="4" w:space="0"/>
              <w:right w:val="single" w:color="000000" w:sz="4" w:space="0"/>
            </w:tcBorders>
            <w:noWrap/>
            <w:vAlign w:val="center"/>
          </w:tcPr>
          <w:p w14:paraId="5C8ECF17">
            <w:pPr>
              <w:keepNext w:val="0"/>
              <w:keepLines w:val="0"/>
              <w:suppressLineNumbers w:val="0"/>
              <w:spacing w:before="0" w:beforeAutospacing="0" w:after="0" w:afterAutospacing="0" w:line="260" w:lineRule="exact"/>
              <w:ind w:left="0" w:right="0"/>
              <w:rPr>
                <w:rFonts w:hint="default"/>
              </w:rPr>
            </w:pPr>
          </w:p>
        </w:tc>
        <w:tc>
          <w:tcPr>
            <w:tcW w:w="248" w:type="pct"/>
            <w:gridSpan w:val="2"/>
            <w:vMerge w:val="continue"/>
            <w:tcBorders>
              <w:top w:val="single" w:color="000000" w:sz="4" w:space="0"/>
              <w:left w:val="single" w:color="000000" w:sz="4" w:space="0"/>
              <w:bottom w:val="nil"/>
              <w:right w:val="single" w:color="000000" w:sz="4" w:space="0"/>
            </w:tcBorders>
            <w:noWrap/>
            <w:vAlign w:val="center"/>
          </w:tcPr>
          <w:p w14:paraId="7A7665C4">
            <w:pPr>
              <w:keepNext w:val="0"/>
              <w:keepLines w:val="0"/>
              <w:suppressLineNumbers w:val="0"/>
              <w:spacing w:before="0" w:beforeAutospacing="0" w:after="0" w:afterAutospacing="0" w:line="260" w:lineRule="exact"/>
              <w:ind w:left="0" w:right="0"/>
              <w:rPr>
                <w:rFonts w:hint="default"/>
              </w:rPr>
            </w:pPr>
          </w:p>
        </w:tc>
        <w:tc>
          <w:tcPr>
            <w:tcW w:w="423" w:type="pct"/>
            <w:gridSpan w:val="2"/>
            <w:vMerge w:val="continue"/>
            <w:tcBorders>
              <w:top w:val="single" w:color="000000" w:sz="4" w:space="0"/>
              <w:left w:val="single" w:color="000000" w:sz="4" w:space="0"/>
              <w:bottom w:val="nil"/>
              <w:right w:val="single" w:color="000000" w:sz="4" w:space="0"/>
            </w:tcBorders>
            <w:noWrap/>
            <w:vAlign w:val="center"/>
          </w:tcPr>
          <w:p w14:paraId="0338FDA2">
            <w:pPr>
              <w:keepNext w:val="0"/>
              <w:keepLines w:val="0"/>
              <w:suppressLineNumbers w:val="0"/>
              <w:spacing w:before="0" w:beforeAutospacing="0" w:after="0" w:afterAutospacing="0" w:line="260" w:lineRule="exact"/>
              <w:ind w:left="0" w:right="0"/>
              <w:rPr>
                <w:rFonts w:hint="default"/>
              </w:rPr>
            </w:pPr>
          </w:p>
        </w:tc>
        <w:tc>
          <w:tcPr>
            <w:tcW w:w="925" w:type="pct"/>
            <w:gridSpan w:val="4"/>
            <w:tcBorders>
              <w:top w:val="single" w:color="000000" w:sz="4" w:space="0"/>
              <w:left w:val="nil"/>
              <w:bottom w:val="single" w:color="000000" w:sz="4" w:space="0"/>
              <w:right w:val="single" w:color="000000" w:sz="4" w:space="0"/>
            </w:tcBorders>
            <w:noWrap/>
            <w:vAlign w:val="center"/>
          </w:tcPr>
          <w:p w14:paraId="0DBAE0F0">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 xml:space="preserve"> 指标4：救灾物资储备管理工作的开展将持续发挥良好的社会效益</w:t>
            </w:r>
          </w:p>
        </w:tc>
        <w:tc>
          <w:tcPr>
            <w:tcW w:w="460" w:type="pct"/>
            <w:gridSpan w:val="2"/>
            <w:tcBorders>
              <w:top w:val="single" w:color="000000" w:sz="4" w:space="0"/>
              <w:left w:val="single" w:color="000000" w:sz="4" w:space="0"/>
              <w:bottom w:val="single" w:color="000000" w:sz="4" w:space="0"/>
              <w:right w:val="single" w:color="000000" w:sz="4" w:space="0"/>
            </w:tcBorders>
            <w:noWrap/>
            <w:vAlign w:val="center"/>
          </w:tcPr>
          <w:p w14:paraId="32019FC9">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定性</w:t>
            </w:r>
          </w:p>
        </w:tc>
        <w:tc>
          <w:tcPr>
            <w:tcW w:w="1058" w:type="pct"/>
            <w:tcBorders>
              <w:top w:val="single" w:color="000000" w:sz="4" w:space="0"/>
              <w:left w:val="single" w:color="000000" w:sz="4" w:space="0"/>
              <w:bottom w:val="single" w:color="000000" w:sz="4" w:space="0"/>
              <w:right w:val="single" w:color="000000" w:sz="4" w:space="0"/>
            </w:tcBorders>
            <w:noWrap/>
            <w:vAlign w:val="center"/>
          </w:tcPr>
          <w:p w14:paraId="560FB0B2">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及时有效提高应急处突能力，确保社会稳定。品的污染。</w:t>
            </w:r>
          </w:p>
        </w:tc>
        <w:tc>
          <w:tcPr>
            <w:tcW w:w="222" w:type="pct"/>
            <w:gridSpan w:val="2"/>
            <w:tcBorders>
              <w:top w:val="single" w:color="000000" w:sz="4" w:space="0"/>
              <w:left w:val="single" w:color="000000" w:sz="4" w:space="0"/>
              <w:bottom w:val="single" w:color="000000" w:sz="4" w:space="0"/>
              <w:right w:val="single" w:color="000000" w:sz="4" w:space="0"/>
            </w:tcBorders>
            <w:noWrap/>
            <w:vAlign w:val="center"/>
          </w:tcPr>
          <w:p w14:paraId="0DE8A976">
            <w:pPr>
              <w:keepNext w:val="0"/>
              <w:keepLines w:val="0"/>
              <w:suppressLineNumbers w:val="0"/>
              <w:spacing w:before="0" w:beforeAutospacing="0" w:after="0" w:afterAutospacing="0" w:line="260" w:lineRule="exact"/>
              <w:ind w:left="0" w:right="0"/>
              <w:jc w:val="center"/>
              <w:rPr>
                <w:rFonts w:hint="eastAsia" w:ascii="宋体" w:eastAsia="宋体" w:cs="宋体"/>
                <w:color w:val="000000"/>
                <w:sz w:val="20"/>
                <w:szCs w:val="20"/>
              </w:rPr>
            </w:pPr>
          </w:p>
        </w:tc>
        <w:tc>
          <w:tcPr>
            <w:tcW w:w="349" w:type="pct"/>
            <w:gridSpan w:val="2"/>
            <w:tcBorders>
              <w:top w:val="single" w:color="000000" w:sz="4" w:space="0"/>
              <w:left w:val="single" w:color="000000" w:sz="4" w:space="0"/>
              <w:bottom w:val="single" w:color="000000" w:sz="4" w:space="0"/>
              <w:right w:val="single" w:color="000000" w:sz="4" w:space="0"/>
            </w:tcBorders>
            <w:noWrap/>
            <w:vAlign w:val="center"/>
          </w:tcPr>
          <w:p w14:paraId="3D3F7D13">
            <w:pPr>
              <w:keepNext w:val="0"/>
              <w:keepLines w:val="0"/>
              <w:suppressLineNumbers w:val="0"/>
              <w:spacing w:before="0" w:beforeAutospacing="0" w:after="0" w:afterAutospacing="0" w:line="260" w:lineRule="exact"/>
              <w:ind w:left="0" w:right="0"/>
              <w:jc w:val="center"/>
              <w:rPr>
                <w:rFonts w:hint="eastAsia" w:ascii="宋体" w:eastAsia="宋体" w:cs="宋体"/>
                <w:color w:val="000000"/>
                <w:sz w:val="20"/>
                <w:szCs w:val="20"/>
              </w:rPr>
            </w:pPr>
          </w:p>
        </w:tc>
        <w:tc>
          <w:tcPr>
            <w:tcW w:w="1110" w:type="pct"/>
            <w:gridSpan w:val="5"/>
            <w:tcBorders>
              <w:top w:val="single" w:color="000000" w:sz="4" w:space="0"/>
              <w:left w:val="single" w:color="000000" w:sz="4" w:space="0"/>
              <w:bottom w:val="single" w:color="000000" w:sz="4" w:space="0"/>
              <w:right w:val="single" w:color="000000" w:sz="4" w:space="0"/>
            </w:tcBorders>
            <w:noWrap/>
            <w:vAlign w:val="center"/>
          </w:tcPr>
          <w:p w14:paraId="2AA5ECA8">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发放棉被9004床，帐篷5顶，遮阳篷3顶，棉大衣3478件。确保社会稳定。</w:t>
            </w:r>
          </w:p>
        </w:tc>
      </w:tr>
      <w:tr w14:paraId="5FAD129B">
        <w:tblPrEx>
          <w:tblCellMar>
            <w:top w:w="0" w:type="dxa"/>
            <w:left w:w="108" w:type="dxa"/>
            <w:bottom w:w="0" w:type="dxa"/>
            <w:right w:w="108" w:type="dxa"/>
          </w:tblCellMar>
        </w:tblPrEx>
        <w:trPr>
          <w:trHeight w:val="720" w:hRule="atLeast"/>
        </w:trPr>
        <w:tc>
          <w:tcPr>
            <w:tcW w:w="201" w:type="pct"/>
            <w:vMerge w:val="continue"/>
            <w:tcBorders>
              <w:left w:val="single" w:color="000000" w:sz="4" w:space="0"/>
              <w:right w:val="single" w:color="000000" w:sz="4" w:space="0"/>
            </w:tcBorders>
            <w:noWrap/>
            <w:vAlign w:val="center"/>
          </w:tcPr>
          <w:p w14:paraId="515BA057">
            <w:pPr>
              <w:keepNext w:val="0"/>
              <w:keepLines w:val="0"/>
              <w:suppressLineNumbers w:val="0"/>
              <w:spacing w:before="0" w:beforeAutospacing="0" w:after="0" w:afterAutospacing="0" w:line="260" w:lineRule="exact"/>
              <w:ind w:left="0" w:right="0"/>
              <w:rPr>
                <w:rFonts w:hint="default"/>
              </w:rPr>
            </w:pPr>
          </w:p>
        </w:tc>
        <w:tc>
          <w:tcPr>
            <w:tcW w:w="248" w:type="pct"/>
            <w:gridSpan w:val="2"/>
            <w:vMerge w:val="restart"/>
            <w:tcBorders>
              <w:top w:val="nil"/>
              <w:left w:val="single" w:color="000000" w:sz="4" w:space="0"/>
              <w:bottom w:val="single" w:color="000000" w:sz="4" w:space="0"/>
              <w:right w:val="single" w:color="000000" w:sz="4" w:space="0"/>
            </w:tcBorders>
            <w:noWrap/>
            <w:vAlign w:val="center"/>
          </w:tcPr>
          <w:p w14:paraId="7C5A70D7">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满意度指标</w:t>
            </w:r>
          </w:p>
        </w:tc>
        <w:tc>
          <w:tcPr>
            <w:tcW w:w="423" w:type="pct"/>
            <w:gridSpan w:val="2"/>
            <w:vMerge w:val="restart"/>
            <w:tcBorders>
              <w:top w:val="nil"/>
              <w:left w:val="single" w:color="000000" w:sz="4" w:space="0"/>
              <w:bottom w:val="single" w:color="000000" w:sz="4" w:space="0"/>
              <w:right w:val="nil"/>
            </w:tcBorders>
            <w:noWrap/>
            <w:vAlign w:val="center"/>
          </w:tcPr>
          <w:p w14:paraId="648CE984">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满意度指标</w:t>
            </w:r>
          </w:p>
        </w:tc>
        <w:tc>
          <w:tcPr>
            <w:tcW w:w="925" w:type="pct"/>
            <w:gridSpan w:val="4"/>
            <w:tcBorders>
              <w:top w:val="single" w:color="000000" w:sz="4" w:space="0"/>
              <w:left w:val="single" w:color="000000" w:sz="4" w:space="0"/>
              <w:bottom w:val="single" w:color="000000" w:sz="4" w:space="0"/>
              <w:right w:val="nil"/>
            </w:tcBorders>
            <w:noWrap/>
            <w:vAlign w:val="center"/>
          </w:tcPr>
          <w:p w14:paraId="682837E8">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 xml:space="preserve"> 指标1：社会公众对政府推动的重点项目满意度</w:t>
            </w:r>
          </w:p>
        </w:tc>
        <w:tc>
          <w:tcPr>
            <w:tcW w:w="460" w:type="pct"/>
            <w:gridSpan w:val="2"/>
            <w:tcBorders>
              <w:top w:val="single" w:color="000000" w:sz="4" w:space="0"/>
              <w:left w:val="single" w:color="000000" w:sz="4" w:space="0"/>
              <w:bottom w:val="single" w:color="000000" w:sz="4" w:space="0"/>
              <w:right w:val="single" w:color="000000" w:sz="4" w:space="0"/>
            </w:tcBorders>
            <w:noWrap/>
            <w:vAlign w:val="center"/>
          </w:tcPr>
          <w:p w14:paraId="441650C6">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w:t>
            </w:r>
          </w:p>
        </w:tc>
        <w:tc>
          <w:tcPr>
            <w:tcW w:w="1058" w:type="pct"/>
            <w:tcBorders>
              <w:top w:val="single" w:color="000000" w:sz="4" w:space="0"/>
              <w:left w:val="single" w:color="000000" w:sz="4" w:space="0"/>
              <w:bottom w:val="single" w:color="000000" w:sz="4" w:space="0"/>
              <w:right w:val="single" w:color="000000" w:sz="4" w:space="0"/>
            </w:tcBorders>
            <w:noWrap/>
            <w:vAlign w:val="center"/>
          </w:tcPr>
          <w:p w14:paraId="5ED63E69">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90</w:t>
            </w:r>
          </w:p>
        </w:tc>
        <w:tc>
          <w:tcPr>
            <w:tcW w:w="222" w:type="pct"/>
            <w:gridSpan w:val="2"/>
            <w:tcBorders>
              <w:top w:val="single" w:color="000000" w:sz="4" w:space="0"/>
              <w:left w:val="single" w:color="000000" w:sz="4" w:space="0"/>
              <w:bottom w:val="single" w:color="000000" w:sz="4" w:space="0"/>
              <w:right w:val="single" w:color="000000" w:sz="4" w:space="0"/>
            </w:tcBorders>
            <w:noWrap/>
            <w:vAlign w:val="center"/>
          </w:tcPr>
          <w:p w14:paraId="6FFD6178">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w:t>
            </w:r>
          </w:p>
        </w:tc>
        <w:tc>
          <w:tcPr>
            <w:tcW w:w="349" w:type="pct"/>
            <w:gridSpan w:val="2"/>
            <w:tcBorders>
              <w:top w:val="single" w:color="000000" w:sz="4" w:space="0"/>
              <w:left w:val="single" w:color="000000" w:sz="4" w:space="0"/>
              <w:bottom w:val="single" w:color="000000" w:sz="4" w:space="0"/>
              <w:right w:val="single" w:color="000000" w:sz="4" w:space="0"/>
            </w:tcBorders>
            <w:noWrap/>
            <w:vAlign w:val="center"/>
          </w:tcPr>
          <w:p w14:paraId="2E78F936">
            <w:pPr>
              <w:keepNext w:val="0"/>
              <w:keepLines w:val="0"/>
              <w:suppressLineNumbers w:val="0"/>
              <w:spacing w:before="0" w:beforeAutospacing="0" w:after="0" w:afterAutospacing="0" w:line="260" w:lineRule="exact"/>
              <w:ind w:left="0" w:right="0"/>
              <w:jc w:val="left"/>
              <w:rPr>
                <w:rFonts w:hint="eastAsia" w:ascii="宋体" w:eastAsia="宋体" w:cs="宋体"/>
                <w:color w:val="000000"/>
                <w:sz w:val="20"/>
                <w:szCs w:val="20"/>
              </w:rPr>
            </w:pPr>
          </w:p>
        </w:tc>
        <w:tc>
          <w:tcPr>
            <w:tcW w:w="1110" w:type="pct"/>
            <w:gridSpan w:val="5"/>
            <w:tcBorders>
              <w:top w:val="single" w:color="000000" w:sz="4" w:space="0"/>
              <w:left w:val="single" w:color="000000" w:sz="4" w:space="0"/>
              <w:bottom w:val="single" w:color="000000" w:sz="4" w:space="0"/>
              <w:right w:val="single" w:color="000000" w:sz="4" w:space="0"/>
            </w:tcBorders>
            <w:noWrap/>
            <w:vAlign w:val="center"/>
          </w:tcPr>
          <w:p w14:paraId="70BC3C81">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90</w:t>
            </w:r>
          </w:p>
        </w:tc>
      </w:tr>
      <w:tr w14:paraId="52FE9CE4">
        <w:tblPrEx>
          <w:tblCellMar>
            <w:top w:w="0" w:type="dxa"/>
            <w:left w:w="108" w:type="dxa"/>
            <w:bottom w:w="0" w:type="dxa"/>
            <w:right w:w="108" w:type="dxa"/>
          </w:tblCellMar>
        </w:tblPrEx>
        <w:trPr>
          <w:trHeight w:val="480" w:hRule="atLeast"/>
        </w:trPr>
        <w:tc>
          <w:tcPr>
            <w:tcW w:w="201" w:type="pct"/>
            <w:vMerge w:val="continue"/>
            <w:tcBorders>
              <w:left w:val="single" w:color="000000" w:sz="4" w:space="0"/>
              <w:bottom w:val="single" w:color="000000" w:sz="4" w:space="0"/>
              <w:right w:val="single" w:color="000000" w:sz="4" w:space="0"/>
            </w:tcBorders>
            <w:noWrap/>
            <w:vAlign w:val="center"/>
          </w:tcPr>
          <w:p w14:paraId="7C5EEC18">
            <w:pPr>
              <w:keepNext w:val="0"/>
              <w:keepLines w:val="0"/>
              <w:suppressLineNumbers w:val="0"/>
              <w:spacing w:before="0" w:beforeAutospacing="0" w:after="0" w:afterAutospacing="0" w:line="260" w:lineRule="exact"/>
              <w:ind w:left="0" w:right="0"/>
              <w:rPr>
                <w:rFonts w:hint="default"/>
              </w:rPr>
            </w:pPr>
          </w:p>
        </w:tc>
        <w:tc>
          <w:tcPr>
            <w:tcW w:w="248" w:type="pct"/>
            <w:gridSpan w:val="2"/>
            <w:vMerge w:val="continue"/>
            <w:tcBorders>
              <w:top w:val="single" w:color="000000" w:sz="4" w:space="0"/>
              <w:left w:val="single" w:color="000000" w:sz="4" w:space="0"/>
              <w:bottom w:val="single" w:color="000000" w:sz="4" w:space="0"/>
              <w:right w:val="single" w:color="000000" w:sz="4" w:space="0"/>
            </w:tcBorders>
            <w:noWrap/>
            <w:vAlign w:val="center"/>
          </w:tcPr>
          <w:p w14:paraId="44F5C4A7">
            <w:pPr>
              <w:keepNext w:val="0"/>
              <w:keepLines w:val="0"/>
              <w:suppressLineNumbers w:val="0"/>
              <w:spacing w:before="0" w:beforeAutospacing="0" w:after="0" w:afterAutospacing="0" w:line="260" w:lineRule="exact"/>
              <w:ind w:left="0" w:right="0"/>
              <w:rPr>
                <w:rFonts w:hint="default"/>
              </w:rPr>
            </w:pPr>
          </w:p>
        </w:tc>
        <w:tc>
          <w:tcPr>
            <w:tcW w:w="423" w:type="pct"/>
            <w:gridSpan w:val="2"/>
            <w:vMerge w:val="continue"/>
            <w:tcBorders>
              <w:top w:val="single" w:color="000000" w:sz="4" w:space="0"/>
              <w:left w:val="single" w:color="000000" w:sz="4" w:space="0"/>
              <w:bottom w:val="single" w:color="000000" w:sz="4" w:space="0"/>
              <w:right w:val="nil"/>
            </w:tcBorders>
            <w:noWrap/>
            <w:vAlign w:val="center"/>
          </w:tcPr>
          <w:p w14:paraId="4AEDBAE7">
            <w:pPr>
              <w:keepNext w:val="0"/>
              <w:keepLines w:val="0"/>
              <w:suppressLineNumbers w:val="0"/>
              <w:spacing w:before="0" w:beforeAutospacing="0" w:after="0" w:afterAutospacing="0" w:line="260" w:lineRule="exact"/>
              <w:ind w:left="0" w:right="0"/>
              <w:rPr>
                <w:rFonts w:hint="default"/>
              </w:rPr>
            </w:pPr>
          </w:p>
        </w:tc>
        <w:tc>
          <w:tcPr>
            <w:tcW w:w="925" w:type="pct"/>
            <w:gridSpan w:val="4"/>
            <w:tcBorders>
              <w:top w:val="single" w:color="000000" w:sz="4" w:space="0"/>
              <w:left w:val="single" w:color="000000" w:sz="4" w:space="0"/>
              <w:bottom w:val="single" w:color="000000" w:sz="4" w:space="0"/>
              <w:right w:val="nil"/>
            </w:tcBorders>
            <w:noWrap/>
            <w:vAlign w:val="center"/>
          </w:tcPr>
          <w:p w14:paraId="1E795790">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 xml:space="preserve"> 指标3：受灾群众满意率</w:t>
            </w:r>
          </w:p>
        </w:tc>
        <w:tc>
          <w:tcPr>
            <w:tcW w:w="460" w:type="pct"/>
            <w:gridSpan w:val="2"/>
            <w:tcBorders>
              <w:top w:val="single" w:color="000000" w:sz="4" w:space="0"/>
              <w:left w:val="single" w:color="000000" w:sz="4" w:space="0"/>
              <w:bottom w:val="single" w:color="000000" w:sz="4" w:space="0"/>
              <w:right w:val="single" w:color="000000" w:sz="4" w:space="0"/>
            </w:tcBorders>
            <w:noWrap/>
            <w:vAlign w:val="center"/>
          </w:tcPr>
          <w:p w14:paraId="00FFC38B">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w:t>
            </w:r>
          </w:p>
        </w:tc>
        <w:tc>
          <w:tcPr>
            <w:tcW w:w="1058" w:type="pct"/>
            <w:tcBorders>
              <w:top w:val="single" w:color="000000" w:sz="4" w:space="0"/>
              <w:left w:val="single" w:color="000000" w:sz="4" w:space="0"/>
              <w:bottom w:val="single" w:color="000000" w:sz="4" w:space="0"/>
              <w:right w:val="single" w:color="000000" w:sz="4" w:space="0"/>
            </w:tcBorders>
            <w:noWrap/>
            <w:vAlign w:val="center"/>
          </w:tcPr>
          <w:p w14:paraId="2BF17231">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100</w:t>
            </w:r>
          </w:p>
        </w:tc>
        <w:tc>
          <w:tcPr>
            <w:tcW w:w="222" w:type="pct"/>
            <w:gridSpan w:val="2"/>
            <w:tcBorders>
              <w:top w:val="single" w:color="000000" w:sz="4" w:space="0"/>
              <w:left w:val="single" w:color="000000" w:sz="4" w:space="0"/>
              <w:bottom w:val="single" w:color="000000" w:sz="4" w:space="0"/>
              <w:right w:val="single" w:color="000000" w:sz="4" w:space="0"/>
            </w:tcBorders>
            <w:noWrap/>
            <w:vAlign w:val="center"/>
          </w:tcPr>
          <w:p w14:paraId="3CC7ECD9">
            <w:pPr>
              <w:keepNext w:val="0"/>
              <w:keepLines w:val="0"/>
              <w:suppressLineNumbers w:val="0"/>
              <w:spacing w:before="0" w:beforeAutospacing="0" w:after="0" w:afterAutospacing="0" w:line="260" w:lineRule="exact"/>
              <w:ind w:left="0" w:right="0"/>
              <w:jc w:val="center"/>
              <w:textAlignment w:val="center"/>
              <w:rPr>
                <w:rFonts w:hint="eastAsia" w:ascii="宋体" w:eastAsia="宋体" w:cs="宋体"/>
                <w:color w:val="000000"/>
                <w:sz w:val="20"/>
                <w:szCs w:val="20"/>
              </w:rPr>
            </w:pPr>
            <w:r>
              <w:rPr>
                <w:rFonts w:hint="eastAsia" w:ascii="宋体" w:eastAsia="宋体" w:cs="宋体"/>
                <w:color w:val="000000"/>
                <w:kern w:val="0"/>
                <w:sz w:val="20"/>
                <w:szCs w:val="20"/>
              </w:rPr>
              <w:t>%</w:t>
            </w:r>
          </w:p>
        </w:tc>
        <w:tc>
          <w:tcPr>
            <w:tcW w:w="349" w:type="pct"/>
            <w:gridSpan w:val="2"/>
            <w:tcBorders>
              <w:top w:val="single" w:color="000000" w:sz="4" w:space="0"/>
              <w:left w:val="single" w:color="000000" w:sz="4" w:space="0"/>
              <w:bottom w:val="single" w:color="000000" w:sz="4" w:space="0"/>
              <w:right w:val="single" w:color="000000" w:sz="4" w:space="0"/>
            </w:tcBorders>
            <w:noWrap/>
            <w:vAlign w:val="center"/>
          </w:tcPr>
          <w:p w14:paraId="0206C283">
            <w:pPr>
              <w:keepNext w:val="0"/>
              <w:keepLines w:val="0"/>
              <w:suppressLineNumbers w:val="0"/>
              <w:spacing w:before="0" w:beforeAutospacing="0" w:after="0" w:afterAutospacing="0" w:line="260" w:lineRule="exact"/>
              <w:ind w:left="0" w:right="0"/>
              <w:jc w:val="left"/>
              <w:rPr>
                <w:rFonts w:hint="eastAsia" w:ascii="宋体" w:eastAsia="宋体" w:cs="宋体"/>
                <w:color w:val="000000"/>
                <w:sz w:val="20"/>
                <w:szCs w:val="20"/>
              </w:rPr>
            </w:pPr>
          </w:p>
        </w:tc>
        <w:tc>
          <w:tcPr>
            <w:tcW w:w="1110" w:type="pct"/>
            <w:gridSpan w:val="5"/>
            <w:tcBorders>
              <w:top w:val="single" w:color="000000" w:sz="4" w:space="0"/>
              <w:left w:val="single" w:color="000000" w:sz="4" w:space="0"/>
              <w:bottom w:val="single" w:color="000000" w:sz="4" w:space="0"/>
              <w:right w:val="single" w:color="000000" w:sz="4" w:space="0"/>
            </w:tcBorders>
            <w:noWrap/>
            <w:vAlign w:val="center"/>
          </w:tcPr>
          <w:p w14:paraId="7ED5E80F">
            <w:pPr>
              <w:keepNext w:val="0"/>
              <w:keepLines w:val="0"/>
              <w:suppressLineNumbers w:val="0"/>
              <w:spacing w:before="0" w:beforeAutospacing="0" w:after="0" w:afterAutospacing="0" w:line="260" w:lineRule="exact"/>
              <w:ind w:left="0" w:right="0"/>
              <w:jc w:val="left"/>
              <w:textAlignment w:val="center"/>
              <w:rPr>
                <w:rFonts w:hint="eastAsia" w:ascii="宋体" w:eastAsia="宋体" w:cs="宋体"/>
                <w:color w:val="000000"/>
                <w:sz w:val="20"/>
                <w:szCs w:val="20"/>
              </w:rPr>
            </w:pPr>
            <w:r>
              <w:rPr>
                <w:rFonts w:hint="eastAsia" w:ascii="宋体" w:eastAsia="宋体" w:cs="宋体"/>
                <w:color w:val="000000"/>
                <w:kern w:val="0"/>
                <w:sz w:val="20"/>
                <w:szCs w:val="20"/>
              </w:rPr>
              <w:t>100</w:t>
            </w:r>
          </w:p>
        </w:tc>
      </w:tr>
      <w:tr w14:paraId="1E315AC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79" w:hRule="atLeast"/>
        </w:trPr>
        <w:tc>
          <w:tcPr>
            <w:tcW w:w="373" w:type="pct"/>
            <w:gridSpan w:val="2"/>
            <w:tcBorders>
              <w:top w:val="nil"/>
              <w:left w:val="nil"/>
              <w:bottom w:val="nil"/>
              <w:right w:val="nil"/>
            </w:tcBorders>
            <w:shd w:val="clear" w:color="auto" w:fill="auto"/>
            <w:noWrap/>
            <w:vAlign w:val="center"/>
          </w:tcPr>
          <w:p w14:paraId="5945FD50">
            <w:pPr>
              <w:keepNext w:val="0"/>
              <w:keepLines w:val="0"/>
              <w:widowControl/>
              <w:suppressLineNumbers w:val="0"/>
              <w:spacing w:before="0" w:beforeAutospacing="0" w:after="0" w:afterAutospacing="0"/>
              <w:ind w:left="0" w:right="0"/>
              <w:jc w:val="left"/>
              <w:textAlignment w:val="center"/>
              <w:rPr>
                <w:rFonts w:hint="eastAsia" w:ascii="黑体" w:hAnsi="宋体" w:eastAsia="黑体" w:cs="黑体"/>
                <w:i w:val="0"/>
                <w:iCs w:val="0"/>
                <w:color w:val="000000"/>
                <w:kern w:val="0"/>
                <w:sz w:val="32"/>
                <w:szCs w:val="32"/>
                <w:u w:val="none"/>
                <w:lang w:val="en-US" w:eastAsia="zh-CN" w:bidi="ar"/>
              </w:rPr>
            </w:pPr>
          </w:p>
          <w:p w14:paraId="092F2CFF">
            <w:pPr>
              <w:keepNext w:val="0"/>
              <w:keepLines w:val="0"/>
              <w:widowControl/>
              <w:suppressLineNumbers w:val="0"/>
              <w:spacing w:before="0" w:beforeAutospacing="0" w:after="0" w:afterAutospacing="0"/>
              <w:ind w:left="0" w:right="0"/>
              <w:jc w:val="left"/>
              <w:textAlignment w:val="center"/>
              <w:rPr>
                <w:rFonts w:hint="default" w:ascii="黑体" w:hAnsi="宋体" w:eastAsia="黑体" w:cs="黑体"/>
                <w:i w:val="0"/>
                <w:iCs w:val="0"/>
                <w:color w:val="000000"/>
                <w:sz w:val="32"/>
                <w:szCs w:val="32"/>
                <w:u w:val="none"/>
              </w:rPr>
            </w:pPr>
            <w:r>
              <w:rPr>
                <w:rFonts w:hint="eastAsia" w:ascii="黑体" w:hAnsi="宋体" w:eastAsia="黑体" w:cs="黑体"/>
                <w:i w:val="0"/>
                <w:iCs w:val="0"/>
                <w:color w:val="000000"/>
                <w:kern w:val="0"/>
                <w:sz w:val="32"/>
                <w:szCs w:val="32"/>
                <w:u w:val="none"/>
                <w:lang w:val="en-US" w:eastAsia="zh-CN" w:bidi="ar"/>
              </w:rPr>
              <w:t>附表2</w:t>
            </w:r>
          </w:p>
        </w:tc>
        <w:tc>
          <w:tcPr>
            <w:tcW w:w="239" w:type="pct"/>
            <w:gridSpan w:val="2"/>
            <w:tcBorders>
              <w:top w:val="nil"/>
              <w:left w:val="nil"/>
              <w:bottom w:val="nil"/>
              <w:right w:val="nil"/>
            </w:tcBorders>
            <w:shd w:val="clear" w:color="auto" w:fill="auto"/>
            <w:noWrap/>
            <w:vAlign w:val="center"/>
          </w:tcPr>
          <w:p w14:paraId="36D66454">
            <w:pPr>
              <w:keepNext w:val="0"/>
              <w:keepLines w:val="0"/>
              <w:suppressLineNumbers w:val="0"/>
              <w:spacing w:before="0" w:beforeAutospacing="0" w:after="0" w:afterAutospacing="0"/>
              <w:ind w:left="0" w:right="0"/>
              <w:rPr>
                <w:rFonts w:hint="eastAsia" w:ascii="宋体" w:hAnsi="宋体" w:eastAsia="宋体" w:cs="宋体"/>
                <w:i w:val="0"/>
                <w:iCs w:val="0"/>
                <w:color w:val="000000"/>
                <w:sz w:val="22"/>
                <w:szCs w:val="22"/>
                <w:u w:val="none"/>
              </w:rPr>
            </w:pPr>
          </w:p>
        </w:tc>
        <w:tc>
          <w:tcPr>
            <w:tcW w:w="396" w:type="pct"/>
            <w:gridSpan w:val="2"/>
            <w:tcBorders>
              <w:top w:val="nil"/>
              <w:left w:val="nil"/>
              <w:bottom w:val="nil"/>
              <w:right w:val="nil"/>
            </w:tcBorders>
            <w:shd w:val="clear" w:color="auto" w:fill="auto"/>
            <w:noWrap/>
            <w:vAlign w:val="center"/>
          </w:tcPr>
          <w:p w14:paraId="01D57AF7">
            <w:pPr>
              <w:keepNext w:val="0"/>
              <w:keepLines w:val="0"/>
              <w:suppressLineNumbers w:val="0"/>
              <w:spacing w:before="0" w:beforeAutospacing="0" w:after="0" w:afterAutospacing="0"/>
              <w:ind w:left="0" w:right="0"/>
              <w:rPr>
                <w:rFonts w:hint="eastAsia" w:ascii="宋体" w:hAnsi="宋体" w:eastAsia="宋体" w:cs="宋体"/>
                <w:i w:val="0"/>
                <w:iCs w:val="0"/>
                <w:color w:val="000000"/>
                <w:sz w:val="22"/>
                <w:szCs w:val="22"/>
                <w:u w:val="none"/>
              </w:rPr>
            </w:pPr>
          </w:p>
        </w:tc>
        <w:tc>
          <w:tcPr>
            <w:tcW w:w="116" w:type="pct"/>
            <w:tcBorders>
              <w:top w:val="nil"/>
              <w:left w:val="nil"/>
              <w:bottom w:val="nil"/>
              <w:right w:val="nil"/>
            </w:tcBorders>
            <w:shd w:val="clear" w:color="auto" w:fill="auto"/>
            <w:noWrap/>
            <w:vAlign w:val="center"/>
          </w:tcPr>
          <w:p w14:paraId="4E2A23FC">
            <w:pPr>
              <w:keepNext w:val="0"/>
              <w:keepLines w:val="0"/>
              <w:suppressLineNumbers w:val="0"/>
              <w:spacing w:before="0" w:beforeAutospacing="0" w:after="0" w:afterAutospacing="0"/>
              <w:ind w:left="0" w:right="0"/>
              <w:rPr>
                <w:rFonts w:hint="eastAsia" w:ascii="宋体" w:hAnsi="宋体" w:eastAsia="宋体" w:cs="宋体"/>
                <w:i w:val="0"/>
                <w:iCs w:val="0"/>
                <w:color w:val="000000"/>
                <w:sz w:val="22"/>
                <w:szCs w:val="22"/>
                <w:u w:val="none"/>
              </w:rPr>
            </w:pPr>
          </w:p>
        </w:tc>
        <w:tc>
          <w:tcPr>
            <w:tcW w:w="566" w:type="pct"/>
            <w:tcBorders>
              <w:top w:val="nil"/>
              <w:left w:val="nil"/>
              <w:bottom w:val="nil"/>
              <w:right w:val="nil"/>
            </w:tcBorders>
            <w:shd w:val="clear" w:color="auto" w:fill="auto"/>
            <w:noWrap/>
            <w:vAlign w:val="center"/>
          </w:tcPr>
          <w:p w14:paraId="3F332059">
            <w:pPr>
              <w:keepNext w:val="0"/>
              <w:keepLines w:val="0"/>
              <w:suppressLineNumbers w:val="0"/>
              <w:spacing w:before="0" w:beforeAutospacing="0" w:after="0" w:afterAutospacing="0"/>
              <w:ind w:left="0" w:right="0"/>
              <w:rPr>
                <w:rFonts w:hint="eastAsia" w:ascii="宋体" w:hAnsi="宋体" w:eastAsia="宋体" w:cs="宋体"/>
                <w:i w:val="0"/>
                <w:iCs w:val="0"/>
                <w:color w:val="000000"/>
                <w:sz w:val="22"/>
                <w:szCs w:val="22"/>
                <w:u w:val="none"/>
              </w:rPr>
            </w:pPr>
          </w:p>
        </w:tc>
        <w:tc>
          <w:tcPr>
            <w:tcW w:w="423" w:type="pct"/>
            <w:gridSpan w:val="2"/>
            <w:tcBorders>
              <w:top w:val="nil"/>
              <w:left w:val="nil"/>
              <w:bottom w:val="nil"/>
              <w:right w:val="nil"/>
            </w:tcBorders>
            <w:shd w:val="clear" w:color="auto" w:fill="auto"/>
            <w:noWrap/>
            <w:vAlign w:val="center"/>
          </w:tcPr>
          <w:p w14:paraId="63182C29">
            <w:pPr>
              <w:keepNext w:val="0"/>
              <w:keepLines w:val="0"/>
              <w:suppressLineNumbers w:val="0"/>
              <w:spacing w:before="0" w:beforeAutospacing="0" w:after="0" w:afterAutospacing="0"/>
              <w:ind w:left="0" w:right="0"/>
              <w:rPr>
                <w:rFonts w:hint="eastAsia" w:ascii="宋体" w:hAnsi="宋体" w:eastAsia="宋体" w:cs="宋体"/>
                <w:i w:val="0"/>
                <w:iCs w:val="0"/>
                <w:color w:val="000000"/>
                <w:sz w:val="22"/>
                <w:szCs w:val="22"/>
                <w:u w:val="none"/>
              </w:rPr>
            </w:pPr>
          </w:p>
        </w:tc>
        <w:tc>
          <w:tcPr>
            <w:tcW w:w="1333" w:type="pct"/>
            <w:gridSpan w:val="3"/>
            <w:tcBorders>
              <w:top w:val="nil"/>
              <w:left w:val="nil"/>
              <w:bottom w:val="nil"/>
              <w:right w:val="nil"/>
            </w:tcBorders>
            <w:shd w:val="clear" w:color="auto" w:fill="auto"/>
            <w:noWrap/>
            <w:vAlign w:val="center"/>
          </w:tcPr>
          <w:p w14:paraId="034864AD">
            <w:pPr>
              <w:keepNext w:val="0"/>
              <w:keepLines w:val="0"/>
              <w:suppressLineNumbers w:val="0"/>
              <w:spacing w:before="0" w:beforeAutospacing="0" w:after="0" w:afterAutospacing="0"/>
              <w:ind w:left="0" w:right="0"/>
              <w:rPr>
                <w:rFonts w:hint="eastAsia" w:ascii="宋体" w:hAnsi="宋体" w:eastAsia="宋体" w:cs="宋体"/>
                <w:i w:val="0"/>
                <w:iCs w:val="0"/>
                <w:color w:val="000000"/>
                <w:sz w:val="22"/>
                <w:szCs w:val="22"/>
                <w:u w:val="none"/>
              </w:rPr>
            </w:pPr>
          </w:p>
        </w:tc>
        <w:tc>
          <w:tcPr>
            <w:tcW w:w="322" w:type="pct"/>
            <w:gridSpan w:val="2"/>
            <w:tcBorders>
              <w:top w:val="nil"/>
              <w:left w:val="nil"/>
              <w:bottom w:val="nil"/>
              <w:right w:val="nil"/>
            </w:tcBorders>
            <w:shd w:val="clear" w:color="auto" w:fill="auto"/>
            <w:noWrap/>
            <w:vAlign w:val="center"/>
          </w:tcPr>
          <w:p w14:paraId="131ED980">
            <w:pPr>
              <w:keepNext w:val="0"/>
              <w:keepLines w:val="0"/>
              <w:suppressLineNumbers w:val="0"/>
              <w:spacing w:before="0" w:beforeAutospacing="0" w:after="0" w:afterAutospacing="0"/>
              <w:ind w:left="0" w:right="0"/>
              <w:rPr>
                <w:rFonts w:hint="eastAsia" w:ascii="宋体" w:hAnsi="宋体" w:eastAsia="宋体" w:cs="宋体"/>
                <w:i w:val="0"/>
                <w:iCs w:val="0"/>
                <w:color w:val="000000"/>
                <w:sz w:val="22"/>
                <w:szCs w:val="22"/>
                <w:u w:val="none"/>
              </w:rPr>
            </w:pPr>
          </w:p>
        </w:tc>
        <w:tc>
          <w:tcPr>
            <w:tcW w:w="511" w:type="pct"/>
            <w:gridSpan w:val="2"/>
            <w:tcBorders>
              <w:top w:val="nil"/>
              <w:left w:val="nil"/>
              <w:bottom w:val="nil"/>
              <w:right w:val="nil"/>
            </w:tcBorders>
            <w:shd w:val="clear" w:color="auto" w:fill="auto"/>
            <w:noWrap/>
            <w:vAlign w:val="center"/>
          </w:tcPr>
          <w:p w14:paraId="53A28F5A">
            <w:pPr>
              <w:keepNext w:val="0"/>
              <w:keepLines w:val="0"/>
              <w:suppressLineNumbers w:val="0"/>
              <w:spacing w:before="0" w:beforeAutospacing="0" w:after="0" w:afterAutospacing="0"/>
              <w:ind w:left="0" w:right="0"/>
              <w:rPr>
                <w:rFonts w:hint="eastAsia" w:ascii="宋体" w:hAnsi="宋体" w:eastAsia="宋体" w:cs="宋体"/>
                <w:i w:val="0"/>
                <w:iCs w:val="0"/>
                <w:color w:val="000000"/>
                <w:sz w:val="22"/>
                <w:szCs w:val="22"/>
                <w:u w:val="none"/>
              </w:rPr>
            </w:pPr>
          </w:p>
        </w:tc>
        <w:tc>
          <w:tcPr>
            <w:tcW w:w="266" w:type="pct"/>
            <w:tcBorders>
              <w:top w:val="nil"/>
              <w:left w:val="nil"/>
              <w:bottom w:val="nil"/>
              <w:right w:val="nil"/>
            </w:tcBorders>
            <w:shd w:val="clear" w:color="auto" w:fill="auto"/>
            <w:noWrap/>
            <w:vAlign w:val="center"/>
          </w:tcPr>
          <w:p w14:paraId="3EF74E09">
            <w:pPr>
              <w:keepNext w:val="0"/>
              <w:keepLines w:val="0"/>
              <w:suppressLineNumbers w:val="0"/>
              <w:spacing w:before="0" w:beforeAutospacing="0" w:after="0" w:afterAutospacing="0"/>
              <w:ind w:left="0" w:right="0"/>
              <w:rPr>
                <w:rFonts w:hint="eastAsia" w:ascii="宋体" w:hAnsi="宋体" w:eastAsia="宋体" w:cs="宋体"/>
                <w:i w:val="0"/>
                <w:iCs w:val="0"/>
                <w:color w:val="000000"/>
                <w:sz w:val="22"/>
                <w:szCs w:val="22"/>
                <w:u w:val="none"/>
              </w:rPr>
            </w:pPr>
          </w:p>
        </w:tc>
        <w:tc>
          <w:tcPr>
            <w:tcW w:w="129" w:type="pct"/>
            <w:tcBorders>
              <w:top w:val="nil"/>
              <w:left w:val="nil"/>
              <w:bottom w:val="nil"/>
              <w:right w:val="nil"/>
            </w:tcBorders>
            <w:shd w:val="clear" w:color="auto" w:fill="auto"/>
            <w:noWrap/>
            <w:vAlign w:val="center"/>
          </w:tcPr>
          <w:p w14:paraId="16AE8DEB">
            <w:pPr>
              <w:keepNext w:val="0"/>
              <w:keepLines w:val="0"/>
              <w:suppressLineNumbers w:val="0"/>
              <w:spacing w:before="0" w:beforeAutospacing="0" w:after="0" w:afterAutospacing="0"/>
              <w:ind w:left="0" w:right="0"/>
              <w:rPr>
                <w:rFonts w:hint="eastAsia" w:ascii="宋体" w:hAnsi="宋体" w:eastAsia="宋体" w:cs="宋体"/>
                <w:i w:val="0"/>
                <w:iCs w:val="0"/>
                <w:color w:val="000000"/>
                <w:sz w:val="22"/>
                <w:szCs w:val="22"/>
                <w:u w:val="none"/>
              </w:rPr>
            </w:pPr>
          </w:p>
        </w:tc>
        <w:tc>
          <w:tcPr>
            <w:tcW w:w="158" w:type="pct"/>
            <w:tcBorders>
              <w:top w:val="nil"/>
              <w:left w:val="nil"/>
              <w:bottom w:val="nil"/>
              <w:right w:val="nil"/>
            </w:tcBorders>
            <w:shd w:val="clear" w:color="auto" w:fill="auto"/>
            <w:noWrap/>
            <w:vAlign w:val="center"/>
          </w:tcPr>
          <w:p w14:paraId="1470BFC7">
            <w:pPr>
              <w:keepNext w:val="0"/>
              <w:keepLines w:val="0"/>
              <w:suppressLineNumbers w:val="0"/>
              <w:spacing w:before="0" w:beforeAutospacing="0" w:after="0" w:afterAutospacing="0"/>
              <w:ind w:left="0" w:right="0"/>
              <w:rPr>
                <w:rFonts w:hint="eastAsia" w:ascii="宋体" w:hAnsi="宋体" w:eastAsia="宋体" w:cs="宋体"/>
                <w:i w:val="0"/>
                <w:iCs w:val="0"/>
                <w:color w:val="000000"/>
                <w:sz w:val="22"/>
                <w:szCs w:val="22"/>
                <w:u w:val="none"/>
              </w:rPr>
            </w:pPr>
          </w:p>
        </w:tc>
        <w:tc>
          <w:tcPr>
            <w:tcW w:w="161" w:type="pct"/>
            <w:tcBorders>
              <w:top w:val="nil"/>
              <w:left w:val="nil"/>
              <w:bottom w:val="nil"/>
              <w:right w:val="nil"/>
            </w:tcBorders>
            <w:shd w:val="clear" w:color="auto" w:fill="auto"/>
            <w:vAlign w:val="center"/>
          </w:tcPr>
          <w:p w14:paraId="4FC9176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4"/>
                <w:szCs w:val="24"/>
                <w:u w:val="none"/>
              </w:rPr>
            </w:pPr>
          </w:p>
        </w:tc>
      </w:tr>
      <w:tr w14:paraId="7C2DD2C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5000" w:type="pct"/>
            <w:gridSpan w:val="21"/>
            <w:tcBorders>
              <w:top w:val="nil"/>
              <w:left w:val="nil"/>
              <w:bottom w:val="nil"/>
              <w:right w:val="nil"/>
            </w:tcBorders>
            <w:shd w:val="clear" w:color="auto" w:fill="auto"/>
            <w:vAlign w:val="center"/>
          </w:tcPr>
          <w:p w14:paraId="49D3B128">
            <w:pPr>
              <w:keepNext w:val="0"/>
              <w:keepLines w:val="0"/>
              <w:widowControl/>
              <w:suppressLineNumbers w:val="0"/>
              <w:spacing w:before="0" w:beforeAutospacing="0" w:after="0" w:afterAutospacing="0"/>
              <w:ind w:left="0" w:right="0"/>
              <w:jc w:val="center"/>
              <w:textAlignment w:val="center"/>
              <w:rPr>
                <w:rFonts w:hint="default" w:ascii="方正小标宋简体" w:hAnsi="方正小标宋简体" w:eastAsia="方正小标宋简体" w:cs="方正小标宋简体"/>
                <w:i w:val="0"/>
                <w:iCs w:val="0"/>
                <w:color w:val="000000"/>
                <w:sz w:val="48"/>
                <w:szCs w:val="48"/>
                <w:u w:val="none"/>
              </w:rPr>
            </w:pPr>
            <w:r>
              <w:rPr>
                <w:rFonts w:hint="eastAsia" w:ascii="方正小标宋简体" w:hAnsi="方正小标宋简体" w:eastAsia="方正小标宋简体" w:cs="方正小标宋简体"/>
                <w:i w:val="0"/>
                <w:iCs w:val="0"/>
                <w:color w:val="000000"/>
                <w:kern w:val="0"/>
                <w:sz w:val="48"/>
                <w:szCs w:val="48"/>
                <w:u w:val="none"/>
                <w:lang w:val="en-US" w:eastAsia="zh-CN" w:bidi="ar"/>
              </w:rPr>
              <w:t>部门整体绩效评价评分表</w:t>
            </w:r>
          </w:p>
        </w:tc>
      </w:tr>
      <w:tr w14:paraId="19753AA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1127" w:type="pct"/>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DD38899">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i w:val="0"/>
                <w:iCs w:val="0"/>
                <w:color w:val="000000"/>
                <w:sz w:val="24"/>
                <w:szCs w:val="24"/>
                <w:u w:val="none"/>
              </w:rPr>
            </w:pPr>
            <w:r>
              <w:rPr>
                <w:rFonts w:hint="eastAsia" w:ascii="黑体" w:hAnsi="宋体" w:eastAsia="黑体" w:cs="黑体"/>
                <w:i w:val="0"/>
                <w:iCs w:val="0"/>
                <w:color w:val="000000"/>
                <w:kern w:val="0"/>
                <w:sz w:val="24"/>
                <w:szCs w:val="24"/>
                <w:u w:val="none"/>
                <w:lang w:val="en-US" w:eastAsia="zh-CN" w:bidi="ar"/>
              </w:rPr>
              <w:t>绩效评价指标</w:t>
            </w:r>
            <w:r>
              <w:rPr>
                <w:rFonts w:hint="eastAsia" w:ascii="黑体" w:hAnsi="宋体" w:eastAsia="黑体" w:cs="黑体"/>
                <w:i w:val="0"/>
                <w:iCs w:val="0"/>
                <w:color w:val="000000"/>
                <w:kern w:val="0"/>
                <w:sz w:val="24"/>
                <w:szCs w:val="24"/>
                <w:u w:val="none"/>
                <w:lang w:val="en-US" w:eastAsia="zh-CN" w:bidi="ar"/>
              </w:rPr>
              <w:br w:type="textWrapping"/>
            </w:r>
            <w:r>
              <w:rPr>
                <w:rFonts w:hint="eastAsia" w:ascii="黑体" w:hAnsi="宋体" w:eastAsia="黑体" w:cs="黑体"/>
                <w:i w:val="0"/>
                <w:iCs w:val="0"/>
                <w:color w:val="000000"/>
                <w:kern w:val="0"/>
                <w:sz w:val="24"/>
                <w:szCs w:val="24"/>
                <w:u w:val="none"/>
                <w:lang w:val="en-US" w:eastAsia="zh-CN" w:bidi="ar"/>
              </w:rPr>
              <w:t>指标分值</w:t>
            </w:r>
          </w:p>
        </w:tc>
        <w:tc>
          <w:tcPr>
            <w:tcW w:w="56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1B6ECA2">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i w:val="0"/>
                <w:iCs w:val="0"/>
                <w:color w:val="000000"/>
                <w:sz w:val="24"/>
                <w:szCs w:val="24"/>
                <w:u w:val="none"/>
              </w:rPr>
            </w:pPr>
            <w:r>
              <w:rPr>
                <w:rFonts w:hint="eastAsia" w:ascii="黑体" w:hAnsi="宋体" w:eastAsia="黑体" w:cs="黑体"/>
                <w:i w:val="0"/>
                <w:iCs w:val="0"/>
                <w:color w:val="000000"/>
                <w:kern w:val="0"/>
                <w:sz w:val="24"/>
                <w:szCs w:val="24"/>
                <w:u w:val="none"/>
                <w:lang w:val="en-US" w:eastAsia="zh-CN" w:bidi="ar"/>
              </w:rPr>
              <w:t>指标解释</w:t>
            </w:r>
          </w:p>
        </w:tc>
        <w:tc>
          <w:tcPr>
            <w:tcW w:w="423" w:type="pct"/>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57ACDDA">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i w:val="0"/>
                <w:iCs w:val="0"/>
                <w:color w:val="000000"/>
                <w:sz w:val="24"/>
                <w:szCs w:val="24"/>
                <w:u w:val="none"/>
              </w:rPr>
            </w:pPr>
            <w:r>
              <w:rPr>
                <w:rFonts w:hint="eastAsia" w:ascii="黑体" w:hAnsi="宋体" w:eastAsia="黑体" w:cs="黑体"/>
                <w:i w:val="0"/>
                <w:iCs w:val="0"/>
                <w:color w:val="000000"/>
                <w:kern w:val="0"/>
                <w:sz w:val="24"/>
                <w:szCs w:val="24"/>
                <w:u w:val="none"/>
                <w:lang w:val="en-US" w:eastAsia="zh-CN" w:bidi="ar"/>
              </w:rPr>
              <w:t>评分方法</w:t>
            </w:r>
          </w:p>
        </w:tc>
        <w:tc>
          <w:tcPr>
            <w:tcW w:w="1333" w:type="pct"/>
            <w:gridSpan w:val="3"/>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24F3A8A">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i w:val="0"/>
                <w:iCs w:val="0"/>
                <w:color w:val="000000"/>
                <w:sz w:val="24"/>
                <w:szCs w:val="24"/>
                <w:u w:val="none"/>
              </w:rPr>
            </w:pPr>
            <w:r>
              <w:rPr>
                <w:rFonts w:hint="eastAsia" w:ascii="黑体" w:hAnsi="宋体" w:eastAsia="黑体" w:cs="黑体"/>
                <w:i w:val="0"/>
                <w:iCs w:val="0"/>
                <w:color w:val="000000"/>
                <w:kern w:val="0"/>
                <w:sz w:val="24"/>
                <w:szCs w:val="24"/>
                <w:u w:val="none"/>
                <w:lang w:val="en-US" w:eastAsia="zh-CN" w:bidi="ar"/>
              </w:rPr>
              <w:t>评分说明</w:t>
            </w:r>
          </w:p>
        </w:tc>
        <w:tc>
          <w:tcPr>
            <w:tcW w:w="322" w:type="pct"/>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8AD3147">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i w:val="0"/>
                <w:iCs w:val="0"/>
                <w:color w:val="000000"/>
                <w:sz w:val="24"/>
                <w:szCs w:val="24"/>
                <w:u w:val="none"/>
              </w:rPr>
            </w:pPr>
            <w:r>
              <w:rPr>
                <w:rFonts w:hint="eastAsia" w:ascii="黑体" w:hAnsi="宋体" w:eastAsia="黑体" w:cs="黑体"/>
                <w:i w:val="0"/>
                <w:iCs w:val="0"/>
                <w:color w:val="000000"/>
                <w:kern w:val="0"/>
                <w:sz w:val="24"/>
                <w:szCs w:val="24"/>
                <w:u w:val="none"/>
                <w:lang w:val="en-US" w:eastAsia="zh-CN" w:bidi="ar"/>
              </w:rPr>
              <w:t>是否涉及</w:t>
            </w:r>
            <w:r>
              <w:rPr>
                <w:rFonts w:hint="eastAsia" w:ascii="黑体" w:hAnsi="宋体" w:eastAsia="黑体" w:cs="黑体"/>
                <w:i w:val="0"/>
                <w:iCs w:val="0"/>
                <w:color w:val="000000"/>
                <w:kern w:val="0"/>
                <w:sz w:val="24"/>
                <w:szCs w:val="24"/>
                <w:u w:val="none"/>
                <w:lang w:val="en-US" w:eastAsia="zh-CN" w:bidi="ar"/>
              </w:rPr>
              <w:br w:type="textWrapping"/>
            </w:r>
            <w:r>
              <w:rPr>
                <w:rFonts w:hint="eastAsia" w:ascii="黑体" w:hAnsi="宋体" w:eastAsia="黑体" w:cs="黑体"/>
                <w:i w:val="0"/>
                <w:iCs w:val="0"/>
                <w:color w:val="000000"/>
                <w:kern w:val="0"/>
                <w:sz w:val="24"/>
                <w:szCs w:val="24"/>
                <w:u w:val="none"/>
                <w:lang w:val="en-US" w:eastAsia="zh-CN" w:bidi="ar"/>
              </w:rPr>
              <w:t>此项指标</w:t>
            </w:r>
          </w:p>
        </w:tc>
        <w:tc>
          <w:tcPr>
            <w:tcW w:w="511" w:type="pct"/>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6FDC166">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i w:val="0"/>
                <w:iCs w:val="0"/>
                <w:color w:val="000000"/>
                <w:sz w:val="24"/>
                <w:szCs w:val="24"/>
                <w:u w:val="none"/>
              </w:rPr>
            </w:pPr>
            <w:r>
              <w:rPr>
                <w:rFonts w:hint="eastAsia" w:ascii="黑体" w:hAnsi="宋体" w:eastAsia="黑体" w:cs="黑体"/>
                <w:i w:val="0"/>
                <w:iCs w:val="0"/>
                <w:color w:val="000000"/>
                <w:kern w:val="0"/>
                <w:sz w:val="24"/>
                <w:szCs w:val="24"/>
                <w:u w:val="none"/>
                <w:lang w:val="en-US" w:eastAsia="zh-CN" w:bidi="ar"/>
              </w:rPr>
              <w:t>单位自评</w:t>
            </w:r>
            <w:r>
              <w:rPr>
                <w:rFonts w:hint="eastAsia" w:ascii="黑体" w:hAnsi="宋体" w:eastAsia="黑体" w:cs="黑体"/>
                <w:i w:val="0"/>
                <w:iCs w:val="0"/>
                <w:color w:val="000000"/>
                <w:kern w:val="0"/>
                <w:sz w:val="24"/>
                <w:szCs w:val="24"/>
                <w:u w:val="none"/>
                <w:lang w:val="en-US" w:eastAsia="zh-CN" w:bidi="ar"/>
              </w:rPr>
              <w:br w:type="textWrapping"/>
            </w:r>
            <w:r>
              <w:rPr>
                <w:rFonts w:hint="eastAsia" w:ascii="黑体" w:hAnsi="宋体" w:eastAsia="黑体" w:cs="黑体"/>
                <w:i w:val="0"/>
                <w:iCs w:val="0"/>
                <w:color w:val="000000"/>
                <w:kern w:val="0"/>
                <w:sz w:val="24"/>
                <w:szCs w:val="24"/>
                <w:u w:val="none"/>
                <w:lang w:val="en-US" w:eastAsia="zh-CN" w:bidi="ar"/>
              </w:rPr>
              <w:t>说明</w:t>
            </w:r>
          </w:p>
        </w:tc>
        <w:tc>
          <w:tcPr>
            <w:tcW w:w="26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F3831A2">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i w:val="0"/>
                <w:iCs w:val="0"/>
                <w:color w:val="000000"/>
                <w:sz w:val="24"/>
                <w:szCs w:val="24"/>
                <w:u w:val="none"/>
              </w:rPr>
            </w:pPr>
            <w:r>
              <w:rPr>
                <w:rFonts w:hint="eastAsia" w:ascii="黑体" w:hAnsi="宋体" w:eastAsia="黑体" w:cs="黑体"/>
                <w:i w:val="0"/>
                <w:iCs w:val="0"/>
                <w:color w:val="000000"/>
                <w:kern w:val="0"/>
                <w:sz w:val="24"/>
                <w:szCs w:val="24"/>
                <w:u w:val="none"/>
                <w:lang w:val="en-US" w:eastAsia="zh-CN" w:bidi="ar"/>
              </w:rPr>
              <w:t>单位自评</w:t>
            </w:r>
            <w:r>
              <w:rPr>
                <w:rFonts w:hint="eastAsia" w:ascii="黑体" w:hAnsi="宋体" w:eastAsia="黑体" w:cs="黑体"/>
                <w:i w:val="0"/>
                <w:iCs w:val="0"/>
                <w:color w:val="000000"/>
                <w:kern w:val="0"/>
                <w:sz w:val="24"/>
                <w:szCs w:val="24"/>
                <w:u w:val="none"/>
                <w:lang w:val="en-US" w:eastAsia="zh-CN" w:bidi="ar"/>
              </w:rPr>
              <w:br w:type="textWrapping"/>
            </w:r>
            <w:r>
              <w:rPr>
                <w:rFonts w:hint="eastAsia" w:ascii="黑体" w:hAnsi="宋体" w:eastAsia="黑体" w:cs="黑体"/>
                <w:i w:val="0"/>
                <w:iCs w:val="0"/>
                <w:color w:val="000000"/>
                <w:kern w:val="0"/>
                <w:sz w:val="24"/>
                <w:szCs w:val="24"/>
                <w:u w:val="none"/>
                <w:lang w:val="en-US" w:eastAsia="zh-CN" w:bidi="ar"/>
              </w:rPr>
              <w:t>得分</w:t>
            </w:r>
          </w:p>
        </w:tc>
        <w:tc>
          <w:tcPr>
            <w:tcW w:w="12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6C2809B">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i w:val="0"/>
                <w:iCs w:val="0"/>
                <w:color w:val="000000"/>
                <w:sz w:val="24"/>
                <w:szCs w:val="24"/>
                <w:u w:val="none"/>
              </w:rPr>
            </w:pPr>
            <w:r>
              <w:rPr>
                <w:rFonts w:hint="eastAsia" w:ascii="黑体" w:hAnsi="宋体" w:eastAsia="黑体" w:cs="黑体"/>
                <w:i w:val="0"/>
                <w:iCs w:val="0"/>
                <w:color w:val="000000"/>
                <w:kern w:val="0"/>
                <w:sz w:val="24"/>
                <w:szCs w:val="24"/>
                <w:u w:val="none"/>
                <w:lang w:val="en-US" w:eastAsia="zh-CN" w:bidi="ar"/>
              </w:rPr>
              <w:t>主管科室</w:t>
            </w:r>
            <w:r>
              <w:rPr>
                <w:rFonts w:hint="eastAsia" w:ascii="黑体" w:hAnsi="宋体" w:eastAsia="黑体" w:cs="黑体"/>
                <w:i w:val="0"/>
                <w:iCs w:val="0"/>
                <w:color w:val="000000"/>
                <w:kern w:val="0"/>
                <w:sz w:val="24"/>
                <w:szCs w:val="24"/>
                <w:u w:val="none"/>
                <w:lang w:val="en-US" w:eastAsia="zh-CN" w:bidi="ar"/>
              </w:rPr>
              <w:br w:type="textWrapping"/>
            </w:r>
            <w:r>
              <w:rPr>
                <w:rFonts w:hint="eastAsia" w:ascii="黑体" w:hAnsi="宋体" w:eastAsia="黑体" w:cs="黑体"/>
                <w:i w:val="0"/>
                <w:iCs w:val="0"/>
                <w:color w:val="000000"/>
                <w:kern w:val="0"/>
                <w:sz w:val="24"/>
                <w:szCs w:val="24"/>
                <w:u w:val="none"/>
                <w:lang w:val="en-US" w:eastAsia="zh-CN" w:bidi="ar"/>
              </w:rPr>
              <w:t>复评说明</w:t>
            </w:r>
          </w:p>
        </w:tc>
        <w:tc>
          <w:tcPr>
            <w:tcW w:w="15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CF490D0">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i w:val="0"/>
                <w:iCs w:val="0"/>
                <w:color w:val="000000"/>
                <w:sz w:val="24"/>
                <w:szCs w:val="24"/>
                <w:u w:val="none"/>
              </w:rPr>
            </w:pPr>
            <w:r>
              <w:rPr>
                <w:rFonts w:hint="eastAsia" w:ascii="黑体" w:hAnsi="宋体" w:eastAsia="黑体" w:cs="黑体"/>
                <w:i w:val="0"/>
                <w:iCs w:val="0"/>
                <w:color w:val="000000"/>
                <w:kern w:val="0"/>
                <w:sz w:val="24"/>
                <w:szCs w:val="24"/>
                <w:u w:val="none"/>
                <w:lang w:val="en-US" w:eastAsia="zh-CN" w:bidi="ar"/>
              </w:rPr>
              <w:t>主管科室</w:t>
            </w:r>
            <w:r>
              <w:rPr>
                <w:rFonts w:hint="eastAsia" w:ascii="黑体" w:hAnsi="宋体" w:eastAsia="黑体" w:cs="黑体"/>
                <w:i w:val="0"/>
                <w:iCs w:val="0"/>
                <w:color w:val="000000"/>
                <w:kern w:val="0"/>
                <w:sz w:val="24"/>
                <w:szCs w:val="24"/>
                <w:u w:val="none"/>
                <w:lang w:val="en-US" w:eastAsia="zh-CN" w:bidi="ar"/>
              </w:rPr>
              <w:br w:type="textWrapping"/>
            </w:r>
            <w:r>
              <w:rPr>
                <w:rFonts w:hint="eastAsia" w:ascii="黑体" w:hAnsi="宋体" w:eastAsia="黑体" w:cs="黑体"/>
                <w:i w:val="0"/>
                <w:iCs w:val="0"/>
                <w:color w:val="000000"/>
                <w:kern w:val="0"/>
                <w:sz w:val="24"/>
                <w:szCs w:val="24"/>
                <w:u w:val="none"/>
                <w:lang w:val="en-US" w:eastAsia="zh-CN" w:bidi="ar"/>
              </w:rPr>
              <w:t>复评得分</w:t>
            </w:r>
          </w:p>
        </w:tc>
        <w:tc>
          <w:tcPr>
            <w:tcW w:w="16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EC4C0C5">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i w:val="0"/>
                <w:iCs w:val="0"/>
                <w:color w:val="000000"/>
                <w:sz w:val="24"/>
                <w:szCs w:val="24"/>
                <w:u w:val="none"/>
              </w:rPr>
            </w:pPr>
            <w:r>
              <w:rPr>
                <w:rFonts w:hint="eastAsia" w:ascii="黑体" w:hAnsi="宋体" w:eastAsia="黑体" w:cs="黑体"/>
                <w:i w:val="0"/>
                <w:iCs w:val="0"/>
                <w:color w:val="000000"/>
                <w:kern w:val="0"/>
                <w:sz w:val="24"/>
                <w:szCs w:val="24"/>
                <w:u w:val="none"/>
                <w:lang w:val="en-US" w:eastAsia="zh-CN" w:bidi="ar"/>
              </w:rPr>
              <w:t>备注</w:t>
            </w:r>
          </w:p>
        </w:tc>
      </w:tr>
      <w:tr w14:paraId="4E0EAC5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17" w:hRule="atLeast"/>
        </w:trPr>
        <w:tc>
          <w:tcPr>
            <w:tcW w:w="373" w:type="pct"/>
            <w:gridSpan w:val="2"/>
            <w:tcBorders>
              <w:top w:val="single" w:color="000000" w:sz="4" w:space="0"/>
              <w:left w:val="single" w:color="000000" w:sz="4" w:space="0"/>
              <w:bottom w:val="single" w:color="000000" w:sz="4" w:space="0"/>
              <w:right w:val="nil"/>
            </w:tcBorders>
            <w:shd w:val="clear" w:color="auto" w:fill="auto"/>
            <w:vAlign w:val="center"/>
          </w:tcPr>
          <w:p w14:paraId="7A32FCCB">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i w:val="0"/>
                <w:iCs w:val="0"/>
                <w:color w:val="000000"/>
                <w:sz w:val="24"/>
                <w:szCs w:val="24"/>
                <w:u w:val="none"/>
              </w:rPr>
            </w:pPr>
            <w:r>
              <w:rPr>
                <w:rFonts w:hint="eastAsia" w:ascii="黑体" w:hAnsi="宋体" w:eastAsia="黑体" w:cs="黑体"/>
                <w:i w:val="0"/>
                <w:iCs w:val="0"/>
                <w:color w:val="000000"/>
                <w:kern w:val="0"/>
                <w:sz w:val="24"/>
                <w:szCs w:val="24"/>
                <w:u w:val="none"/>
                <w:lang w:val="en-US" w:eastAsia="zh-CN" w:bidi="ar"/>
              </w:rPr>
              <w:t>一级指标</w:t>
            </w:r>
          </w:p>
        </w:tc>
        <w:tc>
          <w:tcPr>
            <w:tcW w:w="239"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FDD8FC3">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i w:val="0"/>
                <w:iCs w:val="0"/>
                <w:color w:val="000000"/>
                <w:sz w:val="24"/>
                <w:szCs w:val="24"/>
                <w:u w:val="none"/>
              </w:rPr>
            </w:pPr>
            <w:r>
              <w:rPr>
                <w:rFonts w:hint="eastAsia" w:ascii="黑体" w:hAnsi="宋体" w:eastAsia="黑体" w:cs="黑体"/>
                <w:i w:val="0"/>
                <w:iCs w:val="0"/>
                <w:color w:val="000000"/>
                <w:kern w:val="0"/>
                <w:sz w:val="24"/>
                <w:szCs w:val="24"/>
                <w:u w:val="none"/>
                <w:lang w:val="en-US" w:eastAsia="zh-CN" w:bidi="ar"/>
              </w:rPr>
              <w:t>二级指标</w:t>
            </w:r>
          </w:p>
        </w:tc>
        <w:tc>
          <w:tcPr>
            <w:tcW w:w="396"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C8E4999">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i w:val="0"/>
                <w:iCs w:val="0"/>
                <w:color w:val="000000"/>
                <w:sz w:val="24"/>
                <w:szCs w:val="24"/>
                <w:u w:val="none"/>
              </w:rPr>
            </w:pPr>
            <w:r>
              <w:rPr>
                <w:rFonts w:hint="eastAsia" w:ascii="黑体" w:hAnsi="宋体" w:eastAsia="黑体" w:cs="黑体"/>
                <w:i w:val="0"/>
                <w:iCs w:val="0"/>
                <w:color w:val="000000"/>
                <w:kern w:val="0"/>
                <w:sz w:val="24"/>
                <w:szCs w:val="24"/>
                <w:u w:val="none"/>
                <w:lang w:val="en-US" w:eastAsia="zh-CN" w:bidi="ar"/>
              </w:rPr>
              <w:t>三级指标</w:t>
            </w:r>
          </w:p>
        </w:tc>
        <w:tc>
          <w:tcPr>
            <w:tcW w:w="1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4A69C3">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i w:val="0"/>
                <w:iCs w:val="0"/>
                <w:color w:val="000000"/>
                <w:sz w:val="24"/>
                <w:szCs w:val="24"/>
                <w:u w:val="none"/>
              </w:rPr>
            </w:pPr>
            <w:r>
              <w:rPr>
                <w:rFonts w:hint="eastAsia" w:ascii="黑体" w:hAnsi="宋体" w:eastAsia="黑体" w:cs="黑体"/>
                <w:i w:val="0"/>
                <w:iCs w:val="0"/>
                <w:color w:val="000000"/>
                <w:kern w:val="0"/>
                <w:sz w:val="24"/>
                <w:szCs w:val="24"/>
                <w:u w:val="none"/>
                <w:lang w:val="en-US" w:eastAsia="zh-CN" w:bidi="ar"/>
              </w:rPr>
              <w:t>指标</w:t>
            </w:r>
            <w:r>
              <w:rPr>
                <w:rFonts w:hint="eastAsia" w:ascii="黑体" w:hAnsi="宋体" w:eastAsia="黑体" w:cs="黑体"/>
                <w:i w:val="0"/>
                <w:iCs w:val="0"/>
                <w:color w:val="000000"/>
                <w:kern w:val="0"/>
                <w:sz w:val="24"/>
                <w:szCs w:val="24"/>
                <w:u w:val="none"/>
                <w:lang w:val="en-US" w:eastAsia="zh-CN" w:bidi="ar"/>
              </w:rPr>
              <w:br w:type="textWrapping"/>
            </w:r>
            <w:r>
              <w:rPr>
                <w:rFonts w:hint="eastAsia" w:ascii="黑体" w:hAnsi="宋体" w:eastAsia="黑体" w:cs="黑体"/>
                <w:i w:val="0"/>
                <w:iCs w:val="0"/>
                <w:color w:val="000000"/>
                <w:kern w:val="0"/>
                <w:sz w:val="24"/>
                <w:szCs w:val="24"/>
                <w:u w:val="none"/>
                <w:lang w:val="en-US" w:eastAsia="zh-CN" w:bidi="ar"/>
              </w:rPr>
              <w:t>分值</w:t>
            </w:r>
          </w:p>
        </w:tc>
        <w:tc>
          <w:tcPr>
            <w:tcW w:w="56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3266E9">
            <w:pPr>
              <w:keepNext w:val="0"/>
              <w:keepLines w:val="0"/>
              <w:suppressLineNumbers w:val="0"/>
              <w:spacing w:before="0" w:beforeAutospacing="0" w:after="0" w:afterAutospacing="0"/>
              <w:ind w:left="0" w:right="0"/>
              <w:jc w:val="center"/>
              <w:rPr>
                <w:rFonts w:hint="eastAsia" w:ascii="黑体" w:hAnsi="宋体" w:eastAsia="黑体" w:cs="黑体"/>
                <w:i w:val="0"/>
                <w:iCs w:val="0"/>
                <w:color w:val="000000"/>
                <w:sz w:val="24"/>
                <w:szCs w:val="24"/>
                <w:u w:val="none"/>
              </w:rPr>
            </w:pPr>
          </w:p>
        </w:tc>
        <w:tc>
          <w:tcPr>
            <w:tcW w:w="423"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19D5C7">
            <w:pPr>
              <w:keepNext w:val="0"/>
              <w:keepLines w:val="0"/>
              <w:suppressLineNumbers w:val="0"/>
              <w:spacing w:before="0" w:beforeAutospacing="0" w:after="0" w:afterAutospacing="0"/>
              <w:ind w:left="0" w:right="0"/>
              <w:jc w:val="center"/>
              <w:rPr>
                <w:rFonts w:hint="eastAsia" w:ascii="黑体" w:hAnsi="宋体" w:eastAsia="黑体" w:cs="黑体"/>
                <w:i w:val="0"/>
                <w:iCs w:val="0"/>
                <w:color w:val="000000"/>
                <w:sz w:val="24"/>
                <w:szCs w:val="24"/>
                <w:u w:val="none"/>
              </w:rPr>
            </w:pPr>
          </w:p>
        </w:tc>
        <w:tc>
          <w:tcPr>
            <w:tcW w:w="1333" w:type="pct"/>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D642DB">
            <w:pPr>
              <w:keepNext w:val="0"/>
              <w:keepLines w:val="0"/>
              <w:suppressLineNumbers w:val="0"/>
              <w:spacing w:before="0" w:beforeAutospacing="0" w:after="0" w:afterAutospacing="0"/>
              <w:ind w:left="0" w:right="0"/>
              <w:jc w:val="center"/>
              <w:rPr>
                <w:rFonts w:hint="eastAsia" w:ascii="黑体" w:hAnsi="宋体" w:eastAsia="黑体" w:cs="黑体"/>
                <w:i w:val="0"/>
                <w:iCs w:val="0"/>
                <w:color w:val="000000"/>
                <w:sz w:val="24"/>
                <w:szCs w:val="24"/>
                <w:u w:val="none"/>
              </w:rPr>
            </w:pPr>
          </w:p>
        </w:tc>
        <w:tc>
          <w:tcPr>
            <w:tcW w:w="322"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77C674">
            <w:pPr>
              <w:keepNext w:val="0"/>
              <w:keepLines w:val="0"/>
              <w:suppressLineNumbers w:val="0"/>
              <w:spacing w:before="0" w:beforeAutospacing="0" w:after="0" w:afterAutospacing="0"/>
              <w:ind w:left="0" w:right="0"/>
              <w:jc w:val="center"/>
              <w:rPr>
                <w:rFonts w:hint="eastAsia" w:ascii="黑体" w:hAnsi="宋体" w:eastAsia="黑体" w:cs="黑体"/>
                <w:i w:val="0"/>
                <w:iCs w:val="0"/>
                <w:color w:val="000000"/>
                <w:sz w:val="24"/>
                <w:szCs w:val="24"/>
                <w:u w:val="none"/>
              </w:rPr>
            </w:pPr>
          </w:p>
        </w:tc>
        <w:tc>
          <w:tcPr>
            <w:tcW w:w="511"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07F350">
            <w:pPr>
              <w:keepNext w:val="0"/>
              <w:keepLines w:val="0"/>
              <w:suppressLineNumbers w:val="0"/>
              <w:spacing w:before="0" w:beforeAutospacing="0" w:after="0" w:afterAutospacing="0"/>
              <w:ind w:left="0" w:right="0"/>
              <w:jc w:val="center"/>
              <w:rPr>
                <w:rFonts w:hint="eastAsia" w:ascii="黑体" w:hAnsi="宋体" w:eastAsia="黑体" w:cs="黑体"/>
                <w:i w:val="0"/>
                <w:iCs w:val="0"/>
                <w:color w:val="000000"/>
                <w:sz w:val="24"/>
                <w:szCs w:val="24"/>
                <w:u w:val="none"/>
              </w:rPr>
            </w:pPr>
          </w:p>
        </w:tc>
        <w:tc>
          <w:tcPr>
            <w:tcW w:w="26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E8DB82">
            <w:pPr>
              <w:keepNext w:val="0"/>
              <w:keepLines w:val="0"/>
              <w:suppressLineNumbers w:val="0"/>
              <w:spacing w:before="0" w:beforeAutospacing="0" w:after="0" w:afterAutospacing="0"/>
              <w:ind w:left="0" w:right="0"/>
              <w:jc w:val="center"/>
              <w:rPr>
                <w:rFonts w:hint="eastAsia" w:ascii="黑体" w:hAnsi="宋体" w:eastAsia="黑体" w:cs="黑体"/>
                <w:i w:val="0"/>
                <w:iCs w:val="0"/>
                <w:color w:val="000000"/>
                <w:sz w:val="24"/>
                <w:szCs w:val="24"/>
                <w:u w:val="none"/>
              </w:rPr>
            </w:pPr>
          </w:p>
        </w:tc>
        <w:tc>
          <w:tcPr>
            <w:tcW w:w="12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7A041D">
            <w:pPr>
              <w:keepNext w:val="0"/>
              <w:keepLines w:val="0"/>
              <w:suppressLineNumbers w:val="0"/>
              <w:spacing w:before="0" w:beforeAutospacing="0" w:after="0" w:afterAutospacing="0"/>
              <w:ind w:left="0" w:right="0"/>
              <w:jc w:val="center"/>
              <w:rPr>
                <w:rFonts w:hint="eastAsia" w:ascii="黑体" w:hAnsi="宋体" w:eastAsia="黑体" w:cs="黑体"/>
                <w:i w:val="0"/>
                <w:iCs w:val="0"/>
                <w:color w:val="000000"/>
                <w:sz w:val="24"/>
                <w:szCs w:val="24"/>
                <w:u w:val="none"/>
              </w:rPr>
            </w:pPr>
          </w:p>
        </w:tc>
        <w:tc>
          <w:tcPr>
            <w:tcW w:w="1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DD0A79">
            <w:pPr>
              <w:keepNext w:val="0"/>
              <w:keepLines w:val="0"/>
              <w:suppressLineNumbers w:val="0"/>
              <w:spacing w:before="0" w:beforeAutospacing="0" w:after="0" w:afterAutospacing="0"/>
              <w:ind w:left="0" w:right="0"/>
              <w:jc w:val="center"/>
              <w:rPr>
                <w:rFonts w:hint="eastAsia" w:ascii="黑体" w:hAnsi="宋体" w:eastAsia="黑体" w:cs="黑体"/>
                <w:i w:val="0"/>
                <w:iCs w:val="0"/>
                <w:color w:val="000000"/>
                <w:sz w:val="24"/>
                <w:szCs w:val="24"/>
                <w:u w:val="none"/>
              </w:rPr>
            </w:pPr>
          </w:p>
        </w:tc>
        <w:tc>
          <w:tcPr>
            <w:tcW w:w="16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526DB1">
            <w:pPr>
              <w:keepNext w:val="0"/>
              <w:keepLines w:val="0"/>
              <w:suppressLineNumbers w:val="0"/>
              <w:spacing w:before="0" w:beforeAutospacing="0" w:after="0" w:afterAutospacing="0"/>
              <w:ind w:left="0" w:right="0"/>
              <w:jc w:val="center"/>
              <w:rPr>
                <w:rFonts w:hint="eastAsia" w:ascii="黑体" w:hAnsi="宋体" w:eastAsia="黑体" w:cs="黑体"/>
                <w:i w:val="0"/>
                <w:iCs w:val="0"/>
                <w:color w:val="000000"/>
                <w:sz w:val="24"/>
                <w:szCs w:val="24"/>
                <w:u w:val="none"/>
              </w:rPr>
            </w:pPr>
          </w:p>
        </w:tc>
      </w:tr>
      <w:tr w14:paraId="59F30A0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373" w:type="pct"/>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1BBE30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总体绩效</w:t>
            </w:r>
            <w:r>
              <w:rPr>
                <w:rFonts w:hint="eastAsia" w:ascii="宋体" w:hAnsi="宋体" w:eastAsia="宋体" w:cs="宋体"/>
                <w:b/>
                <w:bCs/>
                <w:i w:val="0"/>
                <w:iCs w:val="0"/>
                <w:color w:val="000000"/>
                <w:kern w:val="0"/>
                <w:sz w:val="24"/>
                <w:szCs w:val="24"/>
                <w:u w:val="none"/>
                <w:lang w:val="en-US" w:eastAsia="zh-CN" w:bidi="ar"/>
              </w:rPr>
              <w:br w:type="textWrapping"/>
            </w:r>
            <w:r>
              <w:rPr>
                <w:rFonts w:hint="eastAsia" w:ascii="宋体" w:hAnsi="宋体" w:eastAsia="宋体" w:cs="宋体"/>
                <w:b/>
                <w:bCs/>
                <w:i w:val="0"/>
                <w:iCs w:val="0"/>
                <w:color w:val="000000"/>
                <w:kern w:val="0"/>
                <w:sz w:val="24"/>
                <w:szCs w:val="24"/>
                <w:u w:val="none"/>
                <w:lang w:val="en-US" w:eastAsia="zh-CN" w:bidi="ar"/>
              </w:rPr>
              <w:t>（65分）</w:t>
            </w:r>
          </w:p>
        </w:tc>
        <w:tc>
          <w:tcPr>
            <w:tcW w:w="239" w:type="pct"/>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D837D6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履职效能</w:t>
            </w:r>
            <w:r>
              <w:rPr>
                <w:rFonts w:hint="eastAsia" w:ascii="宋体" w:hAnsi="宋体" w:eastAsia="宋体" w:cs="宋体"/>
                <w:b/>
                <w:bCs/>
                <w:i w:val="0"/>
                <w:iCs w:val="0"/>
                <w:color w:val="000000"/>
                <w:kern w:val="0"/>
                <w:sz w:val="24"/>
                <w:szCs w:val="24"/>
                <w:u w:val="none"/>
                <w:lang w:val="en-US" w:eastAsia="zh-CN" w:bidi="ar"/>
              </w:rPr>
              <w:br w:type="textWrapping"/>
            </w:r>
            <w:r>
              <w:rPr>
                <w:rFonts w:hint="eastAsia" w:ascii="宋体" w:hAnsi="宋体" w:eastAsia="宋体" w:cs="宋体"/>
                <w:b/>
                <w:bCs/>
                <w:i w:val="0"/>
                <w:iCs w:val="0"/>
                <w:color w:val="000000"/>
                <w:kern w:val="0"/>
                <w:sz w:val="24"/>
                <w:szCs w:val="24"/>
                <w:u w:val="none"/>
                <w:lang w:val="en-US" w:eastAsia="zh-CN" w:bidi="ar"/>
              </w:rPr>
              <w:t>（15分）</w:t>
            </w:r>
          </w:p>
        </w:tc>
        <w:tc>
          <w:tcPr>
            <w:tcW w:w="396"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4A1EAC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XX履职效果</w:t>
            </w:r>
          </w:p>
        </w:tc>
        <w:tc>
          <w:tcPr>
            <w:tcW w:w="116" w:type="pct"/>
            <w:vMerge w:val="restart"/>
            <w:tcBorders>
              <w:top w:val="nil"/>
              <w:left w:val="single" w:color="000000" w:sz="4" w:space="0"/>
              <w:bottom w:val="single" w:color="000000" w:sz="4" w:space="0"/>
              <w:right w:val="single" w:color="000000" w:sz="4" w:space="0"/>
            </w:tcBorders>
            <w:shd w:val="clear" w:color="auto" w:fill="auto"/>
            <w:vAlign w:val="center"/>
          </w:tcPr>
          <w:p w14:paraId="3928E91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15</w:t>
            </w:r>
          </w:p>
        </w:tc>
        <w:tc>
          <w:tcPr>
            <w:tcW w:w="56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8ED5FCE">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部门整体绩效目标中选定3-5个核心职能目标，反映该项职能目标完成效果情况</w:t>
            </w:r>
          </w:p>
        </w:tc>
        <w:tc>
          <w:tcPr>
            <w:tcW w:w="423" w:type="pct"/>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68F687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比率分值法</w:t>
            </w:r>
          </w:p>
        </w:tc>
        <w:tc>
          <w:tcPr>
            <w:tcW w:w="1333" w:type="pct"/>
            <w:gridSpan w:val="3"/>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95C8D30">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部门整体绩效目标中选定3-5个可量化计算、可评价的核心职能目标，分别设定指标分值、指标解释、评分方法和评分说明，总分值不超过15分。该项指标得分=年终完成履职效果目标数量÷年初目标设置总数×100%×指标分值。履职效能总分为各项履职效果得分的和。</w:t>
            </w:r>
          </w:p>
        </w:tc>
        <w:tc>
          <w:tcPr>
            <w:tcW w:w="322"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FE7565C">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是</w:t>
            </w:r>
          </w:p>
        </w:tc>
        <w:tc>
          <w:tcPr>
            <w:tcW w:w="511"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63A5DFC">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见自评报告</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E80AA6">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c>
          <w:tcPr>
            <w:tcW w:w="1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CE040D">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1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7AABD3">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16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97408B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4"/>
                <w:szCs w:val="24"/>
                <w:u w:val="none"/>
              </w:rPr>
            </w:pPr>
          </w:p>
        </w:tc>
      </w:tr>
      <w:tr w14:paraId="4C36B2A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373"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B47B01">
            <w:pPr>
              <w:keepNext w:val="0"/>
              <w:keepLines w:val="0"/>
              <w:suppressLineNumbers w:val="0"/>
              <w:spacing w:before="0" w:beforeAutospacing="0" w:after="0" w:afterAutospacing="0"/>
              <w:ind w:left="0" w:right="0"/>
              <w:jc w:val="center"/>
              <w:rPr>
                <w:rFonts w:hint="eastAsia" w:ascii="宋体" w:hAnsi="宋体" w:eastAsia="宋体" w:cs="宋体"/>
                <w:b/>
                <w:bCs/>
                <w:i w:val="0"/>
                <w:iCs w:val="0"/>
                <w:color w:val="000000"/>
                <w:sz w:val="24"/>
                <w:szCs w:val="24"/>
                <w:u w:val="none"/>
              </w:rPr>
            </w:pPr>
          </w:p>
        </w:tc>
        <w:tc>
          <w:tcPr>
            <w:tcW w:w="239"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0B88CF">
            <w:pPr>
              <w:keepNext w:val="0"/>
              <w:keepLines w:val="0"/>
              <w:suppressLineNumbers w:val="0"/>
              <w:spacing w:before="0" w:beforeAutospacing="0" w:after="0" w:afterAutospacing="0"/>
              <w:ind w:left="0" w:right="0"/>
              <w:jc w:val="center"/>
              <w:rPr>
                <w:rFonts w:hint="eastAsia" w:ascii="宋体" w:hAnsi="宋体" w:eastAsia="宋体" w:cs="宋体"/>
                <w:b/>
                <w:bCs/>
                <w:i w:val="0"/>
                <w:iCs w:val="0"/>
                <w:color w:val="000000"/>
                <w:sz w:val="24"/>
                <w:szCs w:val="24"/>
                <w:u w:val="none"/>
              </w:rPr>
            </w:pPr>
          </w:p>
        </w:tc>
        <w:tc>
          <w:tcPr>
            <w:tcW w:w="396"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BB7E8B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XX履职效果</w:t>
            </w:r>
          </w:p>
        </w:tc>
        <w:tc>
          <w:tcPr>
            <w:tcW w:w="116" w:type="pct"/>
            <w:vMerge w:val="continue"/>
            <w:tcBorders>
              <w:top w:val="nil"/>
              <w:left w:val="single" w:color="000000" w:sz="4" w:space="0"/>
              <w:bottom w:val="single" w:color="000000" w:sz="4" w:space="0"/>
              <w:right w:val="single" w:color="000000" w:sz="4" w:space="0"/>
            </w:tcBorders>
            <w:shd w:val="clear" w:color="auto" w:fill="auto"/>
            <w:vAlign w:val="center"/>
          </w:tcPr>
          <w:p w14:paraId="420F3F2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4"/>
                <w:szCs w:val="24"/>
                <w:u w:val="none"/>
              </w:rPr>
            </w:pPr>
          </w:p>
        </w:tc>
        <w:tc>
          <w:tcPr>
            <w:tcW w:w="56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C80831">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423"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82FCC1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4"/>
                <w:szCs w:val="24"/>
                <w:u w:val="none"/>
              </w:rPr>
            </w:pPr>
          </w:p>
        </w:tc>
        <w:tc>
          <w:tcPr>
            <w:tcW w:w="1333" w:type="pct"/>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AE6FD2">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322"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8BEA22E">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是</w:t>
            </w:r>
          </w:p>
        </w:tc>
        <w:tc>
          <w:tcPr>
            <w:tcW w:w="511"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CD16FEC">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见自评报告</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6F80DC">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c>
          <w:tcPr>
            <w:tcW w:w="1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71CDB8">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1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C03107">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16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D8589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4"/>
                <w:szCs w:val="24"/>
                <w:u w:val="none"/>
              </w:rPr>
            </w:pPr>
          </w:p>
        </w:tc>
      </w:tr>
      <w:tr w14:paraId="1614D53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373"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CEE899">
            <w:pPr>
              <w:keepNext w:val="0"/>
              <w:keepLines w:val="0"/>
              <w:suppressLineNumbers w:val="0"/>
              <w:spacing w:before="0" w:beforeAutospacing="0" w:after="0" w:afterAutospacing="0"/>
              <w:ind w:left="0" w:right="0"/>
              <w:jc w:val="center"/>
              <w:rPr>
                <w:rFonts w:hint="eastAsia" w:ascii="宋体" w:hAnsi="宋体" w:eastAsia="宋体" w:cs="宋体"/>
                <w:b/>
                <w:bCs/>
                <w:i w:val="0"/>
                <w:iCs w:val="0"/>
                <w:color w:val="000000"/>
                <w:sz w:val="24"/>
                <w:szCs w:val="24"/>
                <w:u w:val="none"/>
              </w:rPr>
            </w:pPr>
          </w:p>
        </w:tc>
        <w:tc>
          <w:tcPr>
            <w:tcW w:w="239"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522F45">
            <w:pPr>
              <w:keepNext w:val="0"/>
              <w:keepLines w:val="0"/>
              <w:suppressLineNumbers w:val="0"/>
              <w:spacing w:before="0" w:beforeAutospacing="0" w:after="0" w:afterAutospacing="0"/>
              <w:ind w:left="0" w:right="0"/>
              <w:jc w:val="center"/>
              <w:rPr>
                <w:rFonts w:hint="eastAsia" w:ascii="宋体" w:hAnsi="宋体" w:eastAsia="宋体" w:cs="宋体"/>
                <w:b/>
                <w:bCs/>
                <w:i w:val="0"/>
                <w:iCs w:val="0"/>
                <w:color w:val="000000"/>
                <w:sz w:val="24"/>
                <w:szCs w:val="24"/>
                <w:u w:val="none"/>
              </w:rPr>
            </w:pPr>
          </w:p>
        </w:tc>
        <w:tc>
          <w:tcPr>
            <w:tcW w:w="396"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9B537C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XX履职效果</w:t>
            </w:r>
          </w:p>
        </w:tc>
        <w:tc>
          <w:tcPr>
            <w:tcW w:w="116" w:type="pct"/>
            <w:vMerge w:val="continue"/>
            <w:tcBorders>
              <w:top w:val="nil"/>
              <w:left w:val="single" w:color="000000" w:sz="4" w:space="0"/>
              <w:bottom w:val="single" w:color="000000" w:sz="4" w:space="0"/>
              <w:right w:val="single" w:color="000000" w:sz="4" w:space="0"/>
            </w:tcBorders>
            <w:shd w:val="clear" w:color="auto" w:fill="auto"/>
            <w:vAlign w:val="center"/>
          </w:tcPr>
          <w:p w14:paraId="675DC0F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4"/>
                <w:szCs w:val="24"/>
                <w:u w:val="none"/>
              </w:rPr>
            </w:pPr>
          </w:p>
        </w:tc>
        <w:tc>
          <w:tcPr>
            <w:tcW w:w="56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9927AD">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423"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DC6F1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4"/>
                <w:szCs w:val="24"/>
                <w:u w:val="none"/>
              </w:rPr>
            </w:pPr>
          </w:p>
        </w:tc>
        <w:tc>
          <w:tcPr>
            <w:tcW w:w="1333" w:type="pct"/>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102F6E">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322"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D7D7C01">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是</w:t>
            </w:r>
          </w:p>
        </w:tc>
        <w:tc>
          <w:tcPr>
            <w:tcW w:w="511"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DFD14E4">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见自评报告</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FDD823">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c>
          <w:tcPr>
            <w:tcW w:w="1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F65480">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1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5C5386">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16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1767E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4"/>
                <w:szCs w:val="24"/>
                <w:u w:val="none"/>
              </w:rPr>
            </w:pPr>
          </w:p>
        </w:tc>
      </w:tr>
      <w:tr w14:paraId="4D9AB6D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373"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F0BFFE">
            <w:pPr>
              <w:keepNext w:val="0"/>
              <w:keepLines w:val="0"/>
              <w:suppressLineNumbers w:val="0"/>
              <w:spacing w:before="0" w:beforeAutospacing="0" w:after="0" w:afterAutospacing="0"/>
              <w:ind w:left="0" w:right="0"/>
              <w:jc w:val="center"/>
              <w:rPr>
                <w:rFonts w:hint="eastAsia" w:ascii="宋体" w:hAnsi="宋体" w:eastAsia="宋体" w:cs="宋体"/>
                <w:b/>
                <w:bCs/>
                <w:i w:val="0"/>
                <w:iCs w:val="0"/>
                <w:color w:val="000000"/>
                <w:sz w:val="24"/>
                <w:szCs w:val="24"/>
                <w:u w:val="none"/>
              </w:rPr>
            </w:pPr>
          </w:p>
        </w:tc>
        <w:tc>
          <w:tcPr>
            <w:tcW w:w="239"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1E29AC">
            <w:pPr>
              <w:keepNext w:val="0"/>
              <w:keepLines w:val="0"/>
              <w:suppressLineNumbers w:val="0"/>
              <w:spacing w:before="0" w:beforeAutospacing="0" w:after="0" w:afterAutospacing="0"/>
              <w:ind w:left="0" w:right="0"/>
              <w:jc w:val="center"/>
              <w:rPr>
                <w:rFonts w:hint="eastAsia" w:ascii="宋体" w:hAnsi="宋体" w:eastAsia="宋体" w:cs="宋体"/>
                <w:b/>
                <w:bCs/>
                <w:i w:val="0"/>
                <w:iCs w:val="0"/>
                <w:color w:val="000000"/>
                <w:sz w:val="24"/>
                <w:szCs w:val="24"/>
                <w:u w:val="none"/>
              </w:rPr>
            </w:pPr>
          </w:p>
        </w:tc>
        <w:tc>
          <w:tcPr>
            <w:tcW w:w="396"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79FF4E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XX履职效果</w:t>
            </w:r>
          </w:p>
        </w:tc>
        <w:tc>
          <w:tcPr>
            <w:tcW w:w="116" w:type="pct"/>
            <w:vMerge w:val="continue"/>
            <w:tcBorders>
              <w:top w:val="nil"/>
              <w:left w:val="single" w:color="000000" w:sz="4" w:space="0"/>
              <w:bottom w:val="single" w:color="000000" w:sz="4" w:space="0"/>
              <w:right w:val="single" w:color="000000" w:sz="4" w:space="0"/>
            </w:tcBorders>
            <w:shd w:val="clear" w:color="auto" w:fill="auto"/>
            <w:vAlign w:val="center"/>
          </w:tcPr>
          <w:p w14:paraId="074B9E1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4"/>
                <w:szCs w:val="24"/>
                <w:u w:val="none"/>
              </w:rPr>
            </w:pPr>
          </w:p>
        </w:tc>
        <w:tc>
          <w:tcPr>
            <w:tcW w:w="56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E754F7">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423"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6A240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4"/>
                <w:szCs w:val="24"/>
                <w:u w:val="none"/>
              </w:rPr>
            </w:pPr>
          </w:p>
        </w:tc>
        <w:tc>
          <w:tcPr>
            <w:tcW w:w="1333" w:type="pct"/>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CA67F6">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322"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6F95DA5">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511"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33BC8C1">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F04EB1">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1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F82D06">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1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076C9A">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16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7CD02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4"/>
                <w:szCs w:val="24"/>
                <w:u w:val="none"/>
              </w:rPr>
            </w:pPr>
          </w:p>
        </w:tc>
      </w:tr>
      <w:tr w14:paraId="461BFB8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373"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72C21F">
            <w:pPr>
              <w:keepNext w:val="0"/>
              <w:keepLines w:val="0"/>
              <w:suppressLineNumbers w:val="0"/>
              <w:spacing w:before="0" w:beforeAutospacing="0" w:after="0" w:afterAutospacing="0"/>
              <w:ind w:left="0" w:right="0"/>
              <w:jc w:val="center"/>
              <w:rPr>
                <w:rFonts w:hint="eastAsia" w:ascii="宋体" w:hAnsi="宋体" w:eastAsia="宋体" w:cs="宋体"/>
                <w:b/>
                <w:bCs/>
                <w:i w:val="0"/>
                <w:iCs w:val="0"/>
                <w:color w:val="000000"/>
                <w:sz w:val="24"/>
                <w:szCs w:val="24"/>
                <w:u w:val="none"/>
              </w:rPr>
            </w:pPr>
          </w:p>
        </w:tc>
        <w:tc>
          <w:tcPr>
            <w:tcW w:w="239"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7E7721">
            <w:pPr>
              <w:keepNext w:val="0"/>
              <w:keepLines w:val="0"/>
              <w:suppressLineNumbers w:val="0"/>
              <w:spacing w:before="0" w:beforeAutospacing="0" w:after="0" w:afterAutospacing="0"/>
              <w:ind w:left="0" w:right="0"/>
              <w:jc w:val="center"/>
              <w:rPr>
                <w:rFonts w:hint="eastAsia" w:ascii="宋体" w:hAnsi="宋体" w:eastAsia="宋体" w:cs="宋体"/>
                <w:b/>
                <w:bCs/>
                <w:i w:val="0"/>
                <w:iCs w:val="0"/>
                <w:color w:val="000000"/>
                <w:sz w:val="24"/>
                <w:szCs w:val="24"/>
                <w:u w:val="none"/>
              </w:rPr>
            </w:pPr>
          </w:p>
        </w:tc>
        <w:tc>
          <w:tcPr>
            <w:tcW w:w="396"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80AA5B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XX履职效果</w:t>
            </w:r>
          </w:p>
        </w:tc>
        <w:tc>
          <w:tcPr>
            <w:tcW w:w="116" w:type="pct"/>
            <w:vMerge w:val="continue"/>
            <w:tcBorders>
              <w:top w:val="nil"/>
              <w:left w:val="single" w:color="000000" w:sz="4" w:space="0"/>
              <w:bottom w:val="single" w:color="000000" w:sz="4" w:space="0"/>
              <w:right w:val="single" w:color="000000" w:sz="4" w:space="0"/>
            </w:tcBorders>
            <w:shd w:val="clear" w:color="auto" w:fill="auto"/>
            <w:vAlign w:val="center"/>
          </w:tcPr>
          <w:p w14:paraId="7BBBC46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4"/>
                <w:szCs w:val="24"/>
                <w:u w:val="none"/>
              </w:rPr>
            </w:pPr>
          </w:p>
        </w:tc>
        <w:tc>
          <w:tcPr>
            <w:tcW w:w="56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8B07A2">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423"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4E93E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4"/>
                <w:szCs w:val="24"/>
                <w:u w:val="none"/>
              </w:rPr>
            </w:pPr>
          </w:p>
        </w:tc>
        <w:tc>
          <w:tcPr>
            <w:tcW w:w="1333" w:type="pct"/>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00DB03">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322"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A9B624D">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511"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3C104C2">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EECD3D">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1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B79E2C">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1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921ED4">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16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21DB9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4"/>
                <w:szCs w:val="24"/>
                <w:u w:val="none"/>
              </w:rPr>
            </w:pPr>
          </w:p>
        </w:tc>
      </w:tr>
      <w:tr w14:paraId="74DA728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15" w:hRule="atLeast"/>
        </w:trPr>
        <w:tc>
          <w:tcPr>
            <w:tcW w:w="373"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AAA9E5">
            <w:pPr>
              <w:keepNext w:val="0"/>
              <w:keepLines w:val="0"/>
              <w:suppressLineNumbers w:val="0"/>
              <w:spacing w:before="0" w:beforeAutospacing="0" w:after="0" w:afterAutospacing="0"/>
              <w:ind w:left="0" w:right="0"/>
              <w:jc w:val="center"/>
              <w:rPr>
                <w:rFonts w:hint="eastAsia" w:ascii="宋体" w:hAnsi="宋体" w:eastAsia="宋体" w:cs="宋体"/>
                <w:b/>
                <w:bCs/>
                <w:i w:val="0"/>
                <w:iCs w:val="0"/>
                <w:color w:val="000000"/>
                <w:sz w:val="24"/>
                <w:szCs w:val="24"/>
                <w:u w:val="none"/>
              </w:rPr>
            </w:pPr>
          </w:p>
        </w:tc>
        <w:tc>
          <w:tcPr>
            <w:tcW w:w="239" w:type="pct"/>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366DB0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预算管理</w:t>
            </w:r>
            <w:r>
              <w:rPr>
                <w:rFonts w:hint="eastAsia" w:ascii="宋体" w:hAnsi="宋体" w:eastAsia="宋体" w:cs="宋体"/>
                <w:b/>
                <w:bCs/>
                <w:i w:val="0"/>
                <w:iCs w:val="0"/>
                <w:color w:val="000000"/>
                <w:kern w:val="0"/>
                <w:sz w:val="24"/>
                <w:szCs w:val="24"/>
                <w:u w:val="none"/>
                <w:lang w:val="en-US" w:eastAsia="zh-CN" w:bidi="ar"/>
              </w:rPr>
              <w:br w:type="textWrapping"/>
            </w:r>
            <w:r>
              <w:rPr>
                <w:rFonts w:hint="eastAsia" w:ascii="宋体" w:hAnsi="宋体" w:eastAsia="宋体" w:cs="宋体"/>
                <w:b/>
                <w:bCs/>
                <w:i w:val="0"/>
                <w:iCs w:val="0"/>
                <w:color w:val="000000"/>
                <w:kern w:val="0"/>
                <w:sz w:val="24"/>
                <w:szCs w:val="24"/>
                <w:u w:val="none"/>
                <w:lang w:val="en-US" w:eastAsia="zh-CN" w:bidi="ar"/>
              </w:rPr>
              <w:t>（25分）</w:t>
            </w:r>
          </w:p>
        </w:tc>
        <w:tc>
          <w:tcPr>
            <w:tcW w:w="396"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29DADA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预算编制质量</w:t>
            </w:r>
          </w:p>
        </w:tc>
        <w:tc>
          <w:tcPr>
            <w:tcW w:w="1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DBFF6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8</w:t>
            </w:r>
          </w:p>
        </w:tc>
        <w:tc>
          <w:tcPr>
            <w:tcW w:w="5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D4D188">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部门是否严格按要求编制年初部门预算，年初预算编制的科学性和准确性</w:t>
            </w:r>
          </w:p>
        </w:tc>
        <w:tc>
          <w:tcPr>
            <w:tcW w:w="42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C214FC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比率分值法</w:t>
            </w:r>
          </w:p>
        </w:tc>
        <w:tc>
          <w:tcPr>
            <w:tcW w:w="1333"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B006AAD">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该项指标得分=（1-财政拨款预算偏离度）×100%×4+（1-资产配置预算偏离度）×100%×2+（1-政府采购预算偏离度）×100%×2。偏离度=|预算执行数-年初预算数|÷年初预算数。</w:t>
            </w:r>
          </w:p>
        </w:tc>
        <w:tc>
          <w:tcPr>
            <w:tcW w:w="322"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6E45ED0">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是</w:t>
            </w:r>
          </w:p>
        </w:tc>
        <w:tc>
          <w:tcPr>
            <w:tcW w:w="511"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761AFBF">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见自评报告（1-（385.09-389.11）/389.11）*100%*4+2+（1-(9.26-9.79)/9.79）*100%*2</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F1B940">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7.85</w:t>
            </w:r>
          </w:p>
        </w:tc>
        <w:tc>
          <w:tcPr>
            <w:tcW w:w="1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A1DCA6">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1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D3ADE8">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16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751C73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4"/>
                <w:szCs w:val="24"/>
                <w:u w:val="none"/>
              </w:rPr>
            </w:pPr>
          </w:p>
        </w:tc>
      </w:tr>
      <w:tr w14:paraId="0380FB7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55" w:hRule="atLeast"/>
        </w:trPr>
        <w:tc>
          <w:tcPr>
            <w:tcW w:w="373"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BC2FAB">
            <w:pPr>
              <w:keepNext w:val="0"/>
              <w:keepLines w:val="0"/>
              <w:suppressLineNumbers w:val="0"/>
              <w:spacing w:before="0" w:beforeAutospacing="0" w:after="0" w:afterAutospacing="0"/>
              <w:ind w:left="0" w:right="0"/>
              <w:jc w:val="center"/>
              <w:rPr>
                <w:rFonts w:hint="eastAsia" w:ascii="宋体" w:hAnsi="宋体" w:eastAsia="宋体" w:cs="宋体"/>
                <w:b/>
                <w:bCs/>
                <w:i w:val="0"/>
                <w:iCs w:val="0"/>
                <w:color w:val="000000"/>
                <w:sz w:val="24"/>
                <w:szCs w:val="24"/>
                <w:u w:val="none"/>
              </w:rPr>
            </w:pPr>
          </w:p>
        </w:tc>
        <w:tc>
          <w:tcPr>
            <w:tcW w:w="239"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24231F">
            <w:pPr>
              <w:keepNext w:val="0"/>
              <w:keepLines w:val="0"/>
              <w:suppressLineNumbers w:val="0"/>
              <w:spacing w:before="0" w:beforeAutospacing="0" w:after="0" w:afterAutospacing="0"/>
              <w:ind w:left="0" w:right="0"/>
              <w:jc w:val="center"/>
              <w:rPr>
                <w:rFonts w:hint="eastAsia" w:ascii="宋体" w:hAnsi="宋体" w:eastAsia="宋体" w:cs="宋体"/>
                <w:b/>
                <w:bCs/>
                <w:i w:val="0"/>
                <w:iCs w:val="0"/>
                <w:color w:val="000000"/>
                <w:sz w:val="24"/>
                <w:szCs w:val="24"/>
                <w:u w:val="none"/>
              </w:rPr>
            </w:pPr>
          </w:p>
        </w:tc>
        <w:tc>
          <w:tcPr>
            <w:tcW w:w="396"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5A5ADC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单位收入统筹</w:t>
            </w:r>
          </w:p>
        </w:tc>
        <w:tc>
          <w:tcPr>
            <w:tcW w:w="1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11F71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c>
          <w:tcPr>
            <w:tcW w:w="5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89CEDE">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部门统筹自有收入程度</w:t>
            </w:r>
          </w:p>
        </w:tc>
        <w:tc>
          <w:tcPr>
            <w:tcW w:w="42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348B97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比率分值法</w:t>
            </w:r>
          </w:p>
        </w:tc>
        <w:tc>
          <w:tcPr>
            <w:tcW w:w="1333"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A0B5AC0">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该项指标得分=（部门自有收入全年执行数÷部门自有收入年初预算数）×100%×2+（财政核定的综合补助比例÷按实际执行测算的综合补助比例）×100%×2。</w:t>
            </w:r>
          </w:p>
        </w:tc>
        <w:tc>
          <w:tcPr>
            <w:tcW w:w="322"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8A6BDEC">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否</w:t>
            </w:r>
          </w:p>
        </w:tc>
        <w:tc>
          <w:tcPr>
            <w:tcW w:w="511"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C6AAF0D">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89F9DC">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1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4D8255">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1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54DD77">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16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8DA934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4"/>
                <w:szCs w:val="24"/>
                <w:u w:val="none"/>
              </w:rPr>
            </w:pPr>
          </w:p>
        </w:tc>
      </w:tr>
      <w:tr w14:paraId="3A46AC1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620" w:hRule="atLeast"/>
        </w:trPr>
        <w:tc>
          <w:tcPr>
            <w:tcW w:w="373"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E6DEBA">
            <w:pPr>
              <w:keepNext w:val="0"/>
              <w:keepLines w:val="0"/>
              <w:suppressLineNumbers w:val="0"/>
              <w:spacing w:before="0" w:beforeAutospacing="0" w:after="0" w:afterAutospacing="0"/>
              <w:ind w:left="0" w:right="0"/>
              <w:jc w:val="center"/>
              <w:rPr>
                <w:rFonts w:hint="eastAsia" w:ascii="宋体" w:hAnsi="宋体" w:eastAsia="宋体" w:cs="宋体"/>
                <w:b/>
                <w:bCs/>
                <w:i w:val="0"/>
                <w:iCs w:val="0"/>
                <w:color w:val="000000"/>
                <w:sz w:val="24"/>
                <w:szCs w:val="24"/>
                <w:u w:val="none"/>
              </w:rPr>
            </w:pPr>
          </w:p>
        </w:tc>
        <w:tc>
          <w:tcPr>
            <w:tcW w:w="239"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A3D7C2">
            <w:pPr>
              <w:keepNext w:val="0"/>
              <w:keepLines w:val="0"/>
              <w:suppressLineNumbers w:val="0"/>
              <w:spacing w:before="0" w:beforeAutospacing="0" w:after="0" w:afterAutospacing="0"/>
              <w:ind w:left="0" w:right="0"/>
              <w:jc w:val="center"/>
              <w:rPr>
                <w:rFonts w:hint="eastAsia" w:ascii="宋体" w:hAnsi="宋体" w:eastAsia="宋体" w:cs="宋体"/>
                <w:b/>
                <w:bCs/>
                <w:i w:val="0"/>
                <w:iCs w:val="0"/>
                <w:color w:val="000000"/>
                <w:sz w:val="24"/>
                <w:szCs w:val="24"/>
                <w:u w:val="none"/>
              </w:rPr>
            </w:pPr>
          </w:p>
        </w:tc>
        <w:tc>
          <w:tcPr>
            <w:tcW w:w="396"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84F880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支出执行进度</w:t>
            </w:r>
          </w:p>
        </w:tc>
        <w:tc>
          <w:tcPr>
            <w:tcW w:w="1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276F5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w:t>
            </w:r>
          </w:p>
        </w:tc>
        <w:tc>
          <w:tcPr>
            <w:tcW w:w="5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DA0296">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部门1至6月、1至10月预算执行情况</w:t>
            </w:r>
          </w:p>
        </w:tc>
        <w:tc>
          <w:tcPr>
            <w:tcW w:w="42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5A913D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比率分值法</w:t>
            </w:r>
          </w:p>
        </w:tc>
        <w:tc>
          <w:tcPr>
            <w:tcW w:w="1333"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E8D5CCC">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该项指标得分=（1至6月预算执行数÷（部门预算数×50%）×2）+（1-1至6月支出预警金额占比×0.8-1至6月支出违规金额占比×0.2）+（1至10月预算执行数÷（部门预算数×83.33%）×2）+（1-1至10月支出预警金额占比×0.8-1至10月支出违规金额占比×0.2）。</w:t>
            </w:r>
          </w:p>
        </w:tc>
        <w:tc>
          <w:tcPr>
            <w:tcW w:w="322"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A28391C">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是</w:t>
            </w:r>
          </w:p>
        </w:tc>
        <w:tc>
          <w:tcPr>
            <w:tcW w:w="511"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9A97FEF">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见自评报告1745.63/(4249.6*50%)*2+2+2976.72/(4249.6*83.33%)*2</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7F9A19">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5.32</w:t>
            </w:r>
          </w:p>
        </w:tc>
        <w:tc>
          <w:tcPr>
            <w:tcW w:w="1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8BB9EF">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1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7B3BED">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16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61719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4"/>
                <w:szCs w:val="24"/>
                <w:u w:val="none"/>
              </w:rPr>
            </w:pPr>
          </w:p>
        </w:tc>
      </w:tr>
      <w:tr w14:paraId="1195139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55" w:hRule="atLeast"/>
        </w:trPr>
        <w:tc>
          <w:tcPr>
            <w:tcW w:w="373"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C3016C">
            <w:pPr>
              <w:keepNext w:val="0"/>
              <w:keepLines w:val="0"/>
              <w:suppressLineNumbers w:val="0"/>
              <w:spacing w:before="0" w:beforeAutospacing="0" w:after="0" w:afterAutospacing="0"/>
              <w:ind w:left="0" w:right="0"/>
              <w:jc w:val="center"/>
              <w:rPr>
                <w:rFonts w:hint="eastAsia" w:ascii="宋体" w:hAnsi="宋体" w:eastAsia="宋体" w:cs="宋体"/>
                <w:b/>
                <w:bCs/>
                <w:i w:val="0"/>
                <w:iCs w:val="0"/>
                <w:color w:val="000000"/>
                <w:sz w:val="24"/>
                <w:szCs w:val="24"/>
                <w:u w:val="none"/>
              </w:rPr>
            </w:pPr>
          </w:p>
        </w:tc>
        <w:tc>
          <w:tcPr>
            <w:tcW w:w="239"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9DCEFF">
            <w:pPr>
              <w:keepNext w:val="0"/>
              <w:keepLines w:val="0"/>
              <w:suppressLineNumbers w:val="0"/>
              <w:spacing w:before="0" w:beforeAutospacing="0" w:after="0" w:afterAutospacing="0"/>
              <w:ind w:left="0" w:right="0"/>
              <w:jc w:val="center"/>
              <w:rPr>
                <w:rFonts w:hint="eastAsia" w:ascii="宋体" w:hAnsi="宋体" w:eastAsia="宋体" w:cs="宋体"/>
                <w:b/>
                <w:bCs/>
                <w:i w:val="0"/>
                <w:iCs w:val="0"/>
                <w:color w:val="000000"/>
                <w:sz w:val="24"/>
                <w:szCs w:val="24"/>
                <w:u w:val="none"/>
              </w:rPr>
            </w:pPr>
          </w:p>
        </w:tc>
        <w:tc>
          <w:tcPr>
            <w:tcW w:w="396"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D5A05C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预算年终结余</w:t>
            </w:r>
          </w:p>
        </w:tc>
        <w:tc>
          <w:tcPr>
            <w:tcW w:w="1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32C80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5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645779">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部门整体年终预算结余情况</w:t>
            </w:r>
          </w:p>
        </w:tc>
        <w:tc>
          <w:tcPr>
            <w:tcW w:w="42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CD60A9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比率分值法</w:t>
            </w:r>
          </w:p>
        </w:tc>
        <w:tc>
          <w:tcPr>
            <w:tcW w:w="1333" w:type="pct"/>
            <w:gridSpan w:val="3"/>
            <w:tcBorders>
              <w:top w:val="single" w:color="000000" w:sz="4" w:space="0"/>
              <w:left w:val="single" w:color="000000" w:sz="4" w:space="0"/>
              <w:bottom w:val="nil"/>
              <w:right w:val="single" w:color="000000" w:sz="4" w:space="0"/>
            </w:tcBorders>
            <w:shd w:val="clear" w:color="auto" w:fill="auto"/>
            <w:vAlign w:val="center"/>
          </w:tcPr>
          <w:p w14:paraId="2F9FB926">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该项指标得分=（1-部门整体预算结余率）×100%×2。部门整体预算结余率为当年年终部门预算注销金额和结转金额占部门预算总金额的比率。</w:t>
            </w:r>
          </w:p>
        </w:tc>
        <w:tc>
          <w:tcPr>
            <w:tcW w:w="322"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7D566B1">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是</w:t>
            </w:r>
          </w:p>
        </w:tc>
        <w:tc>
          <w:tcPr>
            <w:tcW w:w="511" w:type="pct"/>
            <w:gridSpan w:val="2"/>
            <w:tcBorders>
              <w:top w:val="nil"/>
              <w:left w:val="single" w:color="000000" w:sz="4" w:space="0"/>
              <w:bottom w:val="nil"/>
              <w:right w:val="single" w:color="000000" w:sz="4" w:space="0"/>
            </w:tcBorders>
            <w:shd w:val="clear" w:color="auto" w:fill="auto"/>
            <w:vAlign w:val="center"/>
          </w:tcPr>
          <w:p w14:paraId="2DE20E81">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见自评报告</w:t>
            </w:r>
            <w:r>
              <w:rPr>
                <w:rFonts w:hint="eastAsia" w:ascii="宋体" w:hAnsi="宋体" w:cs="宋体"/>
                <w:i w:val="0"/>
                <w:iCs w:val="0"/>
                <w:color w:val="000000"/>
                <w:kern w:val="0"/>
                <w:sz w:val="24"/>
                <w:szCs w:val="24"/>
                <w:u w:val="none"/>
                <w:lang w:val="en-US" w:eastAsia="zh-CN" w:bidi="ar"/>
              </w:rPr>
              <w:t>（</w:t>
            </w:r>
            <w:r>
              <w:rPr>
                <w:rFonts w:hint="eastAsia" w:ascii="宋体" w:hAnsi="宋体" w:eastAsia="宋体" w:cs="宋体"/>
                <w:i w:val="0"/>
                <w:iCs w:val="0"/>
                <w:color w:val="000000"/>
                <w:kern w:val="0"/>
                <w:sz w:val="24"/>
                <w:szCs w:val="24"/>
                <w:u w:val="none"/>
                <w:lang w:val="en-US" w:eastAsia="zh-CN" w:bidi="ar"/>
              </w:rPr>
              <w:t>1-0.0411)*100%*2</w:t>
            </w:r>
          </w:p>
        </w:tc>
        <w:tc>
          <w:tcPr>
            <w:tcW w:w="266" w:type="pct"/>
            <w:tcBorders>
              <w:top w:val="nil"/>
              <w:left w:val="single" w:color="000000" w:sz="4" w:space="0"/>
              <w:bottom w:val="nil"/>
              <w:right w:val="single" w:color="000000" w:sz="4" w:space="0"/>
            </w:tcBorders>
            <w:shd w:val="clear" w:color="auto" w:fill="auto"/>
            <w:vAlign w:val="center"/>
          </w:tcPr>
          <w:p w14:paraId="71DD0420">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1.92</w:t>
            </w:r>
          </w:p>
        </w:tc>
        <w:tc>
          <w:tcPr>
            <w:tcW w:w="129" w:type="pct"/>
            <w:tcBorders>
              <w:top w:val="nil"/>
              <w:left w:val="single" w:color="000000" w:sz="4" w:space="0"/>
              <w:bottom w:val="nil"/>
              <w:right w:val="single" w:color="000000" w:sz="4" w:space="0"/>
            </w:tcBorders>
            <w:shd w:val="clear" w:color="auto" w:fill="auto"/>
            <w:vAlign w:val="center"/>
          </w:tcPr>
          <w:p w14:paraId="77AE924D">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158" w:type="pct"/>
            <w:tcBorders>
              <w:top w:val="nil"/>
              <w:left w:val="single" w:color="000000" w:sz="4" w:space="0"/>
              <w:bottom w:val="nil"/>
              <w:right w:val="single" w:color="000000" w:sz="4" w:space="0"/>
            </w:tcBorders>
            <w:shd w:val="clear" w:color="auto" w:fill="auto"/>
            <w:vAlign w:val="center"/>
          </w:tcPr>
          <w:p w14:paraId="56AC4487">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16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32B0E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4"/>
                <w:szCs w:val="24"/>
                <w:u w:val="none"/>
              </w:rPr>
            </w:pPr>
          </w:p>
        </w:tc>
      </w:tr>
      <w:tr w14:paraId="5C7567E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10" w:hRule="atLeast"/>
        </w:trPr>
        <w:tc>
          <w:tcPr>
            <w:tcW w:w="373"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9F5694B">
            <w:pPr>
              <w:keepNext w:val="0"/>
              <w:keepLines w:val="0"/>
              <w:suppressLineNumbers w:val="0"/>
              <w:spacing w:before="0" w:beforeAutospacing="0" w:after="0" w:afterAutospacing="0"/>
              <w:ind w:left="0" w:right="0"/>
              <w:jc w:val="center"/>
              <w:rPr>
                <w:rFonts w:hint="eastAsia" w:ascii="宋体" w:hAnsi="宋体" w:eastAsia="宋体" w:cs="宋体"/>
                <w:b/>
                <w:bCs/>
                <w:i w:val="0"/>
                <w:iCs w:val="0"/>
                <w:color w:val="000000"/>
                <w:sz w:val="24"/>
                <w:szCs w:val="24"/>
                <w:u w:val="none"/>
              </w:rPr>
            </w:pPr>
          </w:p>
        </w:tc>
        <w:tc>
          <w:tcPr>
            <w:tcW w:w="239"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DDAC86">
            <w:pPr>
              <w:keepNext w:val="0"/>
              <w:keepLines w:val="0"/>
              <w:suppressLineNumbers w:val="0"/>
              <w:spacing w:before="0" w:beforeAutospacing="0" w:after="0" w:afterAutospacing="0"/>
              <w:ind w:left="0" w:right="0"/>
              <w:jc w:val="center"/>
              <w:rPr>
                <w:rFonts w:hint="eastAsia" w:ascii="宋体" w:hAnsi="宋体" w:eastAsia="宋体" w:cs="宋体"/>
                <w:b/>
                <w:bCs/>
                <w:i w:val="0"/>
                <w:iCs w:val="0"/>
                <w:color w:val="000000"/>
                <w:sz w:val="24"/>
                <w:szCs w:val="24"/>
                <w:u w:val="none"/>
              </w:rPr>
            </w:pPr>
          </w:p>
        </w:tc>
        <w:tc>
          <w:tcPr>
            <w:tcW w:w="396"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6C3347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严控一般性支出</w:t>
            </w:r>
          </w:p>
        </w:tc>
        <w:tc>
          <w:tcPr>
            <w:tcW w:w="1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1EE4A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c>
          <w:tcPr>
            <w:tcW w:w="5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75D998">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部门严控“三公”经费、会议、培训、差旅、办节办展、办公设备购置、信息网络及软件购置更新、课题经费等8项一般性支出情况</w:t>
            </w:r>
          </w:p>
        </w:tc>
        <w:tc>
          <w:tcPr>
            <w:tcW w:w="42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21783E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比率分值法</w:t>
            </w:r>
          </w:p>
        </w:tc>
        <w:tc>
          <w:tcPr>
            <w:tcW w:w="1333"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3C1EBD2">
            <w:pPr>
              <w:keepNext w:val="0"/>
              <w:keepLines w:val="0"/>
              <w:widowControl/>
              <w:suppressLineNumbers w:val="0"/>
              <w:spacing w:before="0" w:beforeAutospacing="0" w:after="0" w:afterAutospacing="0"/>
              <w:ind w:left="0" w:right="0" w:firstLineChars="200"/>
              <w:jc w:val="both"/>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该项指标得分=基础分值+加分值。</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1.基础分值。一般性支出财政拨款年初预算较上年实现压减得1分；一般性支出财政拨款预算执行较上年实现压减得1分。</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2.加分值。一般性支出财政拨款年初预算较上年每压减1%得0.2分，累计不超过1分；一般性支出财政拨款预算执行较上年每压减1%得0.4分，累计不超过2分。</w:t>
            </w:r>
          </w:p>
        </w:tc>
        <w:tc>
          <w:tcPr>
            <w:tcW w:w="322"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8103DC2">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是</w:t>
            </w:r>
          </w:p>
        </w:tc>
        <w:tc>
          <w:tcPr>
            <w:tcW w:w="511"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F1F6A61">
            <w:pPr>
              <w:keepNext w:val="0"/>
              <w:keepLines w:val="0"/>
              <w:widowControl/>
              <w:suppressLineNumbers w:val="0"/>
              <w:spacing w:before="0" w:beforeAutospacing="0" w:after="0" w:afterAutospacing="0"/>
              <w:ind w:left="0" w:right="0"/>
              <w:jc w:val="both"/>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见自评报告1+1++0.8+1.8</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7C1DB6">
            <w:pPr>
              <w:keepNext w:val="0"/>
              <w:keepLines w:val="0"/>
              <w:widowControl/>
              <w:suppressLineNumbers w:val="0"/>
              <w:spacing w:before="0" w:beforeAutospacing="0" w:after="0" w:afterAutospacing="0"/>
              <w:ind w:left="0" w:right="0"/>
              <w:jc w:val="both"/>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4.6</w:t>
            </w:r>
          </w:p>
        </w:tc>
        <w:tc>
          <w:tcPr>
            <w:tcW w:w="1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71038B">
            <w:pPr>
              <w:keepNext w:val="0"/>
              <w:keepLines w:val="0"/>
              <w:suppressLineNumbers w:val="0"/>
              <w:spacing w:before="0" w:beforeAutospacing="0" w:after="0" w:afterAutospacing="0"/>
              <w:ind w:left="0" w:right="0"/>
              <w:jc w:val="both"/>
              <w:rPr>
                <w:rFonts w:hint="eastAsia" w:ascii="宋体" w:hAnsi="宋体" w:eastAsia="宋体" w:cs="宋体"/>
                <w:i w:val="0"/>
                <w:iCs w:val="0"/>
                <w:color w:val="000000"/>
                <w:sz w:val="24"/>
                <w:szCs w:val="24"/>
                <w:u w:val="none"/>
              </w:rPr>
            </w:pPr>
          </w:p>
        </w:tc>
        <w:tc>
          <w:tcPr>
            <w:tcW w:w="1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3D666E">
            <w:pPr>
              <w:keepNext w:val="0"/>
              <w:keepLines w:val="0"/>
              <w:suppressLineNumbers w:val="0"/>
              <w:spacing w:before="0" w:beforeAutospacing="0" w:after="0" w:afterAutospacing="0"/>
              <w:ind w:left="0" w:right="0"/>
              <w:jc w:val="both"/>
              <w:rPr>
                <w:rFonts w:hint="eastAsia" w:ascii="宋体" w:hAnsi="宋体" w:eastAsia="宋体" w:cs="宋体"/>
                <w:i w:val="0"/>
                <w:iCs w:val="0"/>
                <w:color w:val="000000"/>
                <w:sz w:val="24"/>
                <w:szCs w:val="24"/>
                <w:u w:val="none"/>
              </w:rPr>
            </w:pPr>
          </w:p>
        </w:tc>
        <w:tc>
          <w:tcPr>
            <w:tcW w:w="16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BFDE9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4"/>
                <w:szCs w:val="24"/>
                <w:u w:val="none"/>
              </w:rPr>
            </w:pPr>
          </w:p>
        </w:tc>
      </w:tr>
      <w:tr w14:paraId="6CEAB34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55" w:hRule="atLeast"/>
        </w:trPr>
        <w:tc>
          <w:tcPr>
            <w:tcW w:w="373"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32EFD1">
            <w:pPr>
              <w:keepNext w:val="0"/>
              <w:keepLines w:val="0"/>
              <w:suppressLineNumbers w:val="0"/>
              <w:spacing w:before="0" w:beforeAutospacing="0" w:after="0" w:afterAutospacing="0"/>
              <w:ind w:left="0" w:right="0"/>
              <w:jc w:val="center"/>
              <w:rPr>
                <w:rFonts w:hint="eastAsia" w:ascii="宋体" w:hAnsi="宋体" w:eastAsia="宋体" w:cs="宋体"/>
                <w:b/>
                <w:bCs/>
                <w:i w:val="0"/>
                <w:iCs w:val="0"/>
                <w:color w:val="000000"/>
                <w:sz w:val="24"/>
                <w:szCs w:val="24"/>
                <w:u w:val="none"/>
              </w:rPr>
            </w:pPr>
          </w:p>
        </w:tc>
        <w:tc>
          <w:tcPr>
            <w:tcW w:w="239" w:type="pct"/>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EE326D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财务管理</w:t>
            </w:r>
            <w:r>
              <w:rPr>
                <w:rFonts w:hint="eastAsia" w:ascii="宋体" w:hAnsi="宋体" w:eastAsia="宋体" w:cs="宋体"/>
                <w:b/>
                <w:bCs/>
                <w:i w:val="0"/>
                <w:iCs w:val="0"/>
                <w:color w:val="000000"/>
                <w:kern w:val="0"/>
                <w:sz w:val="24"/>
                <w:szCs w:val="24"/>
                <w:u w:val="none"/>
                <w:lang w:val="en-US" w:eastAsia="zh-CN" w:bidi="ar"/>
              </w:rPr>
              <w:br w:type="textWrapping"/>
            </w:r>
            <w:r>
              <w:rPr>
                <w:rFonts w:hint="eastAsia" w:ascii="宋体" w:hAnsi="宋体" w:eastAsia="宋体" w:cs="宋体"/>
                <w:b/>
                <w:bCs/>
                <w:i w:val="0"/>
                <w:iCs w:val="0"/>
                <w:color w:val="000000"/>
                <w:kern w:val="0"/>
                <w:sz w:val="24"/>
                <w:szCs w:val="24"/>
                <w:u w:val="none"/>
                <w:lang w:val="en-US" w:eastAsia="zh-CN" w:bidi="ar"/>
              </w:rPr>
              <w:t>（10分）</w:t>
            </w:r>
          </w:p>
        </w:tc>
        <w:tc>
          <w:tcPr>
            <w:tcW w:w="396"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42AB7E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财务管理制度</w:t>
            </w:r>
          </w:p>
        </w:tc>
        <w:tc>
          <w:tcPr>
            <w:tcW w:w="1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40D7B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c>
          <w:tcPr>
            <w:tcW w:w="5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419FFA">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部门财务管理制度建立情况</w:t>
            </w:r>
          </w:p>
        </w:tc>
        <w:tc>
          <w:tcPr>
            <w:tcW w:w="42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7D56FF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缺（错）项</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扣分法</w:t>
            </w:r>
          </w:p>
        </w:tc>
        <w:tc>
          <w:tcPr>
            <w:tcW w:w="1333"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9539901">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部门已制定内部财务管理制度等制度机制的，得2分。财务管理制度得到落实，得2分。否则该项不得分。</w:t>
            </w:r>
          </w:p>
        </w:tc>
        <w:tc>
          <w:tcPr>
            <w:tcW w:w="322"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7702A96">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是</w:t>
            </w:r>
          </w:p>
        </w:tc>
        <w:tc>
          <w:tcPr>
            <w:tcW w:w="511"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D85DF55">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已制定并完善内部财务管理制度。</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5D7968">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c>
          <w:tcPr>
            <w:tcW w:w="1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332152">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1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3D101D">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16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9684BE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4"/>
                <w:szCs w:val="24"/>
                <w:u w:val="none"/>
              </w:rPr>
            </w:pPr>
          </w:p>
        </w:tc>
      </w:tr>
      <w:tr w14:paraId="00F0055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trPr>
        <w:tc>
          <w:tcPr>
            <w:tcW w:w="373"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7F02FE">
            <w:pPr>
              <w:keepNext w:val="0"/>
              <w:keepLines w:val="0"/>
              <w:suppressLineNumbers w:val="0"/>
              <w:spacing w:before="0" w:beforeAutospacing="0" w:after="0" w:afterAutospacing="0"/>
              <w:ind w:left="0" w:right="0"/>
              <w:jc w:val="center"/>
              <w:rPr>
                <w:rFonts w:hint="eastAsia" w:ascii="宋体" w:hAnsi="宋体" w:eastAsia="宋体" w:cs="宋体"/>
                <w:b/>
                <w:bCs/>
                <w:i w:val="0"/>
                <w:iCs w:val="0"/>
                <w:color w:val="000000"/>
                <w:sz w:val="24"/>
                <w:szCs w:val="24"/>
                <w:u w:val="none"/>
              </w:rPr>
            </w:pPr>
          </w:p>
        </w:tc>
        <w:tc>
          <w:tcPr>
            <w:tcW w:w="239"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7EEE23">
            <w:pPr>
              <w:keepNext w:val="0"/>
              <w:keepLines w:val="0"/>
              <w:suppressLineNumbers w:val="0"/>
              <w:spacing w:before="0" w:beforeAutospacing="0" w:after="0" w:afterAutospacing="0"/>
              <w:ind w:left="0" w:right="0"/>
              <w:jc w:val="center"/>
              <w:rPr>
                <w:rFonts w:hint="eastAsia" w:ascii="宋体" w:hAnsi="宋体" w:eastAsia="宋体" w:cs="宋体"/>
                <w:b/>
                <w:bCs/>
                <w:i w:val="0"/>
                <w:iCs w:val="0"/>
                <w:color w:val="000000"/>
                <w:sz w:val="24"/>
                <w:szCs w:val="24"/>
                <w:u w:val="none"/>
              </w:rPr>
            </w:pPr>
          </w:p>
        </w:tc>
        <w:tc>
          <w:tcPr>
            <w:tcW w:w="396"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59D221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财务岗位设置</w:t>
            </w:r>
          </w:p>
        </w:tc>
        <w:tc>
          <w:tcPr>
            <w:tcW w:w="1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52031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5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DC00DA">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部门财务岗位设置是否符合相关财务管理制度要求</w:t>
            </w:r>
          </w:p>
        </w:tc>
        <w:tc>
          <w:tcPr>
            <w:tcW w:w="42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713E2F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是否评分法</w:t>
            </w:r>
          </w:p>
        </w:tc>
        <w:tc>
          <w:tcPr>
            <w:tcW w:w="1333"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EA14FC2">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部门合理设置财务工作岗位，明确职责权限，并严格实行不相容岗位分离的，得2分。否则该项不得分。</w:t>
            </w:r>
          </w:p>
        </w:tc>
        <w:tc>
          <w:tcPr>
            <w:tcW w:w="322"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BED5861">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是</w:t>
            </w:r>
          </w:p>
        </w:tc>
        <w:tc>
          <w:tcPr>
            <w:tcW w:w="511"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94B1000">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见自评报告</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B64872">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1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A3A52D">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1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24250A">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16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EDF9A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4"/>
                <w:szCs w:val="24"/>
                <w:u w:val="none"/>
              </w:rPr>
            </w:pPr>
          </w:p>
        </w:tc>
      </w:tr>
      <w:tr w14:paraId="6277F30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55" w:hRule="atLeast"/>
        </w:trPr>
        <w:tc>
          <w:tcPr>
            <w:tcW w:w="373"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FAEC65">
            <w:pPr>
              <w:keepNext w:val="0"/>
              <w:keepLines w:val="0"/>
              <w:suppressLineNumbers w:val="0"/>
              <w:spacing w:before="0" w:beforeAutospacing="0" w:after="0" w:afterAutospacing="0"/>
              <w:ind w:left="0" w:right="0"/>
              <w:jc w:val="center"/>
              <w:rPr>
                <w:rFonts w:hint="eastAsia" w:ascii="宋体" w:hAnsi="宋体" w:eastAsia="宋体" w:cs="宋体"/>
                <w:b/>
                <w:bCs/>
                <w:i w:val="0"/>
                <w:iCs w:val="0"/>
                <w:color w:val="000000"/>
                <w:sz w:val="24"/>
                <w:szCs w:val="24"/>
                <w:u w:val="none"/>
              </w:rPr>
            </w:pPr>
          </w:p>
        </w:tc>
        <w:tc>
          <w:tcPr>
            <w:tcW w:w="239"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5CB42B">
            <w:pPr>
              <w:keepNext w:val="0"/>
              <w:keepLines w:val="0"/>
              <w:suppressLineNumbers w:val="0"/>
              <w:spacing w:before="0" w:beforeAutospacing="0" w:after="0" w:afterAutospacing="0"/>
              <w:ind w:left="0" w:right="0"/>
              <w:jc w:val="center"/>
              <w:rPr>
                <w:rFonts w:hint="eastAsia" w:ascii="宋体" w:hAnsi="宋体" w:eastAsia="宋体" w:cs="宋体"/>
                <w:b/>
                <w:bCs/>
                <w:i w:val="0"/>
                <w:iCs w:val="0"/>
                <w:color w:val="000000"/>
                <w:sz w:val="24"/>
                <w:szCs w:val="24"/>
                <w:u w:val="none"/>
              </w:rPr>
            </w:pPr>
          </w:p>
        </w:tc>
        <w:tc>
          <w:tcPr>
            <w:tcW w:w="396"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FF1EA9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资金使用规范</w:t>
            </w:r>
          </w:p>
        </w:tc>
        <w:tc>
          <w:tcPr>
            <w:tcW w:w="1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BBCD7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c>
          <w:tcPr>
            <w:tcW w:w="5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862E16">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部门资金使用是否符合相关财务管理制度规定</w:t>
            </w:r>
          </w:p>
        </w:tc>
        <w:tc>
          <w:tcPr>
            <w:tcW w:w="42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452B58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缺（错）项</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扣分法</w:t>
            </w:r>
          </w:p>
        </w:tc>
        <w:tc>
          <w:tcPr>
            <w:tcW w:w="1333"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1D9E0D1">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部门资金使用不符合相关财务管理制度规定的，发现一处扣1分，扣完为止。</w:t>
            </w:r>
          </w:p>
        </w:tc>
        <w:tc>
          <w:tcPr>
            <w:tcW w:w="322"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657D282">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是</w:t>
            </w:r>
          </w:p>
        </w:tc>
        <w:tc>
          <w:tcPr>
            <w:tcW w:w="511"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83F144A">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见自评报告</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43E5F3">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c>
          <w:tcPr>
            <w:tcW w:w="1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7B5407">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1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3A8889">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16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B990E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4"/>
                <w:szCs w:val="24"/>
                <w:u w:val="none"/>
              </w:rPr>
            </w:pPr>
          </w:p>
        </w:tc>
      </w:tr>
      <w:tr w14:paraId="100E98C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25" w:hRule="atLeast"/>
        </w:trPr>
        <w:tc>
          <w:tcPr>
            <w:tcW w:w="373"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498C23">
            <w:pPr>
              <w:keepNext w:val="0"/>
              <w:keepLines w:val="0"/>
              <w:suppressLineNumbers w:val="0"/>
              <w:spacing w:before="0" w:beforeAutospacing="0" w:after="0" w:afterAutospacing="0"/>
              <w:ind w:left="0" w:right="0"/>
              <w:jc w:val="center"/>
              <w:rPr>
                <w:rFonts w:hint="eastAsia" w:ascii="宋体" w:hAnsi="宋体" w:eastAsia="宋体" w:cs="宋体"/>
                <w:b/>
                <w:bCs/>
                <w:i w:val="0"/>
                <w:iCs w:val="0"/>
                <w:color w:val="000000"/>
                <w:sz w:val="24"/>
                <w:szCs w:val="24"/>
                <w:u w:val="none"/>
              </w:rPr>
            </w:pPr>
          </w:p>
        </w:tc>
        <w:tc>
          <w:tcPr>
            <w:tcW w:w="239" w:type="pct"/>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A8749A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资产管理</w:t>
            </w:r>
            <w:r>
              <w:rPr>
                <w:rFonts w:hint="eastAsia" w:ascii="宋体" w:hAnsi="宋体" w:eastAsia="宋体" w:cs="宋体"/>
                <w:b/>
                <w:bCs/>
                <w:i w:val="0"/>
                <w:iCs w:val="0"/>
                <w:color w:val="000000"/>
                <w:kern w:val="0"/>
                <w:sz w:val="24"/>
                <w:szCs w:val="24"/>
                <w:u w:val="none"/>
                <w:lang w:val="en-US" w:eastAsia="zh-CN" w:bidi="ar"/>
              </w:rPr>
              <w:br w:type="textWrapping"/>
            </w:r>
            <w:r>
              <w:rPr>
                <w:rFonts w:hint="eastAsia" w:ascii="宋体" w:hAnsi="宋体" w:eastAsia="宋体" w:cs="宋体"/>
                <w:b/>
                <w:bCs/>
                <w:i w:val="0"/>
                <w:iCs w:val="0"/>
                <w:color w:val="000000"/>
                <w:kern w:val="0"/>
                <w:sz w:val="24"/>
                <w:szCs w:val="24"/>
                <w:u w:val="none"/>
                <w:lang w:val="en-US" w:eastAsia="zh-CN" w:bidi="ar"/>
              </w:rPr>
              <w:t>（9分）</w:t>
            </w:r>
          </w:p>
        </w:tc>
        <w:tc>
          <w:tcPr>
            <w:tcW w:w="396"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537390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人均资产变化率</w:t>
            </w:r>
          </w:p>
        </w:tc>
        <w:tc>
          <w:tcPr>
            <w:tcW w:w="1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FBC82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c>
          <w:tcPr>
            <w:tcW w:w="5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AA2D5D">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部门人均资产变化情况</w:t>
            </w:r>
          </w:p>
        </w:tc>
        <w:tc>
          <w:tcPr>
            <w:tcW w:w="42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31FB5C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分级评分法</w:t>
            </w:r>
          </w:p>
        </w:tc>
        <w:tc>
          <w:tcPr>
            <w:tcW w:w="1333"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78AFB6C">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部门人均资产变化率为X，市直行政事业单位人均资产变化率为N，则：X≤N，得1.5分；N＜X≤1.2N，得0.9分；1.2N＜X≤1.4N，得0.6分；X＞1.4N，得0.3分。部门人均资产增长率为X，同期市级财政收入增长率为N，则：X≤0，得1.5分；0＜X≤N，得0.9分；N＜X≤2N，得0.6分；X＞2N，不得分。</w:t>
            </w:r>
          </w:p>
        </w:tc>
        <w:tc>
          <w:tcPr>
            <w:tcW w:w="322"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0506B98">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是</w:t>
            </w:r>
          </w:p>
        </w:tc>
        <w:tc>
          <w:tcPr>
            <w:tcW w:w="511"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8BB0E0B">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见自评报告</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6B1DDC">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c>
          <w:tcPr>
            <w:tcW w:w="1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82E378">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1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EA7948">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16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07823A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4"/>
                <w:szCs w:val="24"/>
                <w:u w:val="none"/>
              </w:rPr>
            </w:pPr>
          </w:p>
        </w:tc>
      </w:tr>
      <w:tr w14:paraId="5AF41AA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280" w:hRule="atLeast"/>
        </w:trPr>
        <w:tc>
          <w:tcPr>
            <w:tcW w:w="373"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66828D">
            <w:pPr>
              <w:keepNext w:val="0"/>
              <w:keepLines w:val="0"/>
              <w:suppressLineNumbers w:val="0"/>
              <w:spacing w:before="0" w:beforeAutospacing="0" w:after="0" w:afterAutospacing="0"/>
              <w:ind w:left="0" w:right="0"/>
              <w:jc w:val="center"/>
              <w:rPr>
                <w:rFonts w:hint="eastAsia" w:ascii="宋体" w:hAnsi="宋体" w:eastAsia="宋体" w:cs="宋体"/>
                <w:b/>
                <w:bCs/>
                <w:i w:val="0"/>
                <w:iCs w:val="0"/>
                <w:color w:val="000000"/>
                <w:sz w:val="24"/>
                <w:szCs w:val="24"/>
                <w:u w:val="none"/>
              </w:rPr>
            </w:pPr>
          </w:p>
        </w:tc>
        <w:tc>
          <w:tcPr>
            <w:tcW w:w="239"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B20DE0">
            <w:pPr>
              <w:keepNext w:val="0"/>
              <w:keepLines w:val="0"/>
              <w:suppressLineNumbers w:val="0"/>
              <w:spacing w:before="0" w:beforeAutospacing="0" w:after="0" w:afterAutospacing="0"/>
              <w:ind w:left="0" w:right="0"/>
              <w:jc w:val="center"/>
              <w:rPr>
                <w:rFonts w:hint="eastAsia" w:ascii="宋体" w:hAnsi="宋体" w:eastAsia="宋体" w:cs="宋体"/>
                <w:b/>
                <w:bCs/>
                <w:i w:val="0"/>
                <w:iCs w:val="0"/>
                <w:color w:val="000000"/>
                <w:sz w:val="24"/>
                <w:szCs w:val="24"/>
                <w:u w:val="none"/>
              </w:rPr>
            </w:pPr>
          </w:p>
        </w:tc>
        <w:tc>
          <w:tcPr>
            <w:tcW w:w="396"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384467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资产利用率</w:t>
            </w:r>
          </w:p>
        </w:tc>
        <w:tc>
          <w:tcPr>
            <w:tcW w:w="1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2EDFC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c>
          <w:tcPr>
            <w:tcW w:w="5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4C62D0">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部门资产超最低使用年限情况</w:t>
            </w:r>
          </w:p>
        </w:tc>
        <w:tc>
          <w:tcPr>
            <w:tcW w:w="42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823825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分级评分法</w:t>
            </w:r>
          </w:p>
        </w:tc>
        <w:tc>
          <w:tcPr>
            <w:tcW w:w="1333"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D392A56">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部门办公家具超最低使用年限资产利用率=超最低使用年限的办公家具账面价值÷办公家具账面价值×100%。办公家具超最低使用年限资产利用率为X，市直行政事业单位平均值为N，则：X＞N，得1.5分；0.8N＜X≤N，得0.9分；0.6N＜X≤0.8N，得0.6分；X≤0.6N，得0.3分。部门办公设备超最低使用年限资产利用率=超最低使用年限的办公设备账面价值÷办公设备账面价值×100%。办公设备超最低使用年限资产利用率为X，市直行政事业单位平均值为N，则：X＞N，得1.5分；0.8N＜X≤N，得0.9分；0.6N＜X≤0.8N，得0.6分；X≤0.6N，得0.3分。</w:t>
            </w:r>
          </w:p>
        </w:tc>
        <w:tc>
          <w:tcPr>
            <w:tcW w:w="322"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FFC2E55">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是</w:t>
            </w:r>
          </w:p>
        </w:tc>
        <w:tc>
          <w:tcPr>
            <w:tcW w:w="511"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1CC02CC">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见自评报告</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662ECE">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c>
          <w:tcPr>
            <w:tcW w:w="1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394C36">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1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08255D">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16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A99A0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4"/>
                <w:szCs w:val="24"/>
                <w:u w:val="none"/>
              </w:rPr>
            </w:pPr>
          </w:p>
        </w:tc>
      </w:tr>
      <w:tr w14:paraId="7F8BC24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25" w:hRule="atLeast"/>
        </w:trPr>
        <w:tc>
          <w:tcPr>
            <w:tcW w:w="373" w:type="pct"/>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677B9A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总体绩效</w:t>
            </w:r>
            <w:r>
              <w:rPr>
                <w:rFonts w:hint="eastAsia" w:ascii="宋体" w:hAnsi="宋体" w:eastAsia="宋体" w:cs="宋体"/>
                <w:b/>
                <w:bCs/>
                <w:i w:val="0"/>
                <w:iCs w:val="0"/>
                <w:color w:val="000000"/>
                <w:kern w:val="0"/>
                <w:sz w:val="24"/>
                <w:szCs w:val="24"/>
                <w:u w:val="none"/>
                <w:lang w:val="en-US" w:eastAsia="zh-CN" w:bidi="ar"/>
              </w:rPr>
              <w:br w:type="textWrapping"/>
            </w:r>
            <w:r>
              <w:rPr>
                <w:rFonts w:hint="eastAsia" w:ascii="宋体" w:hAnsi="宋体" w:eastAsia="宋体" w:cs="宋体"/>
                <w:b/>
                <w:bCs/>
                <w:i w:val="0"/>
                <w:iCs w:val="0"/>
                <w:color w:val="000000"/>
                <w:kern w:val="0"/>
                <w:sz w:val="24"/>
                <w:szCs w:val="24"/>
                <w:u w:val="none"/>
                <w:lang w:val="en-US" w:eastAsia="zh-CN" w:bidi="ar"/>
              </w:rPr>
              <w:t>（65分）</w:t>
            </w:r>
          </w:p>
        </w:tc>
        <w:tc>
          <w:tcPr>
            <w:tcW w:w="239"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E87FA0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资产管理</w:t>
            </w:r>
            <w:r>
              <w:rPr>
                <w:rFonts w:hint="eastAsia" w:ascii="宋体" w:hAnsi="宋体" w:eastAsia="宋体" w:cs="宋体"/>
                <w:b/>
                <w:bCs/>
                <w:i w:val="0"/>
                <w:iCs w:val="0"/>
                <w:color w:val="000000"/>
                <w:kern w:val="0"/>
                <w:sz w:val="24"/>
                <w:szCs w:val="24"/>
                <w:u w:val="none"/>
                <w:lang w:val="en-US" w:eastAsia="zh-CN" w:bidi="ar"/>
              </w:rPr>
              <w:br w:type="textWrapping"/>
            </w:r>
            <w:r>
              <w:rPr>
                <w:rFonts w:hint="eastAsia" w:ascii="宋体" w:hAnsi="宋体" w:eastAsia="宋体" w:cs="宋体"/>
                <w:b/>
                <w:bCs/>
                <w:i w:val="0"/>
                <w:iCs w:val="0"/>
                <w:color w:val="000000"/>
                <w:kern w:val="0"/>
                <w:sz w:val="24"/>
                <w:szCs w:val="24"/>
                <w:u w:val="none"/>
                <w:lang w:val="en-US" w:eastAsia="zh-CN" w:bidi="ar"/>
              </w:rPr>
              <w:t>（9分）</w:t>
            </w:r>
          </w:p>
        </w:tc>
        <w:tc>
          <w:tcPr>
            <w:tcW w:w="396"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9A1E93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资产盘活率</w:t>
            </w:r>
          </w:p>
        </w:tc>
        <w:tc>
          <w:tcPr>
            <w:tcW w:w="1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99E67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c>
          <w:tcPr>
            <w:tcW w:w="5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33F948">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部门闲置一年以上的资产盘活情况</w:t>
            </w:r>
          </w:p>
        </w:tc>
        <w:tc>
          <w:tcPr>
            <w:tcW w:w="42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3F0A5F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分级评分法</w:t>
            </w:r>
          </w:p>
        </w:tc>
        <w:tc>
          <w:tcPr>
            <w:tcW w:w="1333"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91A61CC">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部门闲置资产占比变化率=(本年闲置资产账面价值÷本年总资产账面价值)÷(上一年度闲置资产账面价值÷上一年度总资产账面价值)×100%，变化率在60%以下的得2.4分，60%-80%的得1.8分，80-100%的得1.2分，100%以上的不得分。两年均无闲置资产或上年度有闲置资产评价年度无闲置资产的，该项指标得3分。</w:t>
            </w:r>
          </w:p>
        </w:tc>
        <w:tc>
          <w:tcPr>
            <w:tcW w:w="322"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01F34F3">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是</w:t>
            </w:r>
          </w:p>
        </w:tc>
        <w:tc>
          <w:tcPr>
            <w:tcW w:w="511"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4FA58BB">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无闲置资产</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6EE877">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c>
          <w:tcPr>
            <w:tcW w:w="1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D54E91">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1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9244D5">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1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1975A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4"/>
                <w:szCs w:val="24"/>
                <w:u w:val="none"/>
              </w:rPr>
            </w:pPr>
          </w:p>
        </w:tc>
      </w:tr>
      <w:tr w14:paraId="28362BE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55" w:hRule="atLeast"/>
        </w:trPr>
        <w:tc>
          <w:tcPr>
            <w:tcW w:w="373"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14D4CD">
            <w:pPr>
              <w:keepNext w:val="0"/>
              <w:keepLines w:val="0"/>
              <w:suppressLineNumbers w:val="0"/>
              <w:spacing w:before="0" w:beforeAutospacing="0" w:after="0" w:afterAutospacing="0"/>
              <w:ind w:left="0" w:right="0"/>
              <w:jc w:val="center"/>
              <w:rPr>
                <w:rFonts w:hint="eastAsia" w:ascii="宋体" w:hAnsi="宋体" w:eastAsia="宋体" w:cs="宋体"/>
                <w:b/>
                <w:bCs/>
                <w:i w:val="0"/>
                <w:iCs w:val="0"/>
                <w:color w:val="000000"/>
                <w:sz w:val="24"/>
                <w:szCs w:val="24"/>
                <w:u w:val="none"/>
              </w:rPr>
            </w:pPr>
          </w:p>
        </w:tc>
        <w:tc>
          <w:tcPr>
            <w:tcW w:w="239" w:type="pct"/>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6D8D15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采购管理</w:t>
            </w:r>
            <w:r>
              <w:rPr>
                <w:rFonts w:hint="eastAsia" w:ascii="宋体" w:hAnsi="宋体" w:eastAsia="宋体" w:cs="宋体"/>
                <w:b/>
                <w:bCs/>
                <w:i w:val="0"/>
                <w:iCs w:val="0"/>
                <w:color w:val="000000"/>
                <w:kern w:val="0"/>
                <w:sz w:val="24"/>
                <w:szCs w:val="24"/>
                <w:u w:val="none"/>
                <w:lang w:val="en-US" w:eastAsia="zh-CN" w:bidi="ar"/>
              </w:rPr>
              <w:br w:type="textWrapping"/>
            </w:r>
            <w:r>
              <w:rPr>
                <w:rFonts w:hint="eastAsia" w:ascii="宋体" w:hAnsi="宋体" w:eastAsia="宋体" w:cs="宋体"/>
                <w:b/>
                <w:bCs/>
                <w:i w:val="0"/>
                <w:iCs w:val="0"/>
                <w:color w:val="000000"/>
                <w:kern w:val="0"/>
                <w:sz w:val="24"/>
                <w:szCs w:val="24"/>
                <w:u w:val="none"/>
                <w:lang w:val="en-US" w:eastAsia="zh-CN" w:bidi="ar"/>
              </w:rPr>
              <w:t>（6分）</w:t>
            </w:r>
          </w:p>
        </w:tc>
        <w:tc>
          <w:tcPr>
            <w:tcW w:w="396"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78212B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支持中小企业发展</w:t>
            </w:r>
          </w:p>
        </w:tc>
        <w:tc>
          <w:tcPr>
            <w:tcW w:w="1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99249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c>
          <w:tcPr>
            <w:tcW w:w="5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4640F4">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部门是否严格执行政府采购促进中小企业发展相关管理办法</w:t>
            </w:r>
          </w:p>
        </w:tc>
        <w:tc>
          <w:tcPr>
            <w:tcW w:w="42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6BA57B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是否评分法</w:t>
            </w:r>
          </w:p>
        </w:tc>
        <w:tc>
          <w:tcPr>
            <w:tcW w:w="1333"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A2518FE">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对适宜由中小企业提供的采购项目和采购包，预留采购份额专门面向中小企业采购，并在采购预算中单独列示，不符合要求的扣3分。</w:t>
            </w:r>
          </w:p>
        </w:tc>
        <w:tc>
          <w:tcPr>
            <w:tcW w:w="322"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609C44E">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是</w:t>
            </w:r>
          </w:p>
        </w:tc>
        <w:tc>
          <w:tcPr>
            <w:tcW w:w="511"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C710D78">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见自评报告</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F94991">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c>
          <w:tcPr>
            <w:tcW w:w="1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C62320">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1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6333B1">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16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F52676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4"/>
                <w:szCs w:val="24"/>
                <w:u w:val="none"/>
              </w:rPr>
            </w:pPr>
          </w:p>
        </w:tc>
      </w:tr>
      <w:tr w14:paraId="3136168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70" w:hRule="atLeast"/>
        </w:trPr>
        <w:tc>
          <w:tcPr>
            <w:tcW w:w="373"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A528E8">
            <w:pPr>
              <w:keepNext w:val="0"/>
              <w:keepLines w:val="0"/>
              <w:suppressLineNumbers w:val="0"/>
              <w:spacing w:before="0" w:beforeAutospacing="0" w:after="0" w:afterAutospacing="0"/>
              <w:ind w:left="0" w:right="0"/>
              <w:jc w:val="center"/>
              <w:rPr>
                <w:rFonts w:hint="eastAsia" w:ascii="宋体" w:hAnsi="宋体" w:eastAsia="宋体" w:cs="宋体"/>
                <w:b/>
                <w:bCs/>
                <w:i w:val="0"/>
                <w:iCs w:val="0"/>
                <w:color w:val="000000"/>
                <w:sz w:val="24"/>
                <w:szCs w:val="24"/>
                <w:u w:val="none"/>
              </w:rPr>
            </w:pPr>
          </w:p>
        </w:tc>
        <w:tc>
          <w:tcPr>
            <w:tcW w:w="239"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09E7D3">
            <w:pPr>
              <w:keepNext w:val="0"/>
              <w:keepLines w:val="0"/>
              <w:suppressLineNumbers w:val="0"/>
              <w:spacing w:before="0" w:beforeAutospacing="0" w:after="0" w:afterAutospacing="0"/>
              <w:ind w:left="0" w:right="0"/>
              <w:jc w:val="center"/>
              <w:rPr>
                <w:rFonts w:hint="eastAsia" w:ascii="宋体" w:hAnsi="宋体" w:eastAsia="宋体" w:cs="宋体"/>
                <w:b/>
                <w:bCs/>
                <w:i w:val="0"/>
                <w:iCs w:val="0"/>
                <w:color w:val="000000"/>
                <w:sz w:val="24"/>
                <w:szCs w:val="24"/>
                <w:u w:val="none"/>
              </w:rPr>
            </w:pPr>
          </w:p>
        </w:tc>
        <w:tc>
          <w:tcPr>
            <w:tcW w:w="396"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0822CC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采购执行率</w:t>
            </w:r>
          </w:p>
        </w:tc>
        <w:tc>
          <w:tcPr>
            <w:tcW w:w="1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09DC0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c>
          <w:tcPr>
            <w:tcW w:w="5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189EF3">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部门政府采购项目资金支付比例情况</w:t>
            </w:r>
          </w:p>
        </w:tc>
        <w:tc>
          <w:tcPr>
            <w:tcW w:w="42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01117C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比率分值法</w:t>
            </w:r>
          </w:p>
        </w:tc>
        <w:tc>
          <w:tcPr>
            <w:tcW w:w="1333"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2D3C3CC">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该项指标得分=当年政府采购实际支付总金额÷（当年政府采购总预算数-当年已完成采购项目节约金额）×100%×3。</w:t>
            </w:r>
          </w:p>
        </w:tc>
        <w:tc>
          <w:tcPr>
            <w:tcW w:w="322"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AB6D37A">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是</w:t>
            </w:r>
          </w:p>
        </w:tc>
        <w:tc>
          <w:tcPr>
            <w:tcW w:w="511"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3165C0F">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216.55/（（60+150+9.79）-（2.21+0.5+0.53））*100%*3</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10566A">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c>
          <w:tcPr>
            <w:tcW w:w="1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091956">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1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ED118F">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16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F6B33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4"/>
                <w:szCs w:val="24"/>
                <w:u w:val="none"/>
              </w:rPr>
            </w:pPr>
          </w:p>
        </w:tc>
      </w:tr>
      <w:tr w14:paraId="63D06BA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25" w:hRule="atLeast"/>
        </w:trPr>
        <w:tc>
          <w:tcPr>
            <w:tcW w:w="373" w:type="pct"/>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6B3415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项目绩效</w:t>
            </w:r>
            <w:r>
              <w:rPr>
                <w:rFonts w:hint="eastAsia" w:ascii="宋体" w:hAnsi="宋体" w:eastAsia="宋体" w:cs="宋体"/>
                <w:b/>
                <w:bCs/>
                <w:i w:val="0"/>
                <w:iCs w:val="0"/>
                <w:color w:val="000000"/>
                <w:kern w:val="0"/>
                <w:sz w:val="24"/>
                <w:szCs w:val="24"/>
                <w:u w:val="none"/>
                <w:lang w:val="en-US" w:eastAsia="zh-CN" w:bidi="ar"/>
              </w:rPr>
              <w:br w:type="textWrapping"/>
            </w:r>
            <w:r>
              <w:rPr>
                <w:rFonts w:hint="eastAsia" w:ascii="宋体" w:hAnsi="宋体" w:eastAsia="宋体" w:cs="宋体"/>
                <w:b/>
                <w:bCs/>
                <w:i w:val="0"/>
                <w:iCs w:val="0"/>
                <w:color w:val="000000"/>
                <w:kern w:val="0"/>
                <w:sz w:val="24"/>
                <w:szCs w:val="24"/>
                <w:u w:val="none"/>
                <w:lang w:val="en-US" w:eastAsia="zh-CN" w:bidi="ar"/>
              </w:rPr>
              <w:t>（35分）</w:t>
            </w:r>
          </w:p>
        </w:tc>
        <w:tc>
          <w:tcPr>
            <w:tcW w:w="239" w:type="pct"/>
            <w:gridSpan w:val="2"/>
            <w:vMerge w:val="restart"/>
            <w:tcBorders>
              <w:top w:val="single" w:color="000000" w:sz="4" w:space="0"/>
              <w:left w:val="single" w:color="000000" w:sz="4" w:space="0"/>
              <w:bottom w:val="nil"/>
              <w:right w:val="single" w:color="000000" w:sz="4" w:space="0"/>
            </w:tcBorders>
            <w:shd w:val="clear" w:color="auto" w:fill="auto"/>
            <w:vAlign w:val="center"/>
          </w:tcPr>
          <w:p w14:paraId="2FBB738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项目决策</w:t>
            </w:r>
            <w:r>
              <w:rPr>
                <w:rFonts w:hint="eastAsia" w:ascii="宋体" w:hAnsi="宋体" w:eastAsia="宋体" w:cs="宋体"/>
                <w:b/>
                <w:bCs/>
                <w:i w:val="0"/>
                <w:iCs w:val="0"/>
                <w:color w:val="000000"/>
                <w:kern w:val="0"/>
                <w:sz w:val="24"/>
                <w:szCs w:val="24"/>
                <w:u w:val="none"/>
                <w:lang w:val="en-US" w:eastAsia="zh-CN" w:bidi="ar"/>
              </w:rPr>
              <w:br w:type="textWrapping"/>
            </w:r>
            <w:r>
              <w:rPr>
                <w:rFonts w:hint="eastAsia" w:ascii="宋体" w:hAnsi="宋体" w:eastAsia="宋体" w:cs="宋体"/>
                <w:b/>
                <w:bCs/>
                <w:i w:val="0"/>
                <w:iCs w:val="0"/>
                <w:color w:val="000000"/>
                <w:kern w:val="0"/>
                <w:sz w:val="24"/>
                <w:szCs w:val="24"/>
                <w:u w:val="none"/>
                <w:lang w:val="en-US" w:eastAsia="zh-CN" w:bidi="ar"/>
              </w:rPr>
              <w:t>（12分）</w:t>
            </w:r>
          </w:p>
        </w:tc>
        <w:tc>
          <w:tcPr>
            <w:tcW w:w="396"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2F2992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决策程序</w:t>
            </w:r>
          </w:p>
        </w:tc>
        <w:tc>
          <w:tcPr>
            <w:tcW w:w="1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C0AD7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c>
          <w:tcPr>
            <w:tcW w:w="5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DC6C3C">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部门预算项目设立是否按规定履行评估论证、申报程序</w:t>
            </w:r>
          </w:p>
        </w:tc>
        <w:tc>
          <w:tcPr>
            <w:tcW w:w="42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45F1A8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比率分值法</w:t>
            </w:r>
          </w:p>
        </w:tc>
        <w:tc>
          <w:tcPr>
            <w:tcW w:w="1333"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E4C8486">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该项指标得分=4-部门未履行事前评估程序的部门预算特定目标类项目数量÷部门预算特定目标类项目总数×100%×4。抽评的部门预算特定目标类项目总数10个以下的全部纳入，每增加5个多纳入1个，最多不超过30个，下同。若无部门预算特定目标类项目，则主要查看部门预算项目整体决策程序。</w:t>
            </w:r>
          </w:p>
        </w:tc>
        <w:tc>
          <w:tcPr>
            <w:tcW w:w="322"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300B832">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是</w:t>
            </w:r>
          </w:p>
        </w:tc>
        <w:tc>
          <w:tcPr>
            <w:tcW w:w="511"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C49EB12">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见自评报告</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B8655E">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c>
          <w:tcPr>
            <w:tcW w:w="1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DF535A">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1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101BC0">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1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E35C1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4"/>
                <w:szCs w:val="24"/>
                <w:u w:val="none"/>
              </w:rPr>
            </w:pPr>
          </w:p>
        </w:tc>
      </w:tr>
      <w:tr w14:paraId="3591EC7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680" w:hRule="atLeast"/>
        </w:trPr>
        <w:tc>
          <w:tcPr>
            <w:tcW w:w="373"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0B87CD">
            <w:pPr>
              <w:keepNext w:val="0"/>
              <w:keepLines w:val="0"/>
              <w:suppressLineNumbers w:val="0"/>
              <w:spacing w:before="0" w:beforeAutospacing="0" w:after="0" w:afterAutospacing="0"/>
              <w:ind w:left="0" w:right="0"/>
              <w:jc w:val="center"/>
              <w:rPr>
                <w:rFonts w:hint="eastAsia" w:ascii="宋体" w:hAnsi="宋体" w:eastAsia="宋体" w:cs="宋体"/>
                <w:b/>
                <w:bCs/>
                <w:i w:val="0"/>
                <w:iCs w:val="0"/>
                <w:color w:val="000000"/>
                <w:sz w:val="24"/>
                <w:szCs w:val="24"/>
                <w:u w:val="none"/>
              </w:rPr>
            </w:pPr>
          </w:p>
        </w:tc>
        <w:tc>
          <w:tcPr>
            <w:tcW w:w="239" w:type="pct"/>
            <w:gridSpan w:val="2"/>
            <w:vMerge w:val="continue"/>
            <w:tcBorders>
              <w:top w:val="single" w:color="000000" w:sz="4" w:space="0"/>
              <w:left w:val="single" w:color="000000" w:sz="4" w:space="0"/>
              <w:bottom w:val="nil"/>
              <w:right w:val="single" w:color="000000" w:sz="4" w:space="0"/>
            </w:tcBorders>
            <w:shd w:val="clear" w:color="auto" w:fill="auto"/>
            <w:vAlign w:val="center"/>
          </w:tcPr>
          <w:p w14:paraId="379949D2">
            <w:pPr>
              <w:keepNext w:val="0"/>
              <w:keepLines w:val="0"/>
              <w:suppressLineNumbers w:val="0"/>
              <w:spacing w:before="0" w:beforeAutospacing="0" w:after="0" w:afterAutospacing="0"/>
              <w:ind w:left="0" w:right="0"/>
              <w:jc w:val="center"/>
              <w:rPr>
                <w:rFonts w:hint="eastAsia" w:ascii="宋体" w:hAnsi="宋体" w:eastAsia="宋体" w:cs="宋体"/>
                <w:b/>
                <w:bCs/>
                <w:i w:val="0"/>
                <w:iCs w:val="0"/>
                <w:color w:val="000000"/>
                <w:sz w:val="24"/>
                <w:szCs w:val="24"/>
                <w:u w:val="none"/>
              </w:rPr>
            </w:pPr>
          </w:p>
        </w:tc>
        <w:tc>
          <w:tcPr>
            <w:tcW w:w="396"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3E6BB8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目标设置</w:t>
            </w:r>
          </w:p>
        </w:tc>
        <w:tc>
          <w:tcPr>
            <w:tcW w:w="1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7983B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c>
          <w:tcPr>
            <w:tcW w:w="5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37F7E4">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部门预算项目绩效目标与计划期内的任务量、预算安排的资金量匹配情况，绩效目标设置是否科学合理、规范完整、量化细化、预算匹配</w:t>
            </w:r>
          </w:p>
        </w:tc>
        <w:tc>
          <w:tcPr>
            <w:tcW w:w="42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8B2949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比率分值法</w:t>
            </w:r>
          </w:p>
        </w:tc>
        <w:tc>
          <w:tcPr>
            <w:tcW w:w="1333"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6EA6F6C">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该项指标得分=4-绩效目标与计划期内的任务量、预算安排不相匹配的部门预算特定目标类项目数量÷部门预算特定目标类项目总数×100%×4。若无部门预算特定目标类项目，则抽评涉及核心业务、资金量大的其他部门预算项目，下同。</w:t>
            </w:r>
          </w:p>
        </w:tc>
        <w:tc>
          <w:tcPr>
            <w:tcW w:w="322"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924A46B">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是</w:t>
            </w:r>
          </w:p>
        </w:tc>
        <w:tc>
          <w:tcPr>
            <w:tcW w:w="511"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2B772F8">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见自评报告</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C5DA2E">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c>
          <w:tcPr>
            <w:tcW w:w="1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E4343B">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1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6AC78F">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1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F78DA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4"/>
                <w:szCs w:val="24"/>
                <w:u w:val="none"/>
              </w:rPr>
            </w:pPr>
          </w:p>
        </w:tc>
      </w:tr>
      <w:tr w14:paraId="16347F1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55" w:hRule="atLeast"/>
        </w:trPr>
        <w:tc>
          <w:tcPr>
            <w:tcW w:w="373"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C0FAE2">
            <w:pPr>
              <w:keepNext w:val="0"/>
              <w:keepLines w:val="0"/>
              <w:suppressLineNumbers w:val="0"/>
              <w:spacing w:before="0" w:beforeAutospacing="0" w:after="0" w:afterAutospacing="0"/>
              <w:ind w:left="0" w:right="0"/>
              <w:jc w:val="center"/>
              <w:rPr>
                <w:rFonts w:hint="eastAsia" w:ascii="宋体" w:hAnsi="宋体" w:eastAsia="宋体" w:cs="宋体"/>
                <w:b/>
                <w:bCs/>
                <w:i w:val="0"/>
                <w:iCs w:val="0"/>
                <w:color w:val="000000"/>
                <w:sz w:val="24"/>
                <w:szCs w:val="24"/>
                <w:u w:val="none"/>
              </w:rPr>
            </w:pPr>
          </w:p>
        </w:tc>
        <w:tc>
          <w:tcPr>
            <w:tcW w:w="239" w:type="pct"/>
            <w:gridSpan w:val="2"/>
            <w:vMerge w:val="continue"/>
            <w:tcBorders>
              <w:top w:val="single" w:color="000000" w:sz="4" w:space="0"/>
              <w:left w:val="single" w:color="000000" w:sz="4" w:space="0"/>
              <w:bottom w:val="nil"/>
              <w:right w:val="single" w:color="000000" w:sz="4" w:space="0"/>
            </w:tcBorders>
            <w:shd w:val="clear" w:color="auto" w:fill="auto"/>
            <w:vAlign w:val="center"/>
          </w:tcPr>
          <w:p w14:paraId="56643077">
            <w:pPr>
              <w:keepNext w:val="0"/>
              <w:keepLines w:val="0"/>
              <w:suppressLineNumbers w:val="0"/>
              <w:spacing w:before="0" w:beforeAutospacing="0" w:after="0" w:afterAutospacing="0"/>
              <w:ind w:left="0" w:right="0"/>
              <w:jc w:val="center"/>
              <w:rPr>
                <w:rFonts w:hint="eastAsia" w:ascii="宋体" w:hAnsi="宋体" w:eastAsia="宋体" w:cs="宋体"/>
                <w:b/>
                <w:bCs/>
                <w:i w:val="0"/>
                <w:iCs w:val="0"/>
                <w:color w:val="000000"/>
                <w:sz w:val="24"/>
                <w:szCs w:val="24"/>
                <w:u w:val="none"/>
              </w:rPr>
            </w:pPr>
          </w:p>
        </w:tc>
        <w:tc>
          <w:tcPr>
            <w:tcW w:w="396"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449C9C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项目入库</w:t>
            </w:r>
          </w:p>
        </w:tc>
        <w:tc>
          <w:tcPr>
            <w:tcW w:w="1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11D1F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c>
          <w:tcPr>
            <w:tcW w:w="5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7208E3">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部门预算项目是否在规定时间完成项目入库</w:t>
            </w:r>
          </w:p>
        </w:tc>
        <w:tc>
          <w:tcPr>
            <w:tcW w:w="42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3A0739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比率分值法</w:t>
            </w:r>
          </w:p>
        </w:tc>
        <w:tc>
          <w:tcPr>
            <w:tcW w:w="1333"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B20B51E">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该项指标得分=4-规定时间未入财政库部门预算特定目标类项目数量÷最终安排部门预算特定目标类项目总数×100%×4。规定时间以当年11月30日为准。</w:t>
            </w:r>
          </w:p>
        </w:tc>
        <w:tc>
          <w:tcPr>
            <w:tcW w:w="322"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E1696EA">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是</w:t>
            </w:r>
          </w:p>
        </w:tc>
        <w:tc>
          <w:tcPr>
            <w:tcW w:w="511"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5F9ED01">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都在规定时间内完成项目入库。</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237B49">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c>
          <w:tcPr>
            <w:tcW w:w="1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9E0C2B">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1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697C1D">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1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B9B81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4"/>
                <w:szCs w:val="24"/>
                <w:u w:val="none"/>
              </w:rPr>
            </w:pPr>
          </w:p>
        </w:tc>
      </w:tr>
      <w:tr w14:paraId="45C53F9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40" w:hRule="atLeast"/>
        </w:trPr>
        <w:tc>
          <w:tcPr>
            <w:tcW w:w="373"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613B41">
            <w:pPr>
              <w:keepNext w:val="0"/>
              <w:keepLines w:val="0"/>
              <w:suppressLineNumbers w:val="0"/>
              <w:spacing w:before="0" w:beforeAutospacing="0" w:after="0" w:afterAutospacing="0"/>
              <w:ind w:left="0" w:right="0"/>
              <w:jc w:val="center"/>
              <w:rPr>
                <w:rFonts w:hint="eastAsia" w:ascii="宋体" w:hAnsi="宋体" w:eastAsia="宋体" w:cs="宋体"/>
                <w:b/>
                <w:bCs/>
                <w:i w:val="0"/>
                <w:iCs w:val="0"/>
                <w:color w:val="000000"/>
                <w:sz w:val="24"/>
                <w:szCs w:val="24"/>
                <w:u w:val="none"/>
              </w:rPr>
            </w:pPr>
          </w:p>
        </w:tc>
        <w:tc>
          <w:tcPr>
            <w:tcW w:w="239" w:type="pct"/>
            <w:gridSpan w:val="2"/>
            <w:vMerge w:val="restart"/>
            <w:tcBorders>
              <w:top w:val="single" w:color="000000" w:sz="4" w:space="0"/>
              <w:left w:val="single" w:color="000000" w:sz="4" w:space="0"/>
              <w:bottom w:val="nil"/>
              <w:right w:val="single" w:color="000000" w:sz="4" w:space="0"/>
            </w:tcBorders>
            <w:shd w:val="clear" w:color="auto" w:fill="auto"/>
            <w:vAlign w:val="center"/>
          </w:tcPr>
          <w:p w14:paraId="5EC5981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项目执行</w:t>
            </w:r>
            <w:r>
              <w:rPr>
                <w:rFonts w:hint="eastAsia" w:ascii="宋体" w:hAnsi="宋体" w:eastAsia="宋体" w:cs="宋体"/>
                <w:b/>
                <w:bCs/>
                <w:i w:val="0"/>
                <w:iCs w:val="0"/>
                <w:color w:val="000000"/>
                <w:kern w:val="0"/>
                <w:sz w:val="24"/>
                <w:szCs w:val="24"/>
                <w:u w:val="none"/>
                <w:lang w:val="en-US" w:eastAsia="zh-CN" w:bidi="ar"/>
              </w:rPr>
              <w:br w:type="textWrapping"/>
            </w:r>
            <w:r>
              <w:rPr>
                <w:rFonts w:hint="eastAsia" w:ascii="宋体" w:hAnsi="宋体" w:eastAsia="宋体" w:cs="宋体"/>
                <w:b/>
                <w:bCs/>
                <w:i w:val="0"/>
                <w:iCs w:val="0"/>
                <w:color w:val="000000"/>
                <w:kern w:val="0"/>
                <w:sz w:val="24"/>
                <w:szCs w:val="24"/>
                <w:u w:val="none"/>
                <w:lang w:val="en-US" w:eastAsia="zh-CN" w:bidi="ar"/>
              </w:rPr>
              <w:t>（12分）</w:t>
            </w:r>
          </w:p>
        </w:tc>
        <w:tc>
          <w:tcPr>
            <w:tcW w:w="396"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50F25E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执行同向</w:t>
            </w:r>
          </w:p>
        </w:tc>
        <w:tc>
          <w:tcPr>
            <w:tcW w:w="1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AB949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c>
          <w:tcPr>
            <w:tcW w:w="5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B3BFFE">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部门预算项目实际列支内容是否与绩效目标设置方向相符</w:t>
            </w:r>
          </w:p>
        </w:tc>
        <w:tc>
          <w:tcPr>
            <w:tcW w:w="42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FA4D23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比率分值法</w:t>
            </w:r>
          </w:p>
        </w:tc>
        <w:tc>
          <w:tcPr>
            <w:tcW w:w="1333"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4D91C30">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该项指标得分=4-实际列支内容与绩效目标设置方向不相符的部门预算特定目标类项目数量÷部门预算特定目标类项目总数×100%×4。</w:t>
            </w:r>
          </w:p>
        </w:tc>
        <w:tc>
          <w:tcPr>
            <w:tcW w:w="322"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6C89E47">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是</w:t>
            </w:r>
          </w:p>
        </w:tc>
        <w:tc>
          <w:tcPr>
            <w:tcW w:w="511"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4FD5E3C">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无实际列支内容与绩效目标设置方向不相符的部门预算特定目标类项目</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60545F">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c>
          <w:tcPr>
            <w:tcW w:w="1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00F2D6">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1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2168A3">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1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70225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4"/>
                <w:szCs w:val="24"/>
                <w:u w:val="none"/>
              </w:rPr>
            </w:pPr>
          </w:p>
        </w:tc>
      </w:tr>
      <w:tr w14:paraId="2C35333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55" w:hRule="atLeast"/>
        </w:trPr>
        <w:tc>
          <w:tcPr>
            <w:tcW w:w="373"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42238A">
            <w:pPr>
              <w:keepNext w:val="0"/>
              <w:keepLines w:val="0"/>
              <w:suppressLineNumbers w:val="0"/>
              <w:spacing w:before="0" w:beforeAutospacing="0" w:after="0" w:afterAutospacing="0"/>
              <w:ind w:left="0" w:right="0"/>
              <w:jc w:val="center"/>
              <w:rPr>
                <w:rFonts w:hint="eastAsia" w:ascii="宋体" w:hAnsi="宋体" w:eastAsia="宋体" w:cs="宋体"/>
                <w:b/>
                <w:bCs/>
                <w:i w:val="0"/>
                <w:iCs w:val="0"/>
                <w:color w:val="000000"/>
                <w:sz w:val="24"/>
                <w:szCs w:val="24"/>
                <w:u w:val="none"/>
              </w:rPr>
            </w:pPr>
          </w:p>
        </w:tc>
        <w:tc>
          <w:tcPr>
            <w:tcW w:w="239" w:type="pct"/>
            <w:gridSpan w:val="2"/>
            <w:vMerge w:val="continue"/>
            <w:tcBorders>
              <w:top w:val="single" w:color="000000" w:sz="4" w:space="0"/>
              <w:left w:val="single" w:color="000000" w:sz="4" w:space="0"/>
              <w:bottom w:val="nil"/>
              <w:right w:val="single" w:color="000000" w:sz="4" w:space="0"/>
            </w:tcBorders>
            <w:shd w:val="clear" w:color="auto" w:fill="auto"/>
            <w:vAlign w:val="center"/>
          </w:tcPr>
          <w:p w14:paraId="4D5F90EA">
            <w:pPr>
              <w:keepNext w:val="0"/>
              <w:keepLines w:val="0"/>
              <w:suppressLineNumbers w:val="0"/>
              <w:spacing w:before="0" w:beforeAutospacing="0" w:after="0" w:afterAutospacing="0"/>
              <w:ind w:left="0" w:right="0"/>
              <w:jc w:val="center"/>
              <w:rPr>
                <w:rFonts w:hint="eastAsia" w:ascii="宋体" w:hAnsi="宋体" w:eastAsia="宋体" w:cs="宋体"/>
                <w:b/>
                <w:bCs/>
                <w:i w:val="0"/>
                <w:iCs w:val="0"/>
                <w:color w:val="000000"/>
                <w:sz w:val="24"/>
                <w:szCs w:val="24"/>
                <w:u w:val="none"/>
              </w:rPr>
            </w:pPr>
          </w:p>
        </w:tc>
        <w:tc>
          <w:tcPr>
            <w:tcW w:w="396" w:type="pct"/>
            <w:gridSpan w:val="2"/>
            <w:tcBorders>
              <w:top w:val="single" w:color="000000" w:sz="4" w:space="0"/>
              <w:left w:val="single" w:color="000000" w:sz="4" w:space="0"/>
              <w:bottom w:val="nil"/>
              <w:right w:val="single" w:color="000000" w:sz="4" w:space="0"/>
            </w:tcBorders>
            <w:shd w:val="clear" w:color="auto" w:fill="auto"/>
            <w:vAlign w:val="center"/>
          </w:tcPr>
          <w:p w14:paraId="0C7DD46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项目调整</w:t>
            </w:r>
          </w:p>
        </w:tc>
        <w:tc>
          <w:tcPr>
            <w:tcW w:w="1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42624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c>
          <w:tcPr>
            <w:tcW w:w="5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F287C1">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部门预算项目是否采取对应调整措施</w:t>
            </w:r>
          </w:p>
        </w:tc>
        <w:tc>
          <w:tcPr>
            <w:tcW w:w="42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BC53ED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比率分值法</w:t>
            </w:r>
          </w:p>
        </w:tc>
        <w:tc>
          <w:tcPr>
            <w:tcW w:w="1333"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5FCAA35">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该项指标得分=4-应采取未采取收回预算、调整目标等处置措施的部门预算特定目标类项目数量÷应采取收回预算、调整目标等处置措施的部门预算特定目标类项目总数×100%×4。</w:t>
            </w:r>
          </w:p>
        </w:tc>
        <w:tc>
          <w:tcPr>
            <w:tcW w:w="322"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96C5BF6">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是</w:t>
            </w:r>
          </w:p>
        </w:tc>
        <w:tc>
          <w:tcPr>
            <w:tcW w:w="511"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7438AA1">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无调整</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16F945">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c>
          <w:tcPr>
            <w:tcW w:w="1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BCF120">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1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3706B0">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1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6D9A6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4"/>
                <w:szCs w:val="24"/>
                <w:u w:val="none"/>
              </w:rPr>
            </w:pPr>
          </w:p>
        </w:tc>
      </w:tr>
      <w:tr w14:paraId="15C1DB7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0" w:hRule="atLeast"/>
        </w:trPr>
        <w:tc>
          <w:tcPr>
            <w:tcW w:w="373"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6734C9">
            <w:pPr>
              <w:keepNext w:val="0"/>
              <w:keepLines w:val="0"/>
              <w:suppressLineNumbers w:val="0"/>
              <w:spacing w:before="0" w:beforeAutospacing="0" w:after="0" w:afterAutospacing="0"/>
              <w:ind w:left="0" w:right="0"/>
              <w:jc w:val="center"/>
              <w:rPr>
                <w:rFonts w:hint="eastAsia" w:ascii="宋体" w:hAnsi="宋体" w:eastAsia="宋体" w:cs="宋体"/>
                <w:b/>
                <w:bCs/>
                <w:i w:val="0"/>
                <w:iCs w:val="0"/>
                <w:color w:val="000000"/>
                <w:sz w:val="24"/>
                <w:szCs w:val="24"/>
                <w:u w:val="none"/>
              </w:rPr>
            </w:pPr>
          </w:p>
        </w:tc>
        <w:tc>
          <w:tcPr>
            <w:tcW w:w="239" w:type="pct"/>
            <w:gridSpan w:val="2"/>
            <w:vMerge w:val="continue"/>
            <w:tcBorders>
              <w:top w:val="single" w:color="000000" w:sz="4" w:space="0"/>
              <w:left w:val="single" w:color="000000" w:sz="4" w:space="0"/>
              <w:bottom w:val="nil"/>
              <w:right w:val="single" w:color="000000" w:sz="4" w:space="0"/>
            </w:tcBorders>
            <w:shd w:val="clear" w:color="auto" w:fill="auto"/>
            <w:vAlign w:val="center"/>
          </w:tcPr>
          <w:p w14:paraId="03774071">
            <w:pPr>
              <w:keepNext w:val="0"/>
              <w:keepLines w:val="0"/>
              <w:suppressLineNumbers w:val="0"/>
              <w:spacing w:before="0" w:beforeAutospacing="0" w:after="0" w:afterAutospacing="0"/>
              <w:ind w:left="0" w:right="0"/>
              <w:jc w:val="center"/>
              <w:rPr>
                <w:rFonts w:hint="eastAsia" w:ascii="宋体" w:hAnsi="宋体" w:eastAsia="宋体" w:cs="宋体"/>
                <w:b/>
                <w:bCs/>
                <w:i w:val="0"/>
                <w:iCs w:val="0"/>
                <w:color w:val="000000"/>
                <w:sz w:val="24"/>
                <w:szCs w:val="24"/>
                <w:u w:val="none"/>
              </w:rPr>
            </w:pPr>
          </w:p>
        </w:tc>
        <w:tc>
          <w:tcPr>
            <w:tcW w:w="396"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D84A06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执行结果</w:t>
            </w:r>
          </w:p>
        </w:tc>
        <w:tc>
          <w:tcPr>
            <w:tcW w:w="1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DD8B3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c>
          <w:tcPr>
            <w:tcW w:w="5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0003F4">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部门预算项目预算执行情况</w:t>
            </w:r>
          </w:p>
        </w:tc>
        <w:tc>
          <w:tcPr>
            <w:tcW w:w="42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B0921A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比率分值法</w:t>
            </w:r>
          </w:p>
        </w:tc>
        <w:tc>
          <w:tcPr>
            <w:tcW w:w="1333"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44B0BE0">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该项指标得分=预算结余率小于10%的项目数量÷部门预算项目总数×100%×4。</w:t>
            </w:r>
          </w:p>
        </w:tc>
        <w:tc>
          <w:tcPr>
            <w:tcW w:w="322"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7BA2974">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是</w:t>
            </w:r>
          </w:p>
        </w:tc>
        <w:tc>
          <w:tcPr>
            <w:tcW w:w="511" w:type="pct"/>
            <w:gridSpan w:val="2"/>
            <w:tcBorders>
              <w:top w:val="nil"/>
              <w:left w:val="single" w:color="000000" w:sz="4" w:space="0"/>
              <w:bottom w:val="single" w:color="000000" w:sz="4" w:space="0"/>
              <w:right w:val="single" w:color="000000" w:sz="4" w:space="0"/>
            </w:tcBorders>
            <w:shd w:val="clear" w:color="auto" w:fill="auto"/>
            <w:vAlign w:val="center"/>
          </w:tcPr>
          <w:p w14:paraId="58476087">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19/22*100%*4</w:t>
            </w:r>
          </w:p>
        </w:tc>
        <w:tc>
          <w:tcPr>
            <w:tcW w:w="266" w:type="pct"/>
            <w:tcBorders>
              <w:top w:val="nil"/>
              <w:left w:val="single" w:color="000000" w:sz="4" w:space="0"/>
              <w:bottom w:val="single" w:color="000000" w:sz="4" w:space="0"/>
              <w:right w:val="single" w:color="000000" w:sz="4" w:space="0"/>
            </w:tcBorders>
            <w:shd w:val="clear" w:color="auto" w:fill="auto"/>
            <w:vAlign w:val="center"/>
          </w:tcPr>
          <w:p w14:paraId="599E6590">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3.45</w:t>
            </w:r>
          </w:p>
        </w:tc>
        <w:tc>
          <w:tcPr>
            <w:tcW w:w="129" w:type="pct"/>
            <w:tcBorders>
              <w:top w:val="nil"/>
              <w:left w:val="single" w:color="000000" w:sz="4" w:space="0"/>
              <w:bottom w:val="single" w:color="000000" w:sz="4" w:space="0"/>
              <w:right w:val="single" w:color="000000" w:sz="4" w:space="0"/>
            </w:tcBorders>
            <w:shd w:val="clear" w:color="auto" w:fill="auto"/>
            <w:vAlign w:val="center"/>
          </w:tcPr>
          <w:p w14:paraId="3737606C">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158" w:type="pct"/>
            <w:tcBorders>
              <w:top w:val="nil"/>
              <w:left w:val="single" w:color="000000" w:sz="4" w:space="0"/>
              <w:bottom w:val="single" w:color="000000" w:sz="4" w:space="0"/>
              <w:right w:val="single" w:color="000000" w:sz="4" w:space="0"/>
            </w:tcBorders>
            <w:shd w:val="clear" w:color="auto" w:fill="auto"/>
            <w:vAlign w:val="center"/>
          </w:tcPr>
          <w:p w14:paraId="1D75B096">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161" w:type="pct"/>
            <w:tcBorders>
              <w:top w:val="nil"/>
              <w:left w:val="single" w:color="000000" w:sz="4" w:space="0"/>
              <w:bottom w:val="single" w:color="000000" w:sz="4" w:space="0"/>
              <w:right w:val="single" w:color="000000" w:sz="4" w:space="0"/>
            </w:tcBorders>
            <w:shd w:val="clear" w:color="auto" w:fill="auto"/>
            <w:vAlign w:val="center"/>
          </w:tcPr>
          <w:p w14:paraId="7D98786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4"/>
                <w:szCs w:val="24"/>
                <w:u w:val="none"/>
              </w:rPr>
            </w:pPr>
          </w:p>
        </w:tc>
      </w:tr>
      <w:tr w14:paraId="52E19CA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0" w:hRule="atLeast"/>
        </w:trPr>
        <w:tc>
          <w:tcPr>
            <w:tcW w:w="373"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20DED5">
            <w:pPr>
              <w:keepNext w:val="0"/>
              <w:keepLines w:val="0"/>
              <w:suppressLineNumbers w:val="0"/>
              <w:spacing w:before="0" w:beforeAutospacing="0" w:after="0" w:afterAutospacing="0"/>
              <w:ind w:left="0" w:right="0"/>
              <w:jc w:val="center"/>
              <w:rPr>
                <w:rFonts w:hint="eastAsia" w:ascii="宋体" w:hAnsi="宋体" w:eastAsia="宋体" w:cs="宋体"/>
                <w:b/>
                <w:bCs/>
                <w:i w:val="0"/>
                <w:iCs w:val="0"/>
                <w:color w:val="000000"/>
                <w:sz w:val="24"/>
                <w:szCs w:val="24"/>
                <w:u w:val="none"/>
              </w:rPr>
            </w:pPr>
          </w:p>
        </w:tc>
        <w:tc>
          <w:tcPr>
            <w:tcW w:w="239" w:type="pct"/>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8550C3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目标实现</w:t>
            </w:r>
            <w:r>
              <w:rPr>
                <w:rFonts w:hint="eastAsia" w:ascii="宋体" w:hAnsi="宋体" w:eastAsia="宋体" w:cs="宋体"/>
                <w:b/>
                <w:bCs/>
                <w:i w:val="0"/>
                <w:iCs w:val="0"/>
                <w:color w:val="000000"/>
                <w:kern w:val="0"/>
                <w:sz w:val="24"/>
                <w:szCs w:val="24"/>
                <w:u w:val="none"/>
                <w:lang w:val="en-US" w:eastAsia="zh-CN" w:bidi="ar"/>
              </w:rPr>
              <w:br w:type="textWrapping"/>
            </w:r>
            <w:r>
              <w:rPr>
                <w:rFonts w:hint="eastAsia" w:ascii="宋体" w:hAnsi="宋体" w:eastAsia="宋体" w:cs="宋体"/>
                <w:b/>
                <w:bCs/>
                <w:i w:val="0"/>
                <w:iCs w:val="0"/>
                <w:color w:val="000000"/>
                <w:kern w:val="0"/>
                <w:sz w:val="24"/>
                <w:szCs w:val="24"/>
                <w:u w:val="none"/>
                <w:lang w:val="en-US" w:eastAsia="zh-CN" w:bidi="ar"/>
              </w:rPr>
              <w:t>（11分）</w:t>
            </w:r>
          </w:p>
        </w:tc>
        <w:tc>
          <w:tcPr>
            <w:tcW w:w="396"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A778F0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目标完成</w:t>
            </w:r>
          </w:p>
        </w:tc>
        <w:tc>
          <w:tcPr>
            <w:tcW w:w="1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03519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c>
          <w:tcPr>
            <w:tcW w:w="5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574A3B">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部门预算项目绩效目标数量指标完成情况</w:t>
            </w:r>
          </w:p>
        </w:tc>
        <w:tc>
          <w:tcPr>
            <w:tcW w:w="42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211D00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比率分值法</w:t>
            </w:r>
          </w:p>
        </w:tc>
        <w:tc>
          <w:tcPr>
            <w:tcW w:w="1333"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09A37F7">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该项指标得分=完成绩效目标数量指标的部门预算特定目标类项目数量÷部门预算特定目标类项目总数×100%×4。</w:t>
            </w:r>
          </w:p>
        </w:tc>
        <w:tc>
          <w:tcPr>
            <w:tcW w:w="322"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9EE16DC">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是</w:t>
            </w:r>
          </w:p>
        </w:tc>
        <w:tc>
          <w:tcPr>
            <w:tcW w:w="511"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2418AC1">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19/24*100%*4</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D348FB">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3.45</w:t>
            </w:r>
          </w:p>
        </w:tc>
        <w:tc>
          <w:tcPr>
            <w:tcW w:w="1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62ED1B">
            <w:pPr>
              <w:keepNext w:val="0"/>
              <w:keepLines w:val="0"/>
              <w:suppressLineNumbers w:val="0"/>
              <w:spacing w:before="0" w:beforeAutospacing="0" w:after="0" w:afterAutospacing="0"/>
              <w:ind w:left="0" w:right="0"/>
              <w:rPr>
                <w:rFonts w:hint="eastAsia" w:ascii="宋体" w:hAnsi="宋体" w:eastAsia="宋体" w:cs="宋体"/>
                <w:i w:val="0"/>
                <w:iCs w:val="0"/>
                <w:color w:val="000000"/>
                <w:sz w:val="24"/>
                <w:szCs w:val="24"/>
                <w:u w:val="none"/>
              </w:rPr>
            </w:pPr>
          </w:p>
        </w:tc>
        <w:tc>
          <w:tcPr>
            <w:tcW w:w="1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DC476F">
            <w:pPr>
              <w:keepNext w:val="0"/>
              <w:keepLines w:val="0"/>
              <w:suppressLineNumbers w:val="0"/>
              <w:spacing w:before="0" w:beforeAutospacing="0" w:after="0" w:afterAutospacing="0"/>
              <w:ind w:left="0" w:right="0"/>
              <w:rPr>
                <w:rFonts w:hint="eastAsia" w:ascii="宋体" w:hAnsi="宋体" w:eastAsia="宋体" w:cs="宋体"/>
                <w:i w:val="0"/>
                <w:iCs w:val="0"/>
                <w:color w:val="000000"/>
                <w:sz w:val="24"/>
                <w:szCs w:val="24"/>
                <w:u w:val="none"/>
              </w:rPr>
            </w:pPr>
          </w:p>
        </w:tc>
        <w:tc>
          <w:tcPr>
            <w:tcW w:w="1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0901B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4"/>
                <w:szCs w:val="24"/>
                <w:u w:val="none"/>
              </w:rPr>
            </w:pPr>
          </w:p>
        </w:tc>
      </w:tr>
      <w:tr w14:paraId="6E80D6B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20" w:hRule="atLeast"/>
        </w:trPr>
        <w:tc>
          <w:tcPr>
            <w:tcW w:w="373"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19C8B8">
            <w:pPr>
              <w:keepNext w:val="0"/>
              <w:keepLines w:val="0"/>
              <w:suppressLineNumbers w:val="0"/>
              <w:spacing w:before="0" w:beforeAutospacing="0" w:after="0" w:afterAutospacing="0"/>
              <w:ind w:left="0" w:right="0"/>
              <w:jc w:val="center"/>
              <w:rPr>
                <w:rFonts w:hint="eastAsia" w:ascii="宋体" w:hAnsi="宋体" w:eastAsia="宋体" w:cs="宋体"/>
                <w:b/>
                <w:bCs/>
                <w:i w:val="0"/>
                <w:iCs w:val="0"/>
                <w:color w:val="000000"/>
                <w:sz w:val="24"/>
                <w:szCs w:val="24"/>
                <w:u w:val="none"/>
              </w:rPr>
            </w:pPr>
          </w:p>
        </w:tc>
        <w:tc>
          <w:tcPr>
            <w:tcW w:w="239"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1C2DF1">
            <w:pPr>
              <w:keepNext w:val="0"/>
              <w:keepLines w:val="0"/>
              <w:suppressLineNumbers w:val="0"/>
              <w:spacing w:before="0" w:beforeAutospacing="0" w:after="0" w:afterAutospacing="0"/>
              <w:ind w:left="0" w:right="0"/>
              <w:jc w:val="center"/>
              <w:rPr>
                <w:rFonts w:hint="eastAsia" w:ascii="宋体" w:hAnsi="宋体" w:eastAsia="宋体" w:cs="宋体"/>
                <w:b/>
                <w:bCs/>
                <w:i w:val="0"/>
                <w:iCs w:val="0"/>
                <w:color w:val="000000"/>
                <w:sz w:val="24"/>
                <w:szCs w:val="24"/>
                <w:u w:val="none"/>
              </w:rPr>
            </w:pPr>
          </w:p>
        </w:tc>
        <w:tc>
          <w:tcPr>
            <w:tcW w:w="396"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B0D8FB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目标偏离</w:t>
            </w:r>
          </w:p>
        </w:tc>
        <w:tc>
          <w:tcPr>
            <w:tcW w:w="1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941B8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c>
          <w:tcPr>
            <w:tcW w:w="5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287314">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部门预算项目绩效目标数量指标实现程度与预期目标的偏离情况</w:t>
            </w:r>
          </w:p>
        </w:tc>
        <w:tc>
          <w:tcPr>
            <w:tcW w:w="42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268470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比率分值法</w:t>
            </w:r>
          </w:p>
        </w:tc>
        <w:tc>
          <w:tcPr>
            <w:tcW w:w="1333"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B57FED6">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该项指标得分=已完成预期指标值的数量指标中偏离度在30%内的指标个数÷已完成预期指标值的数量指标个数×100%×4。偏离度=|（绩效指标实际完成值-设定预期指标值）÷设定预期指标值|。部门预算特定目标类项目绩效目标实际完成值偏离预期指标30%以上（含30%）的，不计分。</w:t>
            </w:r>
          </w:p>
        </w:tc>
        <w:tc>
          <w:tcPr>
            <w:tcW w:w="322"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FDED190">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是</w:t>
            </w:r>
          </w:p>
        </w:tc>
        <w:tc>
          <w:tcPr>
            <w:tcW w:w="511"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BB99151">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无目标偏离项目</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9293B7">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c>
          <w:tcPr>
            <w:tcW w:w="1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690B92">
            <w:pPr>
              <w:keepNext w:val="0"/>
              <w:keepLines w:val="0"/>
              <w:suppressLineNumbers w:val="0"/>
              <w:spacing w:before="0" w:beforeAutospacing="0" w:after="0" w:afterAutospacing="0"/>
              <w:ind w:left="0" w:right="0"/>
              <w:rPr>
                <w:rFonts w:hint="eastAsia" w:ascii="宋体" w:hAnsi="宋体" w:eastAsia="宋体" w:cs="宋体"/>
                <w:i w:val="0"/>
                <w:iCs w:val="0"/>
                <w:color w:val="000000"/>
                <w:sz w:val="24"/>
                <w:szCs w:val="24"/>
                <w:u w:val="none"/>
              </w:rPr>
            </w:pPr>
          </w:p>
        </w:tc>
        <w:tc>
          <w:tcPr>
            <w:tcW w:w="1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58A6AC">
            <w:pPr>
              <w:keepNext w:val="0"/>
              <w:keepLines w:val="0"/>
              <w:suppressLineNumbers w:val="0"/>
              <w:spacing w:before="0" w:beforeAutospacing="0" w:after="0" w:afterAutospacing="0"/>
              <w:ind w:left="0" w:right="0"/>
              <w:rPr>
                <w:rFonts w:hint="eastAsia" w:ascii="宋体" w:hAnsi="宋体" w:eastAsia="宋体" w:cs="宋体"/>
                <w:i w:val="0"/>
                <w:iCs w:val="0"/>
                <w:color w:val="000000"/>
                <w:sz w:val="24"/>
                <w:szCs w:val="24"/>
                <w:u w:val="none"/>
              </w:rPr>
            </w:pPr>
          </w:p>
        </w:tc>
        <w:tc>
          <w:tcPr>
            <w:tcW w:w="1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47670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4"/>
                <w:szCs w:val="24"/>
                <w:u w:val="none"/>
              </w:rPr>
            </w:pPr>
          </w:p>
        </w:tc>
      </w:tr>
      <w:tr w14:paraId="213D03E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0" w:hRule="atLeast"/>
        </w:trPr>
        <w:tc>
          <w:tcPr>
            <w:tcW w:w="373"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0CE311">
            <w:pPr>
              <w:keepNext w:val="0"/>
              <w:keepLines w:val="0"/>
              <w:suppressLineNumbers w:val="0"/>
              <w:spacing w:before="0" w:beforeAutospacing="0" w:after="0" w:afterAutospacing="0"/>
              <w:ind w:left="0" w:right="0"/>
              <w:jc w:val="center"/>
              <w:rPr>
                <w:rFonts w:hint="eastAsia" w:ascii="宋体" w:hAnsi="宋体" w:eastAsia="宋体" w:cs="宋体"/>
                <w:b/>
                <w:bCs/>
                <w:i w:val="0"/>
                <w:iCs w:val="0"/>
                <w:color w:val="000000"/>
                <w:sz w:val="24"/>
                <w:szCs w:val="24"/>
                <w:u w:val="none"/>
              </w:rPr>
            </w:pPr>
          </w:p>
        </w:tc>
        <w:tc>
          <w:tcPr>
            <w:tcW w:w="239"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917196">
            <w:pPr>
              <w:keepNext w:val="0"/>
              <w:keepLines w:val="0"/>
              <w:suppressLineNumbers w:val="0"/>
              <w:spacing w:before="0" w:beforeAutospacing="0" w:after="0" w:afterAutospacing="0"/>
              <w:ind w:left="0" w:right="0"/>
              <w:jc w:val="center"/>
              <w:rPr>
                <w:rFonts w:hint="eastAsia" w:ascii="宋体" w:hAnsi="宋体" w:eastAsia="宋体" w:cs="宋体"/>
                <w:b/>
                <w:bCs/>
                <w:i w:val="0"/>
                <w:iCs w:val="0"/>
                <w:color w:val="000000"/>
                <w:sz w:val="24"/>
                <w:szCs w:val="24"/>
                <w:u w:val="none"/>
              </w:rPr>
            </w:pPr>
          </w:p>
        </w:tc>
        <w:tc>
          <w:tcPr>
            <w:tcW w:w="396"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422709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实现效果</w:t>
            </w:r>
          </w:p>
        </w:tc>
        <w:tc>
          <w:tcPr>
            <w:tcW w:w="1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FD6BF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c>
          <w:tcPr>
            <w:tcW w:w="5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D04330">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部门预算项目绩效目标效益指标实施效果</w:t>
            </w:r>
          </w:p>
        </w:tc>
        <w:tc>
          <w:tcPr>
            <w:tcW w:w="42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4963DF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比率分值法</w:t>
            </w:r>
          </w:p>
        </w:tc>
        <w:tc>
          <w:tcPr>
            <w:tcW w:w="1333"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E19A89D">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该项指标得分=完成绩效目标效益指标的部门预算特定目标类项目数量÷部门预算特定目标类项目总数×100%×3。</w:t>
            </w:r>
          </w:p>
        </w:tc>
        <w:tc>
          <w:tcPr>
            <w:tcW w:w="322"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B906074">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是</w:t>
            </w:r>
          </w:p>
        </w:tc>
        <w:tc>
          <w:tcPr>
            <w:tcW w:w="511"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D392B84">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19/22*100%*3</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1C2BCD">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2.59</w:t>
            </w:r>
          </w:p>
        </w:tc>
        <w:tc>
          <w:tcPr>
            <w:tcW w:w="1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8EC2F3">
            <w:pPr>
              <w:keepNext w:val="0"/>
              <w:keepLines w:val="0"/>
              <w:suppressLineNumbers w:val="0"/>
              <w:spacing w:before="0" w:beforeAutospacing="0" w:after="0" w:afterAutospacing="0"/>
              <w:ind w:left="0" w:right="0"/>
              <w:rPr>
                <w:rFonts w:hint="eastAsia" w:ascii="宋体" w:hAnsi="宋体" w:eastAsia="宋体" w:cs="宋体"/>
                <w:i w:val="0"/>
                <w:iCs w:val="0"/>
                <w:color w:val="000000"/>
                <w:sz w:val="24"/>
                <w:szCs w:val="24"/>
                <w:u w:val="none"/>
              </w:rPr>
            </w:pPr>
          </w:p>
        </w:tc>
        <w:tc>
          <w:tcPr>
            <w:tcW w:w="1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3E454A">
            <w:pPr>
              <w:keepNext w:val="0"/>
              <w:keepLines w:val="0"/>
              <w:suppressLineNumbers w:val="0"/>
              <w:spacing w:before="0" w:beforeAutospacing="0" w:after="0" w:afterAutospacing="0"/>
              <w:ind w:left="0" w:right="0"/>
              <w:rPr>
                <w:rFonts w:hint="eastAsia" w:ascii="宋体" w:hAnsi="宋体" w:eastAsia="宋体" w:cs="宋体"/>
                <w:i w:val="0"/>
                <w:iCs w:val="0"/>
                <w:color w:val="000000"/>
                <w:sz w:val="24"/>
                <w:szCs w:val="24"/>
                <w:u w:val="none"/>
              </w:rPr>
            </w:pPr>
          </w:p>
        </w:tc>
        <w:tc>
          <w:tcPr>
            <w:tcW w:w="1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580B2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4"/>
                <w:szCs w:val="24"/>
                <w:u w:val="none"/>
              </w:rPr>
            </w:pPr>
          </w:p>
        </w:tc>
      </w:tr>
      <w:tr w14:paraId="51623F2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20" w:hRule="atLeast"/>
        </w:trPr>
        <w:tc>
          <w:tcPr>
            <w:tcW w:w="373" w:type="pct"/>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5D07EE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扣分项</w:t>
            </w:r>
            <w:r>
              <w:rPr>
                <w:rFonts w:hint="eastAsia" w:ascii="宋体" w:hAnsi="宋体" w:eastAsia="宋体" w:cs="宋体"/>
                <w:b/>
                <w:bCs/>
                <w:i w:val="0"/>
                <w:iCs w:val="0"/>
                <w:color w:val="000000"/>
                <w:kern w:val="0"/>
                <w:sz w:val="24"/>
                <w:szCs w:val="24"/>
                <w:u w:val="none"/>
                <w:lang w:val="en-US" w:eastAsia="zh-CN" w:bidi="ar"/>
              </w:rPr>
              <w:br w:type="textWrapping"/>
            </w:r>
            <w:r>
              <w:rPr>
                <w:rFonts w:hint="eastAsia" w:ascii="宋体" w:hAnsi="宋体" w:eastAsia="宋体" w:cs="宋体"/>
                <w:b/>
                <w:bCs/>
                <w:i w:val="0"/>
                <w:iCs w:val="0"/>
                <w:color w:val="000000"/>
                <w:kern w:val="0"/>
                <w:sz w:val="24"/>
                <w:szCs w:val="24"/>
                <w:u w:val="none"/>
                <w:lang w:val="en-US" w:eastAsia="zh-CN" w:bidi="ar"/>
              </w:rPr>
              <w:t>（10分）</w:t>
            </w:r>
          </w:p>
        </w:tc>
        <w:tc>
          <w:tcPr>
            <w:tcW w:w="63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7E1119A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预算绩效存在问题</w:t>
            </w:r>
          </w:p>
        </w:tc>
        <w:tc>
          <w:tcPr>
            <w:tcW w:w="1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832C7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w:t>
            </w:r>
          </w:p>
        </w:tc>
        <w:tc>
          <w:tcPr>
            <w:tcW w:w="5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F82299">
            <w:pPr>
              <w:keepNext w:val="0"/>
              <w:keepLines w:val="0"/>
              <w:widowControl/>
              <w:suppressLineNumbers w:val="0"/>
              <w:spacing w:before="0" w:beforeAutospacing="0" w:after="0" w:afterAutospacing="0"/>
              <w:ind w:left="0" w:right="0"/>
              <w:jc w:val="both"/>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预算管理和绩效管理工作存在问题</w:t>
            </w:r>
          </w:p>
        </w:tc>
        <w:tc>
          <w:tcPr>
            <w:tcW w:w="42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C0935A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缺（错）项</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扣分法</w:t>
            </w:r>
          </w:p>
        </w:tc>
        <w:tc>
          <w:tcPr>
            <w:tcW w:w="1333"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4845A4C">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依据评价年度人大监督、巡视巡察、审计监督、财会监督等结果以及评价指标体系涉及的履职效果、预算管理、财务管理、资产管理、采购管理、项目绩效等方面出现的问题，每有一个问题点扣1分，扣完为止。</w:t>
            </w:r>
          </w:p>
        </w:tc>
        <w:tc>
          <w:tcPr>
            <w:tcW w:w="322"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EBF5D76">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511"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E787B5E">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365264">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1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BC5D59">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1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DC3026">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1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1DB25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4"/>
                <w:szCs w:val="24"/>
                <w:u w:val="none"/>
              </w:rPr>
            </w:pPr>
          </w:p>
        </w:tc>
      </w:tr>
      <w:tr w14:paraId="237FFAC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55" w:hRule="atLeast"/>
        </w:trPr>
        <w:tc>
          <w:tcPr>
            <w:tcW w:w="373"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3CFF99">
            <w:pPr>
              <w:keepNext w:val="0"/>
              <w:keepLines w:val="0"/>
              <w:suppressLineNumbers w:val="0"/>
              <w:spacing w:before="0" w:beforeAutospacing="0" w:after="0" w:afterAutospacing="0"/>
              <w:ind w:left="0" w:right="0"/>
              <w:jc w:val="center"/>
              <w:rPr>
                <w:rFonts w:hint="eastAsia" w:ascii="宋体" w:hAnsi="宋体" w:eastAsia="宋体" w:cs="宋体"/>
                <w:b/>
                <w:bCs/>
                <w:i w:val="0"/>
                <w:iCs w:val="0"/>
                <w:color w:val="000000"/>
                <w:sz w:val="24"/>
                <w:szCs w:val="24"/>
                <w:u w:val="none"/>
              </w:rPr>
            </w:pPr>
          </w:p>
        </w:tc>
        <w:tc>
          <w:tcPr>
            <w:tcW w:w="63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71ED889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被评价部门配合度</w:t>
            </w:r>
          </w:p>
        </w:tc>
        <w:tc>
          <w:tcPr>
            <w:tcW w:w="1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BE799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w:t>
            </w:r>
          </w:p>
        </w:tc>
        <w:tc>
          <w:tcPr>
            <w:tcW w:w="5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D018AC">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被评价对象工作配合情况</w:t>
            </w:r>
          </w:p>
        </w:tc>
        <w:tc>
          <w:tcPr>
            <w:tcW w:w="42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671BEB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缺（错）项</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扣分法</w:t>
            </w:r>
          </w:p>
        </w:tc>
        <w:tc>
          <w:tcPr>
            <w:tcW w:w="1333"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CFA2531">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评价工作开展过程中，被评价对象拖延推诿、提交资料不及时等拒不配合评价工作的，每发现一次扣1分，扣完为止。</w:t>
            </w:r>
          </w:p>
        </w:tc>
        <w:tc>
          <w:tcPr>
            <w:tcW w:w="322"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AA30304">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511"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FB470D7">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02F508">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1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458944">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1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63ED64">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4"/>
                <w:szCs w:val="24"/>
                <w:u w:val="none"/>
              </w:rPr>
            </w:pPr>
          </w:p>
        </w:tc>
        <w:tc>
          <w:tcPr>
            <w:tcW w:w="1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DB710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4"/>
                <w:szCs w:val="24"/>
                <w:u w:val="none"/>
              </w:rPr>
            </w:pPr>
          </w:p>
        </w:tc>
      </w:tr>
    </w:tbl>
    <w:p w14:paraId="166163DD">
      <w:pPr>
        <w:spacing w:line="576" w:lineRule="exact"/>
        <w:contextualSpacing/>
        <w:jc w:val="center"/>
        <w:rPr>
          <w:rFonts w:hint="eastAsia" w:ascii="楷体_GB2312" w:eastAsia="楷体_GB2312" w:cs="楷体_GB2312"/>
          <w:b/>
          <w:bCs/>
          <w:szCs w:val="32"/>
          <w:shd w:val="clear" w:color="auto" w:fill="FFFFFF"/>
          <w:lang w:eastAsia="zh-CN"/>
        </w:rPr>
      </w:pPr>
    </w:p>
    <w:p w14:paraId="05FCEFF0">
      <w:pPr>
        <w:pStyle w:val="19"/>
        <w:rPr>
          <w:rFonts w:hint="eastAsia" w:ascii="楷体_GB2312" w:eastAsia="楷体_GB2312" w:cs="楷体_GB2312"/>
          <w:b/>
          <w:bCs/>
          <w:szCs w:val="32"/>
          <w:shd w:val="clear" w:color="auto" w:fill="FFFFFF"/>
          <w:lang w:eastAsia="zh-CN"/>
        </w:rPr>
      </w:pPr>
    </w:p>
    <w:p w14:paraId="15982A19">
      <w:pPr>
        <w:pStyle w:val="19"/>
        <w:rPr>
          <w:rFonts w:hint="eastAsia" w:ascii="楷体_GB2312" w:eastAsia="楷体_GB2312" w:cs="楷体_GB2312"/>
          <w:b/>
          <w:bCs/>
          <w:szCs w:val="32"/>
          <w:shd w:val="clear" w:color="auto" w:fill="FFFFFF"/>
          <w:lang w:eastAsia="zh-CN"/>
        </w:rPr>
      </w:pPr>
    </w:p>
    <w:p w14:paraId="00C9A094">
      <w:pPr>
        <w:pStyle w:val="19"/>
        <w:rPr>
          <w:rFonts w:hint="eastAsia" w:ascii="楷体_GB2312" w:eastAsia="楷体_GB2312" w:cs="楷体_GB2312"/>
          <w:b/>
          <w:bCs/>
          <w:szCs w:val="32"/>
          <w:shd w:val="clear" w:color="auto" w:fill="FFFFFF"/>
          <w:lang w:eastAsia="zh-CN"/>
        </w:rPr>
      </w:pPr>
    </w:p>
    <w:p w14:paraId="1A272C1F">
      <w:pPr>
        <w:pStyle w:val="19"/>
        <w:rPr>
          <w:rFonts w:hint="eastAsia" w:ascii="楷体_GB2312" w:eastAsia="楷体_GB2312" w:cs="楷体_GB2312"/>
          <w:b/>
          <w:bCs/>
          <w:szCs w:val="32"/>
          <w:shd w:val="clear" w:color="auto" w:fill="FFFFFF"/>
          <w:lang w:eastAsia="zh-CN"/>
        </w:rPr>
      </w:pPr>
    </w:p>
    <w:p w14:paraId="2CE5A790">
      <w:pPr>
        <w:pStyle w:val="19"/>
        <w:ind w:left="0" w:leftChars="0" w:firstLine="0" w:firstLineChars="0"/>
        <w:rPr>
          <w:rFonts w:hint="eastAsia" w:ascii="楷体_GB2312" w:eastAsia="楷体_GB2312" w:cs="楷体_GB2312"/>
          <w:b/>
          <w:bCs/>
          <w:szCs w:val="32"/>
          <w:shd w:val="clear" w:color="auto" w:fill="FFFFFF"/>
          <w:lang w:eastAsia="zh-CN"/>
        </w:rPr>
      </w:pPr>
    </w:p>
    <w:p w14:paraId="13E16D4E">
      <w:pPr>
        <w:pStyle w:val="19"/>
        <w:rPr>
          <w:rFonts w:hint="eastAsia" w:ascii="楷体_GB2312" w:eastAsia="楷体_GB2312" w:cs="楷体_GB2312"/>
          <w:b/>
          <w:bCs/>
          <w:szCs w:val="32"/>
          <w:shd w:val="clear" w:color="auto" w:fill="FFFFFF"/>
          <w:lang w:eastAsia="zh-CN"/>
        </w:rPr>
      </w:pPr>
    </w:p>
    <w:p w14:paraId="10F99318">
      <w:pPr>
        <w:pStyle w:val="19"/>
        <w:rPr>
          <w:rFonts w:hint="eastAsia" w:ascii="楷体_GB2312" w:eastAsia="楷体_GB2312" w:cs="楷体_GB2312"/>
          <w:b/>
          <w:bCs/>
          <w:szCs w:val="32"/>
          <w:shd w:val="clear" w:color="auto" w:fill="FFFFFF"/>
          <w:lang w:eastAsia="zh-CN"/>
        </w:rPr>
      </w:pPr>
    </w:p>
    <w:p w14:paraId="2E7C2A18">
      <w:pPr>
        <w:pStyle w:val="19"/>
        <w:rPr>
          <w:rFonts w:hint="eastAsia" w:ascii="楷体_GB2312" w:eastAsia="楷体_GB2312" w:cs="楷体_GB2312"/>
          <w:b/>
          <w:bCs/>
          <w:szCs w:val="32"/>
          <w:shd w:val="clear" w:color="auto" w:fill="FFFFFF"/>
          <w:lang w:eastAsia="zh-CN"/>
        </w:rPr>
      </w:pPr>
    </w:p>
    <w:p w14:paraId="7CDB87ED">
      <w:pPr>
        <w:pStyle w:val="19"/>
        <w:rPr>
          <w:rFonts w:hint="eastAsia" w:ascii="楷体_GB2312" w:eastAsia="楷体_GB2312" w:cs="楷体_GB2312"/>
          <w:b/>
          <w:bCs/>
          <w:szCs w:val="32"/>
          <w:shd w:val="clear" w:color="auto" w:fill="FFFFFF"/>
          <w:lang w:eastAsia="zh-CN"/>
        </w:rPr>
      </w:pPr>
    </w:p>
    <w:p w14:paraId="4F1545F2">
      <w:pPr>
        <w:pStyle w:val="19"/>
        <w:rPr>
          <w:rFonts w:hint="eastAsia" w:ascii="楷体_GB2312" w:eastAsia="楷体_GB2312" w:cs="楷体_GB2312"/>
          <w:b/>
          <w:bCs/>
          <w:szCs w:val="32"/>
          <w:shd w:val="clear" w:color="auto" w:fill="FFFFFF"/>
          <w:lang w:eastAsia="zh-CN"/>
        </w:rPr>
      </w:pPr>
    </w:p>
    <w:p w14:paraId="38F6DA7C">
      <w:pPr>
        <w:pStyle w:val="19"/>
        <w:rPr>
          <w:rFonts w:hint="eastAsia" w:ascii="楷体_GB2312" w:eastAsia="楷体_GB2312" w:cs="楷体_GB2312"/>
          <w:b/>
          <w:bCs/>
          <w:szCs w:val="32"/>
          <w:shd w:val="clear" w:color="auto" w:fill="FFFFFF"/>
          <w:lang w:eastAsia="zh-CN"/>
        </w:rPr>
      </w:pPr>
    </w:p>
    <w:p w14:paraId="0435642B">
      <w:pPr>
        <w:pStyle w:val="19"/>
        <w:rPr>
          <w:rFonts w:hint="eastAsia" w:ascii="楷体_GB2312" w:eastAsia="楷体_GB2312" w:cs="楷体_GB2312"/>
          <w:b/>
          <w:bCs/>
          <w:szCs w:val="32"/>
          <w:shd w:val="clear" w:color="auto" w:fill="FFFFFF"/>
          <w:lang w:eastAsia="zh-CN"/>
        </w:rPr>
      </w:pPr>
    </w:p>
    <w:p w14:paraId="4C42BA7D">
      <w:pPr>
        <w:pStyle w:val="19"/>
        <w:rPr>
          <w:rFonts w:hint="eastAsia" w:ascii="楷体_GB2312" w:eastAsia="楷体_GB2312" w:cs="楷体_GB2312"/>
          <w:b/>
          <w:bCs/>
          <w:szCs w:val="32"/>
          <w:shd w:val="clear" w:color="auto" w:fill="FFFFFF"/>
          <w:lang w:eastAsia="zh-CN"/>
        </w:rPr>
      </w:pPr>
    </w:p>
    <w:p w14:paraId="6C026DA5">
      <w:pPr>
        <w:pStyle w:val="19"/>
        <w:rPr>
          <w:rFonts w:hint="eastAsia" w:ascii="楷体_GB2312" w:eastAsia="楷体_GB2312" w:cs="楷体_GB2312"/>
          <w:b/>
          <w:bCs/>
          <w:szCs w:val="32"/>
          <w:shd w:val="clear" w:color="auto" w:fill="FFFFFF"/>
          <w:lang w:eastAsia="zh-CN"/>
        </w:rPr>
      </w:pPr>
    </w:p>
    <w:p w14:paraId="57BE04D8">
      <w:pPr>
        <w:pStyle w:val="19"/>
        <w:rPr>
          <w:rFonts w:hint="eastAsia" w:ascii="楷体_GB2312" w:eastAsia="楷体_GB2312" w:cs="楷体_GB2312"/>
          <w:b/>
          <w:bCs/>
          <w:szCs w:val="32"/>
          <w:shd w:val="clear" w:color="auto" w:fill="FFFFFF"/>
          <w:lang w:eastAsia="zh-CN"/>
        </w:rPr>
      </w:pPr>
    </w:p>
    <w:p w14:paraId="22C71022">
      <w:pPr>
        <w:pStyle w:val="19"/>
        <w:rPr>
          <w:rFonts w:hint="eastAsia" w:ascii="楷体_GB2312" w:eastAsia="楷体_GB2312" w:cs="楷体_GB2312"/>
          <w:b/>
          <w:bCs/>
          <w:szCs w:val="32"/>
          <w:shd w:val="clear" w:color="auto" w:fill="FFFFFF"/>
          <w:lang w:eastAsia="zh-CN"/>
        </w:rPr>
      </w:pPr>
    </w:p>
    <w:p w14:paraId="6E654956">
      <w:pPr>
        <w:pStyle w:val="19"/>
        <w:rPr>
          <w:rFonts w:hint="eastAsia" w:ascii="楷体_GB2312" w:eastAsia="楷体_GB2312" w:cs="楷体_GB2312"/>
          <w:b/>
          <w:bCs/>
          <w:szCs w:val="32"/>
          <w:shd w:val="clear" w:color="auto" w:fill="FFFFFF"/>
          <w:lang w:eastAsia="zh-CN"/>
        </w:rPr>
      </w:pPr>
    </w:p>
    <w:p w14:paraId="7BD53426">
      <w:pPr>
        <w:pStyle w:val="19"/>
        <w:rPr>
          <w:rFonts w:hint="eastAsia" w:ascii="楷体_GB2312" w:eastAsia="楷体_GB2312" w:cs="楷体_GB2312"/>
          <w:b/>
          <w:bCs/>
          <w:szCs w:val="32"/>
          <w:shd w:val="clear" w:color="auto" w:fill="FFFFFF"/>
          <w:lang w:eastAsia="zh-CN"/>
        </w:rPr>
      </w:pPr>
    </w:p>
    <w:p w14:paraId="510825B2">
      <w:pPr>
        <w:pStyle w:val="19"/>
        <w:rPr>
          <w:rFonts w:hint="eastAsia" w:ascii="楷体_GB2312" w:eastAsia="楷体_GB2312" w:cs="楷体_GB2312"/>
          <w:b/>
          <w:bCs/>
          <w:szCs w:val="32"/>
          <w:shd w:val="clear" w:color="auto" w:fill="FFFFFF"/>
          <w:lang w:eastAsia="zh-CN"/>
        </w:rPr>
      </w:pPr>
    </w:p>
    <w:p w14:paraId="7C85E5D5">
      <w:pPr>
        <w:pStyle w:val="19"/>
        <w:rPr>
          <w:rFonts w:hint="eastAsia" w:ascii="楷体_GB2312" w:eastAsia="楷体_GB2312" w:cs="楷体_GB2312"/>
          <w:b/>
          <w:bCs/>
          <w:szCs w:val="32"/>
          <w:shd w:val="clear" w:color="auto" w:fill="FFFFFF"/>
          <w:lang w:eastAsia="zh-CN"/>
        </w:rPr>
      </w:pPr>
    </w:p>
    <w:tbl>
      <w:tblPr>
        <w:tblStyle w:val="20"/>
        <w:tblW w:w="14100"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683"/>
        <w:gridCol w:w="2045"/>
        <w:gridCol w:w="1771"/>
        <w:gridCol w:w="2259"/>
        <w:gridCol w:w="520"/>
        <w:gridCol w:w="1671"/>
        <w:gridCol w:w="520"/>
        <w:gridCol w:w="1090"/>
        <w:gridCol w:w="505"/>
        <w:gridCol w:w="486"/>
        <w:gridCol w:w="2550"/>
      </w:tblGrid>
      <w:tr w14:paraId="6A3CCE4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4" w:hRule="atLeast"/>
        </w:trPr>
        <w:tc>
          <w:tcPr>
            <w:tcW w:w="14103" w:type="dxa"/>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424C6752">
            <w:pPr>
              <w:keepNext w:val="0"/>
              <w:keepLines w:val="0"/>
              <w:widowControl/>
              <w:suppressLineNumbers w:val="0"/>
              <w:spacing w:before="0" w:beforeAutospacing="0" w:after="0" w:afterAutospacing="0"/>
              <w:ind w:left="0" w:right="0"/>
              <w:jc w:val="center"/>
              <w:textAlignment w:val="center"/>
              <w:rPr>
                <w:rFonts w:hint="default"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部门预算项目支出绩效自评表（2023年度）</w:t>
            </w:r>
          </w:p>
        </w:tc>
      </w:tr>
      <w:tr w14:paraId="7C95D9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273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3970BB0">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项目名称</w:t>
            </w:r>
          </w:p>
        </w:tc>
        <w:tc>
          <w:tcPr>
            <w:tcW w:w="11367" w:type="dxa"/>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3C6E1921">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51000021R000000019951-工资性支出</w:t>
            </w:r>
          </w:p>
        </w:tc>
      </w:tr>
      <w:tr w14:paraId="28F094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2" w:hRule="atLeast"/>
        </w:trPr>
        <w:tc>
          <w:tcPr>
            <w:tcW w:w="273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560A771">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主管部门</w:t>
            </w:r>
          </w:p>
        </w:tc>
        <w:tc>
          <w:tcPr>
            <w:tcW w:w="675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E906F93">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广元市发展和改革委员会部门</w:t>
            </w:r>
          </w:p>
        </w:tc>
        <w:tc>
          <w:tcPr>
            <w:tcW w:w="1091" w:type="dxa"/>
            <w:tcBorders>
              <w:top w:val="nil"/>
              <w:left w:val="nil"/>
              <w:bottom w:val="nil"/>
              <w:right w:val="nil"/>
            </w:tcBorders>
            <w:shd w:val="clear" w:color="auto" w:fill="auto"/>
            <w:vAlign w:val="center"/>
          </w:tcPr>
          <w:p w14:paraId="14855F78">
            <w:pPr>
              <w:keepNext w:val="0"/>
              <w:keepLines w:val="0"/>
              <w:widowControl/>
              <w:suppressLineNumbers w:val="0"/>
              <w:spacing w:before="0" w:beforeAutospacing="0" w:after="0" w:afterAutospacing="0"/>
              <w:ind w:left="0" w:right="0"/>
              <w:jc w:val="left"/>
              <w:textAlignment w:val="center"/>
              <w:rPr>
                <w:rFonts w:hint="default"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3518"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C5A2F4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w:t>
            </w:r>
          </w:p>
        </w:tc>
      </w:tr>
      <w:tr w14:paraId="2E0056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68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18B4269">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项目基本情况</w:t>
            </w:r>
          </w:p>
        </w:tc>
        <w:tc>
          <w:tcPr>
            <w:tcW w:w="205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32C29E9">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1.项目年度目标完成情况</w:t>
            </w:r>
          </w:p>
        </w:tc>
        <w:tc>
          <w:tcPr>
            <w:tcW w:w="675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2BEAD41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项目年度目标</w:t>
            </w:r>
          </w:p>
        </w:tc>
        <w:tc>
          <w:tcPr>
            <w:tcW w:w="4609"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65FDBD93">
            <w:pPr>
              <w:keepNext w:val="0"/>
              <w:keepLines w:val="0"/>
              <w:widowControl/>
              <w:suppressLineNumbers w:val="0"/>
              <w:spacing w:before="0" w:beforeAutospacing="0" w:after="0" w:afterAutospacing="0"/>
              <w:ind w:left="0" w:right="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14:paraId="159EF7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8"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BCAB3E">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20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68C010">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675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594BDA9A">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严格执行相关政策，保障工资及时、足额发放或社保及时、足额缴纳，预算编制科学合理，减少结余资金</w:t>
            </w:r>
          </w:p>
        </w:tc>
        <w:tc>
          <w:tcPr>
            <w:tcW w:w="4609"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4136B1A6">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严格执行相关政策，保障工资及时、足额发放或社保及时、足额缴纳，预算编制科学合理，减少结余资金</w:t>
            </w:r>
          </w:p>
        </w:tc>
      </w:tr>
      <w:tr w14:paraId="65BEC2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3"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5F1B03">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3F49A3">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2.项目实施内容及过程概述</w:t>
            </w:r>
          </w:p>
        </w:tc>
        <w:tc>
          <w:tcPr>
            <w:tcW w:w="11367" w:type="dxa"/>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39C3E3C1">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sz w:val="18"/>
                <w:szCs w:val="18"/>
                <w:u w:val="none"/>
              </w:rPr>
              <w:t>严格按照资金下达文件及支付流程进行支付。</w:t>
            </w:r>
          </w:p>
        </w:tc>
      </w:tr>
      <w:tr w14:paraId="2C1F7E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68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5B3F79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预算执行情况（10分）</w:t>
            </w: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4C4F0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年度预算数（万元）</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97D15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年初预算</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231BD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调整后预算数</w:t>
            </w: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B9BDB2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预算执行数</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ED457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预算执行率</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F563E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E8B67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得分</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D6D27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原因</w:t>
            </w:r>
          </w:p>
        </w:tc>
      </w:tr>
      <w:tr w14:paraId="559C28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6"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A0B46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57640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总额</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4A388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1,594.77</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12F89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1,558.73</w:t>
            </w: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39EBAA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1,558.73</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B4786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914B0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620D7B">
            <w:pPr>
              <w:keepNext w:val="0"/>
              <w:keepLines w:val="0"/>
              <w:suppressLineNumbers w:val="0"/>
              <w:spacing w:before="0" w:beforeAutospacing="0" w:after="0" w:afterAutospacing="0"/>
              <w:ind w:left="0" w:right="0"/>
              <w:jc w:val="center"/>
              <w:rPr>
                <w:rFonts w:hint="default" w:ascii="宋体" w:hAnsi="宋体" w:eastAsia="宋体" w:cs="宋体"/>
                <w:i w:val="0"/>
                <w:iCs w:val="0"/>
                <w:color w:val="000000"/>
                <w:sz w:val="18"/>
                <w:szCs w:val="18"/>
                <w:u w:val="none"/>
                <w:lang w:val="en-US" w:eastAsia="zh-CN"/>
              </w:rPr>
            </w:pPr>
            <w:r>
              <w:rPr>
                <w:rFonts w:hint="eastAsia" w:ascii="宋体" w:hAnsi="宋体" w:eastAsia="宋体" w:cs="宋体"/>
                <w:i w:val="0"/>
                <w:iCs w:val="0"/>
                <w:color w:val="000000"/>
                <w:sz w:val="18"/>
                <w:szCs w:val="18"/>
                <w:u w:val="none"/>
                <w:lang w:val="en-US" w:eastAsia="zh-CN"/>
              </w:rPr>
              <w:t>10</w:t>
            </w:r>
          </w:p>
        </w:tc>
        <w:tc>
          <w:tcPr>
            <w:tcW w:w="255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325FE28">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7676BD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1"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A611E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71B64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其中：财政资金</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E5A71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1,594.77</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27ED8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1,558.73</w:t>
            </w: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DEB249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1,558.73</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CEBA7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BF86B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AD966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25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8869A2">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55DEDD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7"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A7E6A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A5D3E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财政专户管理资金</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120BF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9683D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D41099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B2BD4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2C700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91626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25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8E0691">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1FBA58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B722F0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4FABF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单位资金</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0FC06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1AF56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952161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39C26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AD5DF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3CF05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25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9F6919">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54D853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FEB18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3F42A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其他资金</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2761DA">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3FAB9C">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4E0B564">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1A4B5B">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AE1C9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3B75D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25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1ACF5E">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7FDCF2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68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A8468F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绩效指标（90分）</w:t>
            </w: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67FA3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一级指标</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8EC61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二级指标</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44894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三级指标</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7604D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指标性质</w:t>
            </w:r>
          </w:p>
        </w:tc>
        <w:tc>
          <w:tcPr>
            <w:tcW w:w="1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E2853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指标值</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68CD8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度量单位</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3D9F8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完成值</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CF502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4433F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得分</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1D5A1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未完成原因分析</w:t>
            </w:r>
          </w:p>
        </w:tc>
      </w:tr>
      <w:tr w14:paraId="1964C7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53D4D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1D49B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产出指标</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608D1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数量指标</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C7B16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发放（缴纳）覆盖率</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1C62A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1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12E0D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F2CE9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E94630">
            <w:pPr>
              <w:keepNext w:val="0"/>
              <w:keepLines w:val="0"/>
              <w:suppressLineNumbers w:val="0"/>
              <w:spacing w:before="0" w:beforeAutospacing="0" w:after="0" w:afterAutospacing="0"/>
              <w:ind w:left="0" w:right="0"/>
              <w:jc w:val="center"/>
              <w:rPr>
                <w:rFonts w:hint="default" w:ascii="微软雅黑" w:hAnsi="微软雅黑" w:eastAsia="微软雅黑" w:cs="微软雅黑"/>
                <w:i/>
                <w:iCs/>
                <w:color w:val="000000"/>
                <w:sz w:val="16"/>
                <w:szCs w:val="16"/>
                <w:u w:val="none"/>
                <w:lang w:val="en-US" w:eastAsia="zh-CN"/>
              </w:rPr>
            </w:pPr>
            <w:r>
              <w:rPr>
                <w:rFonts w:hint="eastAsia" w:ascii="微软雅黑" w:hAnsi="微软雅黑" w:eastAsia="微软雅黑" w:cs="微软雅黑"/>
                <w:i/>
                <w:iCs/>
                <w:color w:val="000000"/>
                <w:sz w:val="16"/>
                <w:szCs w:val="16"/>
                <w:u w:val="none"/>
                <w:lang w:val="en-US" w:eastAsia="zh-CN"/>
              </w:rPr>
              <w:t>100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646FC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60</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986738">
            <w:pPr>
              <w:keepNext w:val="0"/>
              <w:keepLines w:val="0"/>
              <w:suppressLineNumbers w:val="0"/>
              <w:spacing w:before="0" w:beforeAutospacing="0" w:after="0" w:afterAutospacing="0"/>
              <w:ind w:left="0" w:right="0"/>
              <w:jc w:val="center"/>
              <w:rPr>
                <w:rFonts w:hint="default" w:ascii="宋体" w:hAnsi="宋体" w:eastAsia="宋体" w:cs="宋体"/>
                <w:i w:val="0"/>
                <w:iCs w:val="0"/>
                <w:color w:val="000000"/>
                <w:sz w:val="18"/>
                <w:szCs w:val="18"/>
                <w:u w:val="none"/>
                <w:lang w:val="en-US" w:eastAsia="zh-CN"/>
              </w:rPr>
            </w:pPr>
            <w:r>
              <w:rPr>
                <w:rFonts w:hint="eastAsia" w:ascii="宋体" w:hAnsi="宋体" w:eastAsia="宋体" w:cs="宋体"/>
                <w:i w:val="0"/>
                <w:iCs w:val="0"/>
                <w:color w:val="000000"/>
                <w:sz w:val="18"/>
                <w:szCs w:val="18"/>
                <w:u w:val="none"/>
                <w:lang w:val="en-US" w:eastAsia="zh-CN"/>
              </w:rPr>
              <w:t>60</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1C3174">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60C6AE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DA48B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41938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效益指标</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4ABB1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社会效益指标</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1FF9D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足额保障率（参保率）</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F0A53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1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7E0EE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04AC7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F0FF7E">
            <w:pPr>
              <w:keepNext w:val="0"/>
              <w:keepLines w:val="0"/>
              <w:suppressLineNumbers w:val="0"/>
              <w:spacing w:before="0" w:beforeAutospacing="0" w:after="0" w:afterAutospacing="0"/>
              <w:ind w:left="0" w:right="0"/>
              <w:jc w:val="center"/>
              <w:rPr>
                <w:rFonts w:hint="default" w:ascii="微软雅黑" w:hAnsi="微软雅黑" w:eastAsia="微软雅黑" w:cs="微软雅黑"/>
                <w:i/>
                <w:iCs/>
                <w:color w:val="000000"/>
                <w:sz w:val="16"/>
                <w:szCs w:val="16"/>
                <w:u w:val="none"/>
                <w:lang w:val="en-US" w:eastAsia="zh-CN"/>
              </w:rPr>
            </w:pPr>
            <w:r>
              <w:rPr>
                <w:rFonts w:hint="eastAsia" w:ascii="微软雅黑" w:hAnsi="微软雅黑" w:eastAsia="微软雅黑" w:cs="微软雅黑"/>
                <w:i/>
                <w:iCs/>
                <w:color w:val="000000"/>
                <w:sz w:val="16"/>
                <w:szCs w:val="16"/>
                <w:u w:val="none"/>
                <w:lang w:val="en-US" w:eastAsia="zh-CN"/>
              </w:rPr>
              <w:t>100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2C662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30</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F75D57">
            <w:pPr>
              <w:keepNext w:val="0"/>
              <w:keepLines w:val="0"/>
              <w:suppressLineNumbers w:val="0"/>
              <w:spacing w:before="0" w:beforeAutospacing="0" w:after="0" w:afterAutospacing="0"/>
              <w:ind w:left="0" w:right="0"/>
              <w:jc w:val="center"/>
              <w:rPr>
                <w:rFonts w:hint="default" w:ascii="宋体" w:hAnsi="宋体" w:eastAsia="宋体" w:cs="宋体"/>
                <w:i w:val="0"/>
                <w:iCs w:val="0"/>
                <w:color w:val="000000"/>
                <w:sz w:val="18"/>
                <w:szCs w:val="18"/>
                <w:u w:val="none"/>
                <w:lang w:val="en-US" w:eastAsia="zh-CN"/>
              </w:rPr>
            </w:pPr>
            <w:r>
              <w:rPr>
                <w:rFonts w:hint="eastAsia" w:ascii="宋体" w:hAnsi="宋体" w:eastAsia="宋体" w:cs="宋体"/>
                <w:i w:val="0"/>
                <w:iCs w:val="0"/>
                <w:color w:val="000000"/>
                <w:sz w:val="18"/>
                <w:szCs w:val="18"/>
                <w:u w:val="none"/>
                <w:lang w:val="en-US" w:eastAsia="zh-CN"/>
              </w:rPr>
              <w:t>30</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138CA9">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3A65B9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10585"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4CC1207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合计</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B3F4D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7449FF">
            <w:pPr>
              <w:keepNext w:val="0"/>
              <w:keepLines w:val="0"/>
              <w:suppressLineNumbers w:val="0"/>
              <w:spacing w:before="0" w:beforeAutospacing="0" w:after="0" w:afterAutospacing="0"/>
              <w:ind w:left="0" w:right="0"/>
              <w:rPr>
                <w:rFonts w:hint="default" w:ascii="宋体" w:hAnsi="宋体" w:eastAsia="宋体" w:cs="宋体"/>
                <w:i w:val="0"/>
                <w:iCs w:val="0"/>
                <w:color w:val="000000"/>
                <w:sz w:val="18"/>
                <w:szCs w:val="18"/>
                <w:u w:val="none"/>
                <w:lang w:val="en-US" w:eastAsia="zh-CN"/>
              </w:rPr>
            </w:pPr>
            <w:r>
              <w:rPr>
                <w:rFonts w:hint="eastAsia" w:ascii="宋体" w:hAnsi="宋体" w:eastAsia="宋体" w:cs="宋体"/>
                <w:i w:val="0"/>
                <w:iCs w:val="0"/>
                <w:color w:val="000000"/>
                <w:sz w:val="18"/>
                <w:szCs w:val="18"/>
                <w:u w:val="none"/>
                <w:lang w:val="en-US" w:eastAsia="zh-CN"/>
              </w:rPr>
              <w:t>100</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9C5C02">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3A9BD0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3" w:hRule="atLeast"/>
        </w:trPr>
        <w:tc>
          <w:tcPr>
            <w:tcW w:w="6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4227D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评价结论</w:t>
            </w:r>
          </w:p>
        </w:tc>
        <w:tc>
          <w:tcPr>
            <w:tcW w:w="13419"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4BB67259">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自评得分100分，完成了预期绩效目标，达到了资金使用效益。</w:t>
            </w:r>
          </w:p>
        </w:tc>
      </w:tr>
      <w:tr w14:paraId="1DE7CE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2" w:hRule="atLeast"/>
        </w:trPr>
        <w:tc>
          <w:tcPr>
            <w:tcW w:w="6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C6C05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存在问题</w:t>
            </w:r>
          </w:p>
        </w:tc>
        <w:tc>
          <w:tcPr>
            <w:tcW w:w="13419"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6A6D28C7">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2184BE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3" w:hRule="atLeast"/>
        </w:trPr>
        <w:tc>
          <w:tcPr>
            <w:tcW w:w="6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E9B8F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改进措施</w:t>
            </w:r>
          </w:p>
        </w:tc>
        <w:tc>
          <w:tcPr>
            <w:tcW w:w="13419"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30936742">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5C9C27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7296"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196CCF65">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w:t>
            </w:r>
          </w:p>
        </w:tc>
        <w:tc>
          <w:tcPr>
            <w:tcW w:w="6807"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86BE85E">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w:t>
            </w:r>
          </w:p>
        </w:tc>
      </w:tr>
      <w:tr w14:paraId="3ADAB0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684" w:type="dxa"/>
            <w:tcBorders>
              <w:top w:val="nil"/>
              <w:left w:val="nil"/>
              <w:bottom w:val="nil"/>
              <w:right w:val="nil"/>
            </w:tcBorders>
            <w:shd w:val="clear" w:color="auto" w:fill="auto"/>
            <w:vAlign w:val="center"/>
          </w:tcPr>
          <w:p w14:paraId="2F8DAC3E">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2052" w:type="dxa"/>
            <w:tcBorders>
              <w:top w:val="nil"/>
              <w:left w:val="nil"/>
              <w:bottom w:val="nil"/>
              <w:right w:val="nil"/>
            </w:tcBorders>
            <w:shd w:val="clear" w:color="auto" w:fill="auto"/>
            <w:vAlign w:val="center"/>
          </w:tcPr>
          <w:p w14:paraId="547FF11A">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1775" w:type="dxa"/>
            <w:tcBorders>
              <w:top w:val="nil"/>
              <w:left w:val="nil"/>
              <w:bottom w:val="nil"/>
              <w:right w:val="nil"/>
            </w:tcBorders>
            <w:shd w:val="clear" w:color="auto" w:fill="auto"/>
            <w:vAlign w:val="center"/>
          </w:tcPr>
          <w:p w14:paraId="4036F6FB">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2264" w:type="dxa"/>
            <w:tcBorders>
              <w:top w:val="nil"/>
              <w:left w:val="nil"/>
              <w:bottom w:val="nil"/>
              <w:right w:val="nil"/>
            </w:tcBorders>
            <w:shd w:val="clear" w:color="auto" w:fill="auto"/>
            <w:vAlign w:val="center"/>
          </w:tcPr>
          <w:p w14:paraId="248D0568">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521" w:type="dxa"/>
            <w:tcBorders>
              <w:top w:val="nil"/>
              <w:left w:val="nil"/>
              <w:bottom w:val="nil"/>
              <w:right w:val="nil"/>
            </w:tcBorders>
            <w:shd w:val="clear" w:color="auto" w:fill="auto"/>
            <w:vAlign w:val="center"/>
          </w:tcPr>
          <w:p w14:paraId="30842F57">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1677" w:type="dxa"/>
            <w:tcBorders>
              <w:top w:val="nil"/>
              <w:left w:val="nil"/>
              <w:bottom w:val="nil"/>
              <w:right w:val="nil"/>
            </w:tcBorders>
            <w:shd w:val="clear" w:color="auto" w:fill="auto"/>
            <w:vAlign w:val="center"/>
          </w:tcPr>
          <w:p w14:paraId="0F16093D">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521" w:type="dxa"/>
            <w:tcBorders>
              <w:top w:val="nil"/>
              <w:left w:val="nil"/>
              <w:bottom w:val="nil"/>
              <w:right w:val="nil"/>
            </w:tcBorders>
            <w:shd w:val="clear" w:color="auto" w:fill="auto"/>
            <w:vAlign w:val="center"/>
          </w:tcPr>
          <w:p w14:paraId="75C23F21">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1091" w:type="dxa"/>
            <w:tcBorders>
              <w:top w:val="nil"/>
              <w:left w:val="nil"/>
              <w:bottom w:val="nil"/>
              <w:right w:val="nil"/>
            </w:tcBorders>
            <w:shd w:val="clear" w:color="auto" w:fill="auto"/>
            <w:vAlign w:val="center"/>
          </w:tcPr>
          <w:p w14:paraId="3F36193C">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505" w:type="dxa"/>
            <w:tcBorders>
              <w:top w:val="nil"/>
              <w:left w:val="nil"/>
              <w:bottom w:val="nil"/>
              <w:right w:val="nil"/>
            </w:tcBorders>
            <w:shd w:val="clear" w:color="auto" w:fill="auto"/>
            <w:vAlign w:val="center"/>
          </w:tcPr>
          <w:p w14:paraId="5342728A">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456" w:type="dxa"/>
            <w:tcBorders>
              <w:top w:val="nil"/>
              <w:left w:val="nil"/>
              <w:bottom w:val="nil"/>
              <w:right w:val="nil"/>
            </w:tcBorders>
            <w:shd w:val="clear" w:color="auto" w:fill="auto"/>
            <w:vAlign w:val="center"/>
          </w:tcPr>
          <w:p w14:paraId="190D4352">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2557" w:type="dxa"/>
            <w:tcBorders>
              <w:top w:val="nil"/>
              <w:left w:val="nil"/>
              <w:bottom w:val="nil"/>
              <w:right w:val="nil"/>
            </w:tcBorders>
            <w:shd w:val="clear" w:color="auto" w:fill="auto"/>
            <w:vAlign w:val="center"/>
          </w:tcPr>
          <w:p w14:paraId="254D9156">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4F5A11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14103" w:type="dxa"/>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4ED6EEA1">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部门预算项目支出绩效自评表（2023年度）</w:t>
            </w:r>
          </w:p>
        </w:tc>
      </w:tr>
      <w:tr w14:paraId="15E539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273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2FED752">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项目名称</w:t>
            </w:r>
          </w:p>
        </w:tc>
        <w:tc>
          <w:tcPr>
            <w:tcW w:w="11367" w:type="dxa"/>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12F6F762">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51000021R000000019952-其他人员支出</w:t>
            </w:r>
          </w:p>
        </w:tc>
      </w:tr>
      <w:tr w14:paraId="5AEB32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2" w:hRule="atLeast"/>
        </w:trPr>
        <w:tc>
          <w:tcPr>
            <w:tcW w:w="273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94EF067">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主管部门</w:t>
            </w:r>
          </w:p>
        </w:tc>
        <w:tc>
          <w:tcPr>
            <w:tcW w:w="675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1394BFA0">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广元市发展和改革委员会部门</w:t>
            </w:r>
          </w:p>
        </w:tc>
        <w:tc>
          <w:tcPr>
            <w:tcW w:w="1091" w:type="dxa"/>
            <w:tcBorders>
              <w:top w:val="nil"/>
              <w:left w:val="nil"/>
              <w:bottom w:val="nil"/>
              <w:right w:val="nil"/>
            </w:tcBorders>
            <w:shd w:val="clear" w:color="auto" w:fill="auto"/>
            <w:vAlign w:val="center"/>
          </w:tcPr>
          <w:p w14:paraId="3878726A">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3518"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D66F05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w:t>
            </w:r>
          </w:p>
        </w:tc>
      </w:tr>
      <w:tr w14:paraId="0D0A35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68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A0665CF">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项目基本情况</w:t>
            </w:r>
          </w:p>
        </w:tc>
        <w:tc>
          <w:tcPr>
            <w:tcW w:w="205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F33BEDD">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1.项目年度目标完成情况</w:t>
            </w:r>
          </w:p>
        </w:tc>
        <w:tc>
          <w:tcPr>
            <w:tcW w:w="675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AF9C43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项目年度目标</w:t>
            </w:r>
          </w:p>
        </w:tc>
        <w:tc>
          <w:tcPr>
            <w:tcW w:w="4609"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4D72CB0E">
            <w:pPr>
              <w:keepNext w:val="0"/>
              <w:keepLines w:val="0"/>
              <w:widowControl/>
              <w:suppressLineNumbers w:val="0"/>
              <w:spacing w:before="0" w:beforeAutospacing="0" w:after="0" w:afterAutospacing="0"/>
              <w:ind w:left="0" w:right="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14:paraId="3D8999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8"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CDFA93">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20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6D444C">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675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A938CE0">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严格执行相关政策，保障工资及时、足额发放或社保及时、足额缴纳，预算编制科学合理，减少结余资金</w:t>
            </w:r>
          </w:p>
        </w:tc>
        <w:tc>
          <w:tcPr>
            <w:tcW w:w="4609"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3E8822F7">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严格执行相关政策，保障工资及时、足额发放或社保及时、足额缴纳，预算编制科学合理，减少结余资金</w:t>
            </w:r>
          </w:p>
        </w:tc>
      </w:tr>
      <w:tr w14:paraId="4E556C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3"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1E43D3">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7E0161">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2.项目实施内容及过程概述</w:t>
            </w:r>
          </w:p>
        </w:tc>
        <w:tc>
          <w:tcPr>
            <w:tcW w:w="11367" w:type="dxa"/>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480034DA">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sz w:val="18"/>
                <w:szCs w:val="18"/>
                <w:u w:val="none"/>
              </w:rPr>
              <w:t>严格按照资金下达文件及支付流程进行支付。</w:t>
            </w:r>
          </w:p>
        </w:tc>
      </w:tr>
      <w:tr w14:paraId="11BE65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68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9EF298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预算执行情况（10分）</w:t>
            </w: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DD65B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年度预算数（万元）</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C3C72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年初预算</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3AC04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调整后预算数</w:t>
            </w: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CF4491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预算执行数</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D5B72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预算执行率</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9E447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18959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得分</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771C9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原因</w:t>
            </w:r>
          </w:p>
        </w:tc>
      </w:tr>
      <w:tr w14:paraId="47391F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6"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ADB6E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BAA2A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总额</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EAC91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26.25</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B3736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77.98</w:t>
            </w: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9FB1E7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77.98</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01F1D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6B2C8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24D8F2">
            <w:pPr>
              <w:keepNext w:val="0"/>
              <w:keepLines w:val="0"/>
              <w:suppressLineNumbers w:val="0"/>
              <w:spacing w:before="0" w:beforeAutospacing="0" w:after="0" w:afterAutospacing="0"/>
              <w:ind w:left="0" w:right="0"/>
              <w:jc w:val="center"/>
              <w:rPr>
                <w:rFonts w:hint="default" w:ascii="宋体" w:hAnsi="宋体" w:eastAsia="宋体" w:cs="宋体"/>
                <w:i w:val="0"/>
                <w:iCs w:val="0"/>
                <w:color w:val="000000"/>
                <w:sz w:val="18"/>
                <w:szCs w:val="18"/>
                <w:u w:val="none"/>
                <w:lang w:val="en-US" w:eastAsia="zh-CN"/>
              </w:rPr>
            </w:pPr>
            <w:r>
              <w:rPr>
                <w:rFonts w:hint="eastAsia" w:ascii="宋体" w:hAnsi="宋体" w:eastAsia="宋体" w:cs="宋体"/>
                <w:i w:val="0"/>
                <w:iCs w:val="0"/>
                <w:color w:val="000000"/>
                <w:sz w:val="18"/>
                <w:szCs w:val="18"/>
                <w:u w:val="none"/>
                <w:lang w:val="en-US" w:eastAsia="zh-CN"/>
              </w:rPr>
              <w:t>10</w:t>
            </w:r>
          </w:p>
        </w:tc>
        <w:tc>
          <w:tcPr>
            <w:tcW w:w="255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5E218EB">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217233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1"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C7733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7EBAC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其中：财政资金</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A83B6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26.25</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4BCFC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77.98</w:t>
            </w: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1DA048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77.98</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412BE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0B884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2C81A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25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F1A7C1">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46D363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7"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01767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4209C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财政专户管理资金</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F9605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6F76B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1FBF56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2C7A3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B5ACC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B7482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25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7C96F3">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3432D6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A06E6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F05A2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单位资金</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8C243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51208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B532E8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E70C4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6D7ED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8B44E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25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DAE7E1">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4F0BB7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40CE20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335C1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其他资金</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13CAE1">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815028">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7353160">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52D06B">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60677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1BAF5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25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393560">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370DD1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68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36F91C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绩效指标（90分）</w:t>
            </w: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F39D0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一级指标</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8C62B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二级指标</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8BA79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三级指标</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F34C4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指标性质</w:t>
            </w:r>
          </w:p>
        </w:tc>
        <w:tc>
          <w:tcPr>
            <w:tcW w:w="1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4964D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指标值</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BBB29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度量单位</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14037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完成值</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086A5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ADA5C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得分</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F639E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未完成原因分析</w:t>
            </w:r>
          </w:p>
        </w:tc>
      </w:tr>
      <w:tr w14:paraId="2CFD26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6E0EE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3D44E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产出指标</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06A17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数量指标</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A0B01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发放（缴纳）覆盖率</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A51EC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1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4B236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3FF91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E09D74">
            <w:pPr>
              <w:keepNext w:val="0"/>
              <w:keepLines w:val="0"/>
              <w:suppressLineNumbers w:val="0"/>
              <w:spacing w:before="0" w:beforeAutospacing="0" w:after="0" w:afterAutospacing="0"/>
              <w:ind w:left="0" w:right="0"/>
              <w:jc w:val="center"/>
              <w:rPr>
                <w:rFonts w:hint="default" w:ascii="微软雅黑" w:hAnsi="微软雅黑" w:eastAsia="微软雅黑" w:cs="微软雅黑"/>
                <w:i/>
                <w:iCs/>
                <w:color w:val="000000"/>
                <w:sz w:val="16"/>
                <w:szCs w:val="16"/>
                <w:u w:val="none"/>
                <w:lang w:val="en-US" w:eastAsia="zh-CN"/>
              </w:rPr>
            </w:pPr>
            <w:r>
              <w:rPr>
                <w:rFonts w:hint="eastAsia" w:ascii="微软雅黑" w:hAnsi="微软雅黑" w:eastAsia="微软雅黑" w:cs="微软雅黑"/>
                <w:i/>
                <w:iCs/>
                <w:color w:val="000000"/>
                <w:sz w:val="16"/>
                <w:szCs w:val="16"/>
                <w:u w:val="none"/>
                <w:lang w:val="en-US" w:eastAsia="zh-CN"/>
              </w:rPr>
              <w:t>100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01453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60</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67208F">
            <w:pPr>
              <w:keepNext w:val="0"/>
              <w:keepLines w:val="0"/>
              <w:suppressLineNumbers w:val="0"/>
              <w:spacing w:before="0" w:beforeAutospacing="0" w:after="0" w:afterAutospacing="0"/>
              <w:ind w:left="0" w:right="0"/>
              <w:jc w:val="center"/>
              <w:rPr>
                <w:rFonts w:hint="default" w:ascii="宋体" w:hAnsi="宋体" w:eastAsia="宋体" w:cs="宋体"/>
                <w:i w:val="0"/>
                <w:iCs w:val="0"/>
                <w:color w:val="000000"/>
                <w:sz w:val="18"/>
                <w:szCs w:val="18"/>
                <w:u w:val="none"/>
                <w:lang w:val="en-US" w:eastAsia="zh-CN"/>
              </w:rPr>
            </w:pPr>
            <w:r>
              <w:rPr>
                <w:rFonts w:hint="eastAsia" w:ascii="宋体" w:hAnsi="宋体" w:eastAsia="宋体" w:cs="宋体"/>
                <w:i w:val="0"/>
                <w:iCs w:val="0"/>
                <w:color w:val="000000"/>
                <w:sz w:val="18"/>
                <w:szCs w:val="18"/>
                <w:u w:val="none"/>
                <w:lang w:val="en-US" w:eastAsia="zh-CN"/>
              </w:rPr>
              <w:t>60</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FFB531">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2F30C8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AEA70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5EE0B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效益指标</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E5799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社会效益指标</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2FA03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足额保障率（参保率）</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AA796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1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4D64A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785CE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1AF9AB">
            <w:pPr>
              <w:keepNext w:val="0"/>
              <w:keepLines w:val="0"/>
              <w:suppressLineNumbers w:val="0"/>
              <w:spacing w:before="0" w:beforeAutospacing="0" w:after="0" w:afterAutospacing="0"/>
              <w:ind w:left="0" w:right="0"/>
              <w:jc w:val="center"/>
              <w:rPr>
                <w:rFonts w:hint="default" w:ascii="微软雅黑" w:hAnsi="微软雅黑" w:eastAsia="微软雅黑" w:cs="微软雅黑"/>
                <w:i/>
                <w:iCs/>
                <w:color w:val="000000"/>
                <w:sz w:val="16"/>
                <w:szCs w:val="16"/>
                <w:u w:val="none"/>
                <w:lang w:val="en-US" w:eastAsia="zh-CN"/>
              </w:rPr>
            </w:pPr>
            <w:r>
              <w:rPr>
                <w:rFonts w:hint="eastAsia" w:ascii="微软雅黑" w:hAnsi="微软雅黑" w:eastAsia="微软雅黑" w:cs="微软雅黑"/>
                <w:i/>
                <w:iCs/>
                <w:color w:val="000000"/>
                <w:sz w:val="16"/>
                <w:szCs w:val="16"/>
                <w:u w:val="none"/>
                <w:lang w:val="en-US" w:eastAsia="zh-CN"/>
              </w:rPr>
              <w:t>100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C73E9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30</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A06839">
            <w:pPr>
              <w:keepNext w:val="0"/>
              <w:keepLines w:val="0"/>
              <w:suppressLineNumbers w:val="0"/>
              <w:spacing w:before="0" w:beforeAutospacing="0" w:after="0" w:afterAutospacing="0"/>
              <w:ind w:left="0" w:right="0"/>
              <w:jc w:val="center"/>
              <w:rPr>
                <w:rFonts w:hint="default" w:ascii="宋体" w:hAnsi="宋体" w:eastAsia="宋体" w:cs="宋体"/>
                <w:i w:val="0"/>
                <w:iCs w:val="0"/>
                <w:color w:val="000000"/>
                <w:sz w:val="18"/>
                <w:szCs w:val="18"/>
                <w:u w:val="none"/>
                <w:lang w:val="en-US" w:eastAsia="zh-CN"/>
              </w:rPr>
            </w:pPr>
            <w:r>
              <w:rPr>
                <w:rFonts w:hint="eastAsia" w:ascii="宋体" w:hAnsi="宋体" w:eastAsia="宋体" w:cs="宋体"/>
                <w:i w:val="0"/>
                <w:iCs w:val="0"/>
                <w:color w:val="000000"/>
                <w:sz w:val="18"/>
                <w:szCs w:val="18"/>
                <w:u w:val="none"/>
                <w:lang w:val="en-US" w:eastAsia="zh-CN"/>
              </w:rPr>
              <w:t>30</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60E924">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1DF87A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10585"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5412451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合计</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50AB7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D64A12">
            <w:pPr>
              <w:keepNext w:val="0"/>
              <w:keepLines w:val="0"/>
              <w:suppressLineNumbers w:val="0"/>
              <w:spacing w:before="0" w:beforeAutospacing="0" w:after="0" w:afterAutospacing="0"/>
              <w:ind w:left="0" w:right="0"/>
              <w:rPr>
                <w:rFonts w:hint="default" w:ascii="宋体" w:hAnsi="宋体" w:eastAsia="宋体" w:cs="宋体"/>
                <w:i w:val="0"/>
                <w:iCs w:val="0"/>
                <w:color w:val="000000"/>
                <w:sz w:val="18"/>
                <w:szCs w:val="18"/>
                <w:u w:val="none"/>
                <w:lang w:val="en-US" w:eastAsia="zh-CN"/>
              </w:rPr>
            </w:pPr>
            <w:r>
              <w:rPr>
                <w:rFonts w:hint="eastAsia" w:ascii="宋体" w:hAnsi="宋体" w:eastAsia="宋体" w:cs="宋体"/>
                <w:i w:val="0"/>
                <w:iCs w:val="0"/>
                <w:color w:val="000000"/>
                <w:sz w:val="18"/>
                <w:szCs w:val="18"/>
                <w:u w:val="none"/>
                <w:lang w:val="en-US" w:eastAsia="zh-CN"/>
              </w:rPr>
              <w:t>100</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6AE675">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265F17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3" w:hRule="atLeast"/>
        </w:trPr>
        <w:tc>
          <w:tcPr>
            <w:tcW w:w="6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0B976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评价结论</w:t>
            </w:r>
          </w:p>
        </w:tc>
        <w:tc>
          <w:tcPr>
            <w:tcW w:w="13419"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30DDD4BC">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自评得分100分，完成了预期绩效目标，达到了资金使用效益。</w:t>
            </w:r>
          </w:p>
        </w:tc>
      </w:tr>
      <w:tr w14:paraId="2F65E2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2" w:hRule="atLeast"/>
        </w:trPr>
        <w:tc>
          <w:tcPr>
            <w:tcW w:w="6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7E626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存在问题</w:t>
            </w:r>
          </w:p>
        </w:tc>
        <w:tc>
          <w:tcPr>
            <w:tcW w:w="13419"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42E28ECD">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467CA0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3" w:hRule="atLeast"/>
        </w:trPr>
        <w:tc>
          <w:tcPr>
            <w:tcW w:w="6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3704C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改进措施</w:t>
            </w:r>
          </w:p>
        </w:tc>
        <w:tc>
          <w:tcPr>
            <w:tcW w:w="13419"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77202A4A">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67FED6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7296"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2B6ED652">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w:t>
            </w:r>
          </w:p>
        </w:tc>
        <w:tc>
          <w:tcPr>
            <w:tcW w:w="6807"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E75C4F7">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w:t>
            </w:r>
          </w:p>
        </w:tc>
      </w:tr>
      <w:tr w14:paraId="0AE885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684" w:type="dxa"/>
            <w:tcBorders>
              <w:top w:val="nil"/>
              <w:left w:val="nil"/>
              <w:bottom w:val="nil"/>
              <w:right w:val="nil"/>
            </w:tcBorders>
            <w:shd w:val="clear" w:color="auto" w:fill="auto"/>
            <w:vAlign w:val="center"/>
          </w:tcPr>
          <w:p w14:paraId="4ED754D8">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2052" w:type="dxa"/>
            <w:tcBorders>
              <w:top w:val="nil"/>
              <w:left w:val="nil"/>
              <w:bottom w:val="nil"/>
              <w:right w:val="nil"/>
            </w:tcBorders>
            <w:shd w:val="clear" w:color="auto" w:fill="auto"/>
            <w:vAlign w:val="center"/>
          </w:tcPr>
          <w:p w14:paraId="39384C51">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1775" w:type="dxa"/>
            <w:tcBorders>
              <w:top w:val="nil"/>
              <w:left w:val="nil"/>
              <w:bottom w:val="nil"/>
              <w:right w:val="nil"/>
            </w:tcBorders>
            <w:shd w:val="clear" w:color="auto" w:fill="auto"/>
            <w:vAlign w:val="center"/>
          </w:tcPr>
          <w:p w14:paraId="52DB58AF">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2264" w:type="dxa"/>
            <w:tcBorders>
              <w:top w:val="nil"/>
              <w:left w:val="nil"/>
              <w:bottom w:val="nil"/>
              <w:right w:val="nil"/>
            </w:tcBorders>
            <w:shd w:val="clear" w:color="auto" w:fill="auto"/>
            <w:vAlign w:val="center"/>
          </w:tcPr>
          <w:p w14:paraId="70D9CA47">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521" w:type="dxa"/>
            <w:tcBorders>
              <w:top w:val="nil"/>
              <w:left w:val="nil"/>
              <w:bottom w:val="nil"/>
              <w:right w:val="nil"/>
            </w:tcBorders>
            <w:shd w:val="clear" w:color="auto" w:fill="auto"/>
            <w:vAlign w:val="center"/>
          </w:tcPr>
          <w:p w14:paraId="7AE248EC">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1677" w:type="dxa"/>
            <w:tcBorders>
              <w:top w:val="nil"/>
              <w:left w:val="nil"/>
              <w:bottom w:val="nil"/>
              <w:right w:val="nil"/>
            </w:tcBorders>
            <w:shd w:val="clear" w:color="auto" w:fill="auto"/>
            <w:vAlign w:val="center"/>
          </w:tcPr>
          <w:p w14:paraId="01E08AAA">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521" w:type="dxa"/>
            <w:tcBorders>
              <w:top w:val="nil"/>
              <w:left w:val="nil"/>
              <w:bottom w:val="nil"/>
              <w:right w:val="nil"/>
            </w:tcBorders>
            <w:shd w:val="clear" w:color="auto" w:fill="auto"/>
            <w:vAlign w:val="center"/>
          </w:tcPr>
          <w:p w14:paraId="0F4FA258">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1091" w:type="dxa"/>
            <w:tcBorders>
              <w:top w:val="nil"/>
              <w:left w:val="nil"/>
              <w:bottom w:val="nil"/>
              <w:right w:val="nil"/>
            </w:tcBorders>
            <w:shd w:val="clear" w:color="auto" w:fill="auto"/>
            <w:vAlign w:val="center"/>
          </w:tcPr>
          <w:p w14:paraId="74E6E736">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505" w:type="dxa"/>
            <w:tcBorders>
              <w:top w:val="nil"/>
              <w:left w:val="nil"/>
              <w:bottom w:val="nil"/>
              <w:right w:val="nil"/>
            </w:tcBorders>
            <w:shd w:val="clear" w:color="auto" w:fill="auto"/>
            <w:vAlign w:val="center"/>
          </w:tcPr>
          <w:p w14:paraId="45D1FCB3">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456" w:type="dxa"/>
            <w:tcBorders>
              <w:top w:val="nil"/>
              <w:left w:val="nil"/>
              <w:bottom w:val="nil"/>
              <w:right w:val="nil"/>
            </w:tcBorders>
            <w:shd w:val="clear" w:color="auto" w:fill="auto"/>
            <w:vAlign w:val="center"/>
          </w:tcPr>
          <w:p w14:paraId="29A6A8A0">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2557" w:type="dxa"/>
            <w:tcBorders>
              <w:top w:val="nil"/>
              <w:left w:val="nil"/>
              <w:bottom w:val="nil"/>
              <w:right w:val="nil"/>
            </w:tcBorders>
            <w:shd w:val="clear" w:color="auto" w:fill="auto"/>
            <w:vAlign w:val="center"/>
          </w:tcPr>
          <w:p w14:paraId="58BD9700">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2004F6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14103" w:type="dxa"/>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63CFD077">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部门预算项目支出绩效自评表（2023年度）</w:t>
            </w:r>
          </w:p>
        </w:tc>
      </w:tr>
      <w:tr w14:paraId="6A7AD0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273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8DBA8DD">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项目名称</w:t>
            </w:r>
          </w:p>
        </w:tc>
        <w:tc>
          <w:tcPr>
            <w:tcW w:w="11367" w:type="dxa"/>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123DE22B">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51000021R000000019953-单位缴费</w:t>
            </w:r>
          </w:p>
        </w:tc>
      </w:tr>
      <w:tr w14:paraId="673E14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2" w:hRule="atLeast"/>
        </w:trPr>
        <w:tc>
          <w:tcPr>
            <w:tcW w:w="273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1C7FC7E">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主管部门</w:t>
            </w:r>
          </w:p>
        </w:tc>
        <w:tc>
          <w:tcPr>
            <w:tcW w:w="675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75F1085C">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广元市发展和改革委员会部门</w:t>
            </w:r>
          </w:p>
        </w:tc>
        <w:tc>
          <w:tcPr>
            <w:tcW w:w="1091" w:type="dxa"/>
            <w:tcBorders>
              <w:top w:val="nil"/>
              <w:left w:val="nil"/>
              <w:bottom w:val="nil"/>
              <w:right w:val="nil"/>
            </w:tcBorders>
            <w:shd w:val="clear" w:color="auto" w:fill="auto"/>
            <w:vAlign w:val="center"/>
          </w:tcPr>
          <w:p w14:paraId="34DE66E9">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3518"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B4B143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w:t>
            </w:r>
          </w:p>
        </w:tc>
      </w:tr>
      <w:tr w14:paraId="2A5028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68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B07D373">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项目基本情况</w:t>
            </w:r>
          </w:p>
        </w:tc>
        <w:tc>
          <w:tcPr>
            <w:tcW w:w="205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AEF6375">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1.项目年度目标完成情况</w:t>
            </w:r>
          </w:p>
        </w:tc>
        <w:tc>
          <w:tcPr>
            <w:tcW w:w="675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759B3B0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项目年度目标</w:t>
            </w:r>
          </w:p>
        </w:tc>
        <w:tc>
          <w:tcPr>
            <w:tcW w:w="4609"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3A91DB58">
            <w:pPr>
              <w:keepNext w:val="0"/>
              <w:keepLines w:val="0"/>
              <w:widowControl/>
              <w:suppressLineNumbers w:val="0"/>
              <w:spacing w:before="0" w:beforeAutospacing="0" w:after="0" w:afterAutospacing="0"/>
              <w:ind w:left="0" w:right="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14:paraId="747513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8"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3315CF">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20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56F4AE">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675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4BCE17E">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严格执行相关政策，保障工资及时、足额发放或社保及时、足额缴纳，预算编制科学合理，减少结余资金</w:t>
            </w:r>
          </w:p>
        </w:tc>
        <w:tc>
          <w:tcPr>
            <w:tcW w:w="4609"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14DA43AF">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严格执行相关政策，保障工资及时、足额发放或社保及时、足额缴纳，预算编制科学合理，减少结余资金</w:t>
            </w:r>
          </w:p>
        </w:tc>
      </w:tr>
      <w:tr w14:paraId="1EB5D8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3"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EFA41C">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341ABA">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2.项目实施内容及过程概述</w:t>
            </w:r>
          </w:p>
        </w:tc>
        <w:tc>
          <w:tcPr>
            <w:tcW w:w="11367" w:type="dxa"/>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045F9056">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sz w:val="18"/>
                <w:szCs w:val="18"/>
                <w:u w:val="none"/>
              </w:rPr>
              <w:t>严格按照资金下达文件及支付流程进行支付。</w:t>
            </w:r>
          </w:p>
        </w:tc>
      </w:tr>
      <w:tr w14:paraId="0EA351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68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9FAE73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预算执行情况（10分）</w:t>
            </w: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8FF06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年度预算数（万元）</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83389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年初预算</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90415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调整后预算数</w:t>
            </w: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70A1E1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预算执行数</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42006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预算执行率</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30F5E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612B6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得分</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D3665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原因</w:t>
            </w:r>
          </w:p>
        </w:tc>
      </w:tr>
      <w:tr w14:paraId="01D7FE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6"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9A2E6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D096F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总额</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9C9E9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638AC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28.78</w:t>
            </w: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309B4B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28.78</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1DBD3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A84C3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F54C6E">
            <w:pPr>
              <w:keepNext w:val="0"/>
              <w:keepLines w:val="0"/>
              <w:suppressLineNumbers w:val="0"/>
              <w:spacing w:before="0" w:beforeAutospacing="0" w:after="0" w:afterAutospacing="0"/>
              <w:ind w:left="0" w:right="0"/>
              <w:jc w:val="center"/>
              <w:rPr>
                <w:rFonts w:hint="default" w:ascii="宋体" w:hAnsi="宋体" w:eastAsia="宋体" w:cs="宋体"/>
                <w:i w:val="0"/>
                <w:iCs w:val="0"/>
                <w:color w:val="000000"/>
                <w:sz w:val="18"/>
                <w:szCs w:val="18"/>
                <w:u w:val="none"/>
                <w:lang w:val="en-US" w:eastAsia="zh-CN"/>
              </w:rPr>
            </w:pPr>
            <w:r>
              <w:rPr>
                <w:rFonts w:hint="eastAsia" w:ascii="宋体" w:hAnsi="宋体" w:eastAsia="宋体" w:cs="宋体"/>
                <w:i w:val="0"/>
                <w:iCs w:val="0"/>
                <w:color w:val="000000"/>
                <w:sz w:val="18"/>
                <w:szCs w:val="18"/>
                <w:u w:val="none"/>
                <w:lang w:val="en-US" w:eastAsia="zh-CN"/>
              </w:rPr>
              <w:t>10</w:t>
            </w:r>
          </w:p>
        </w:tc>
        <w:tc>
          <w:tcPr>
            <w:tcW w:w="255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1FA755F">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390BB2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1"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F766F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CF36C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其中：财政资金</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DD109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5E3DF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28.78</w:t>
            </w: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8025D4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28.78</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72B13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55E2C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9EEB0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25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2D9D60">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1A8606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7"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35979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99048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财政专户管理资金</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E56E6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B7E18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716746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B6E53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243E8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8D22F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25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8295B2">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5083EA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3CD3A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075F4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单位资金</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8561C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5C1AF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BE5689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3B1A8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4F981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829EF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25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2D0225">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2BEADE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9BF42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A2CFA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其他资金</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3A9FCB">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A10EB9">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EB1252D">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B78477">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3AB4D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14A78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25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B499AF">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5E63E2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68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57BF4C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绩效指标（90分）</w:t>
            </w: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6D74B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一级指标</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6F4E1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二级指标</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22529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三级指标</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26A2A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指标性质</w:t>
            </w:r>
          </w:p>
        </w:tc>
        <w:tc>
          <w:tcPr>
            <w:tcW w:w="1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96885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指标值</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17298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度量单位</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972D8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完成值</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B5957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F0706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得分</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DAE12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未完成原因分析</w:t>
            </w:r>
          </w:p>
        </w:tc>
      </w:tr>
      <w:tr w14:paraId="2497B9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2E9AF0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857EA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产出指标</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80052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数量指标</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E40AC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发放（缴纳）覆盖率</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3D7B9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1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361C1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6FAC3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707EA8">
            <w:pPr>
              <w:keepNext w:val="0"/>
              <w:keepLines w:val="0"/>
              <w:suppressLineNumbers w:val="0"/>
              <w:spacing w:before="0" w:beforeAutospacing="0" w:after="0" w:afterAutospacing="0"/>
              <w:ind w:left="0" w:right="0"/>
              <w:jc w:val="center"/>
              <w:rPr>
                <w:rFonts w:hint="default" w:ascii="微软雅黑" w:hAnsi="微软雅黑" w:eastAsia="微软雅黑" w:cs="微软雅黑"/>
                <w:i/>
                <w:iCs/>
                <w:color w:val="000000"/>
                <w:sz w:val="16"/>
                <w:szCs w:val="16"/>
                <w:u w:val="none"/>
                <w:lang w:val="en-US" w:eastAsia="zh-CN"/>
              </w:rPr>
            </w:pPr>
            <w:r>
              <w:rPr>
                <w:rFonts w:hint="eastAsia" w:ascii="微软雅黑" w:hAnsi="微软雅黑" w:eastAsia="微软雅黑" w:cs="微软雅黑"/>
                <w:i/>
                <w:iCs/>
                <w:color w:val="000000"/>
                <w:sz w:val="16"/>
                <w:szCs w:val="16"/>
                <w:u w:val="none"/>
                <w:lang w:val="en-US" w:eastAsia="zh-CN"/>
              </w:rPr>
              <w:t>100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3EC34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60</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F7AD92">
            <w:pPr>
              <w:keepNext w:val="0"/>
              <w:keepLines w:val="0"/>
              <w:suppressLineNumbers w:val="0"/>
              <w:spacing w:before="0" w:beforeAutospacing="0" w:after="0" w:afterAutospacing="0"/>
              <w:ind w:left="0" w:right="0"/>
              <w:jc w:val="center"/>
              <w:rPr>
                <w:rFonts w:hint="default" w:ascii="宋体" w:hAnsi="宋体" w:eastAsia="宋体" w:cs="宋体"/>
                <w:i w:val="0"/>
                <w:iCs w:val="0"/>
                <w:color w:val="000000"/>
                <w:sz w:val="18"/>
                <w:szCs w:val="18"/>
                <w:u w:val="none"/>
                <w:lang w:val="en-US" w:eastAsia="zh-CN"/>
              </w:rPr>
            </w:pPr>
            <w:r>
              <w:rPr>
                <w:rFonts w:hint="eastAsia" w:ascii="宋体" w:hAnsi="宋体" w:eastAsia="宋体" w:cs="宋体"/>
                <w:i w:val="0"/>
                <w:iCs w:val="0"/>
                <w:color w:val="000000"/>
                <w:sz w:val="18"/>
                <w:szCs w:val="18"/>
                <w:u w:val="none"/>
                <w:lang w:val="en-US" w:eastAsia="zh-CN"/>
              </w:rPr>
              <w:t>60</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8CE33B">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6EFA05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250CA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19FC7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效益指标</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DD3A2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社会效益指标</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92E7B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足额保障率（参保率）</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FD711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1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611C0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216E5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4ABBE2">
            <w:pPr>
              <w:keepNext w:val="0"/>
              <w:keepLines w:val="0"/>
              <w:suppressLineNumbers w:val="0"/>
              <w:spacing w:before="0" w:beforeAutospacing="0" w:after="0" w:afterAutospacing="0"/>
              <w:ind w:left="0" w:right="0"/>
              <w:jc w:val="center"/>
              <w:rPr>
                <w:rFonts w:hint="default" w:ascii="微软雅黑" w:hAnsi="微软雅黑" w:eastAsia="微软雅黑" w:cs="微软雅黑"/>
                <w:i/>
                <w:iCs/>
                <w:color w:val="000000"/>
                <w:sz w:val="16"/>
                <w:szCs w:val="16"/>
                <w:u w:val="none"/>
                <w:lang w:val="en-US" w:eastAsia="zh-CN"/>
              </w:rPr>
            </w:pPr>
            <w:r>
              <w:rPr>
                <w:rFonts w:hint="eastAsia" w:ascii="微软雅黑" w:hAnsi="微软雅黑" w:eastAsia="微软雅黑" w:cs="微软雅黑"/>
                <w:i/>
                <w:iCs/>
                <w:color w:val="000000"/>
                <w:sz w:val="16"/>
                <w:szCs w:val="16"/>
                <w:u w:val="none"/>
                <w:lang w:val="en-US" w:eastAsia="zh-CN"/>
              </w:rPr>
              <w:t>100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3C7C6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30</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4415C2">
            <w:pPr>
              <w:keepNext w:val="0"/>
              <w:keepLines w:val="0"/>
              <w:suppressLineNumbers w:val="0"/>
              <w:spacing w:before="0" w:beforeAutospacing="0" w:after="0" w:afterAutospacing="0"/>
              <w:ind w:left="0" w:right="0"/>
              <w:jc w:val="center"/>
              <w:rPr>
                <w:rFonts w:hint="default" w:ascii="宋体" w:hAnsi="宋体" w:eastAsia="宋体" w:cs="宋体"/>
                <w:i w:val="0"/>
                <w:iCs w:val="0"/>
                <w:color w:val="000000"/>
                <w:sz w:val="18"/>
                <w:szCs w:val="18"/>
                <w:u w:val="none"/>
                <w:lang w:val="en-US" w:eastAsia="zh-CN"/>
              </w:rPr>
            </w:pPr>
            <w:r>
              <w:rPr>
                <w:rFonts w:hint="eastAsia" w:ascii="宋体" w:hAnsi="宋体" w:eastAsia="宋体" w:cs="宋体"/>
                <w:i w:val="0"/>
                <w:iCs w:val="0"/>
                <w:color w:val="000000"/>
                <w:sz w:val="18"/>
                <w:szCs w:val="18"/>
                <w:u w:val="none"/>
                <w:lang w:val="en-US" w:eastAsia="zh-CN"/>
              </w:rPr>
              <w:t>30</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BFB80D">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490F19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10585"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1F2521D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合计</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13130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60A3B6">
            <w:pPr>
              <w:keepNext w:val="0"/>
              <w:keepLines w:val="0"/>
              <w:suppressLineNumbers w:val="0"/>
              <w:spacing w:before="0" w:beforeAutospacing="0" w:after="0" w:afterAutospacing="0"/>
              <w:ind w:left="0" w:right="0"/>
              <w:rPr>
                <w:rFonts w:hint="default" w:ascii="宋体" w:hAnsi="宋体" w:eastAsia="宋体" w:cs="宋体"/>
                <w:i w:val="0"/>
                <w:iCs w:val="0"/>
                <w:color w:val="000000"/>
                <w:sz w:val="18"/>
                <w:szCs w:val="18"/>
                <w:u w:val="none"/>
                <w:lang w:val="en-US" w:eastAsia="zh-CN"/>
              </w:rPr>
            </w:pPr>
            <w:r>
              <w:rPr>
                <w:rFonts w:hint="eastAsia" w:ascii="宋体" w:hAnsi="宋体" w:eastAsia="宋体" w:cs="宋体"/>
                <w:i w:val="0"/>
                <w:iCs w:val="0"/>
                <w:color w:val="000000"/>
                <w:sz w:val="18"/>
                <w:szCs w:val="18"/>
                <w:u w:val="none"/>
                <w:lang w:val="en-US" w:eastAsia="zh-CN"/>
              </w:rPr>
              <w:t>100</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EBCD08">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424682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3" w:hRule="atLeast"/>
        </w:trPr>
        <w:tc>
          <w:tcPr>
            <w:tcW w:w="6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36603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评价结论</w:t>
            </w:r>
          </w:p>
        </w:tc>
        <w:tc>
          <w:tcPr>
            <w:tcW w:w="13419"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604A9139">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自评得分100分，完成了预期绩效目标，达到了资金使用效益。</w:t>
            </w:r>
          </w:p>
        </w:tc>
      </w:tr>
      <w:tr w14:paraId="7E0A40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2" w:hRule="atLeast"/>
        </w:trPr>
        <w:tc>
          <w:tcPr>
            <w:tcW w:w="6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D6721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存在问题</w:t>
            </w:r>
          </w:p>
        </w:tc>
        <w:tc>
          <w:tcPr>
            <w:tcW w:w="13419"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38DB9B49">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7547B8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3" w:hRule="atLeast"/>
        </w:trPr>
        <w:tc>
          <w:tcPr>
            <w:tcW w:w="6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D88F9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改进措施</w:t>
            </w:r>
          </w:p>
        </w:tc>
        <w:tc>
          <w:tcPr>
            <w:tcW w:w="13419"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44024EE8">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31C29F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7296"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7A455336">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w:t>
            </w:r>
          </w:p>
        </w:tc>
        <w:tc>
          <w:tcPr>
            <w:tcW w:w="6807"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9E22BE8">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w:t>
            </w:r>
          </w:p>
        </w:tc>
      </w:tr>
      <w:tr w14:paraId="055E3F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684" w:type="dxa"/>
            <w:tcBorders>
              <w:top w:val="nil"/>
              <w:left w:val="nil"/>
              <w:bottom w:val="nil"/>
              <w:right w:val="nil"/>
            </w:tcBorders>
            <w:shd w:val="clear" w:color="auto" w:fill="auto"/>
            <w:vAlign w:val="center"/>
          </w:tcPr>
          <w:p w14:paraId="708D2D75">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2052" w:type="dxa"/>
            <w:tcBorders>
              <w:top w:val="nil"/>
              <w:left w:val="nil"/>
              <w:bottom w:val="nil"/>
              <w:right w:val="nil"/>
            </w:tcBorders>
            <w:shd w:val="clear" w:color="auto" w:fill="auto"/>
            <w:vAlign w:val="center"/>
          </w:tcPr>
          <w:p w14:paraId="2221CB35">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1775" w:type="dxa"/>
            <w:tcBorders>
              <w:top w:val="nil"/>
              <w:left w:val="nil"/>
              <w:bottom w:val="nil"/>
              <w:right w:val="nil"/>
            </w:tcBorders>
            <w:shd w:val="clear" w:color="auto" w:fill="auto"/>
            <w:vAlign w:val="center"/>
          </w:tcPr>
          <w:p w14:paraId="56F35AF3">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2264" w:type="dxa"/>
            <w:tcBorders>
              <w:top w:val="nil"/>
              <w:left w:val="nil"/>
              <w:bottom w:val="nil"/>
              <w:right w:val="nil"/>
            </w:tcBorders>
            <w:shd w:val="clear" w:color="auto" w:fill="auto"/>
            <w:vAlign w:val="center"/>
          </w:tcPr>
          <w:p w14:paraId="4DCA1C2D">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521" w:type="dxa"/>
            <w:tcBorders>
              <w:top w:val="nil"/>
              <w:left w:val="nil"/>
              <w:bottom w:val="nil"/>
              <w:right w:val="nil"/>
            </w:tcBorders>
            <w:shd w:val="clear" w:color="auto" w:fill="auto"/>
            <w:vAlign w:val="center"/>
          </w:tcPr>
          <w:p w14:paraId="7DC3DF4C">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1677" w:type="dxa"/>
            <w:tcBorders>
              <w:top w:val="nil"/>
              <w:left w:val="nil"/>
              <w:bottom w:val="nil"/>
              <w:right w:val="nil"/>
            </w:tcBorders>
            <w:shd w:val="clear" w:color="auto" w:fill="auto"/>
            <w:vAlign w:val="center"/>
          </w:tcPr>
          <w:p w14:paraId="74B0A636">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521" w:type="dxa"/>
            <w:tcBorders>
              <w:top w:val="nil"/>
              <w:left w:val="nil"/>
              <w:bottom w:val="nil"/>
              <w:right w:val="nil"/>
            </w:tcBorders>
            <w:shd w:val="clear" w:color="auto" w:fill="auto"/>
            <w:vAlign w:val="center"/>
          </w:tcPr>
          <w:p w14:paraId="5EA36BF8">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1091" w:type="dxa"/>
            <w:tcBorders>
              <w:top w:val="nil"/>
              <w:left w:val="nil"/>
              <w:bottom w:val="nil"/>
              <w:right w:val="nil"/>
            </w:tcBorders>
            <w:shd w:val="clear" w:color="auto" w:fill="auto"/>
            <w:vAlign w:val="center"/>
          </w:tcPr>
          <w:p w14:paraId="0E9F3312">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505" w:type="dxa"/>
            <w:tcBorders>
              <w:top w:val="nil"/>
              <w:left w:val="nil"/>
              <w:bottom w:val="nil"/>
              <w:right w:val="nil"/>
            </w:tcBorders>
            <w:shd w:val="clear" w:color="auto" w:fill="auto"/>
            <w:vAlign w:val="center"/>
          </w:tcPr>
          <w:p w14:paraId="070B013C">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456" w:type="dxa"/>
            <w:tcBorders>
              <w:top w:val="nil"/>
              <w:left w:val="nil"/>
              <w:bottom w:val="nil"/>
              <w:right w:val="nil"/>
            </w:tcBorders>
            <w:shd w:val="clear" w:color="auto" w:fill="auto"/>
            <w:vAlign w:val="center"/>
          </w:tcPr>
          <w:p w14:paraId="7B696A2B">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2557" w:type="dxa"/>
            <w:tcBorders>
              <w:top w:val="nil"/>
              <w:left w:val="nil"/>
              <w:bottom w:val="nil"/>
              <w:right w:val="nil"/>
            </w:tcBorders>
            <w:shd w:val="clear" w:color="auto" w:fill="auto"/>
            <w:vAlign w:val="center"/>
          </w:tcPr>
          <w:p w14:paraId="28454A4A">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767B72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14103" w:type="dxa"/>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785CC21C">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部门预算项目支出绩效自评表（2023年度）</w:t>
            </w:r>
          </w:p>
        </w:tc>
      </w:tr>
      <w:tr w14:paraId="67D46F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273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D124982">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项目名称</w:t>
            </w:r>
          </w:p>
        </w:tc>
        <w:tc>
          <w:tcPr>
            <w:tcW w:w="11367" w:type="dxa"/>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1F157EBA">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51000021R000000019956-离退休费支出</w:t>
            </w:r>
          </w:p>
        </w:tc>
      </w:tr>
      <w:tr w14:paraId="2C16E2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2" w:hRule="atLeast"/>
        </w:trPr>
        <w:tc>
          <w:tcPr>
            <w:tcW w:w="273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3E627C0">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主管部门</w:t>
            </w:r>
          </w:p>
        </w:tc>
        <w:tc>
          <w:tcPr>
            <w:tcW w:w="675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87D6169">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广元市发展和改革委员会部门</w:t>
            </w:r>
          </w:p>
        </w:tc>
        <w:tc>
          <w:tcPr>
            <w:tcW w:w="1091" w:type="dxa"/>
            <w:tcBorders>
              <w:top w:val="nil"/>
              <w:left w:val="nil"/>
              <w:bottom w:val="nil"/>
              <w:right w:val="nil"/>
            </w:tcBorders>
            <w:shd w:val="clear" w:color="auto" w:fill="auto"/>
            <w:vAlign w:val="center"/>
          </w:tcPr>
          <w:p w14:paraId="584A5D77">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3518"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66AA76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w:t>
            </w:r>
          </w:p>
        </w:tc>
      </w:tr>
      <w:tr w14:paraId="3D4102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68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7678E45">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项目基本情况</w:t>
            </w:r>
          </w:p>
        </w:tc>
        <w:tc>
          <w:tcPr>
            <w:tcW w:w="205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EC3DBBF">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1.项目年度目标完成情况</w:t>
            </w:r>
          </w:p>
        </w:tc>
        <w:tc>
          <w:tcPr>
            <w:tcW w:w="675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2FD19BB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项目年度目标</w:t>
            </w:r>
          </w:p>
        </w:tc>
        <w:tc>
          <w:tcPr>
            <w:tcW w:w="4609"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1F77EF86">
            <w:pPr>
              <w:keepNext w:val="0"/>
              <w:keepLines w:val="0"/>
              <w:widowControl/>
              <w:suppressLineNumbers w:val="0"/>
              <w:spacing w:before="0" w:beforeAutospacing="0" w:after="0" w:afterAutospacing="0"/>
              <w:ind w:left="0" w:right="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14:paraId="0D8689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8"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461717">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20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AAC218">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675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D06716F">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严格执行相关政策，保障工资及时、足额发放或社保及时、足额缴纳，预算编制科学合理，减少结余资金</w:t>
            </w:r>
          </w:p>
        </w:tc>
        <w:tc>
          <w:tcPr>
            <w:tcW w:w="4609"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2B56662C">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严格执行相关政策，保障工资及时、足额发放或社保及时、足额缴纳，预算编制科学合理，减少结余资金</w:t>
            </w:r>
          </w:p>
        </w:tc>
      </w:tr>
      <w:tr w14:paraId="502820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3"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9FB277">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1BA4D6">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2.项目实施内容及过程概述</w:t>
            </w:r>
          </w:p>
        </w:tc>
        <w:tc>
          <w:tcPr>
            <w:tcW w:w="11367" w:type="dxa"/>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669416C3">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sz w:val="18"/>
                <w:szCs w:val="18"/>
                <w:u w:val="none"/>
              </w:rPr>
              <w:t>严格按照资金下达文件及支付流程进行支付。</w:t>
            </w:r>
          </w:p>
        </w:tc>
      </w:tr>
      <w:tr w14:paraId="2EB316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68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7F7D83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预算执行情况（10分）</w:t>
            </w: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F359C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年度预算数（万元）</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F7EFF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年初预算</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A07AE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调整后预算数</w:t>
            </w: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317C62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预算执行数</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5A5B4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预算执行率</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12E79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C388C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得分</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50009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原因</w:t>
            </w:r>
          </w:p>
        </w:tc>
      </w:tr>
      <w:tr w14:paraId="4320F9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6"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4F4AA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49E8C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总额</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A3236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349.18</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2005C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366.97</w:t>
            </w: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8C70E2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352.41</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F574E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96.03%</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C41BA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AE4DEC">
            <w:pPr>
              <w:keepNext w:val="0"/>
              <w:keepLines w:val="0"/>
              <w:suppressLineNumbers w:val="0"/>
              <w:spacing w:before="0" w:beforeAutospacing="0" w:after="0" w:afterAutospacing="0"/>
              <w:ind w:left="0" w:right="0"/>
              <w:jc w:val="center"/>
              <w:rPr>
                <w:rFonts w:hint="default" w:ascii="宋体" w:hAnsi="宋体" w:eastAsia="宋体" w:cs="宋体"/>
                <w:i w:val="0"/>
                <w:iCs w:val="0"/>
                <w:color w:val="000000"/>
                <w:sz w:val="18"/>
                <w:szCs w:val="18"/>
                <w:u w:val="none"/>
                <w:lang w:val="en-US" w:eastAsia="zh-CN"/>
              </w:rPr>
            </w:pPr>
            <w:r>
              <w:rPr>
                <w:rFonts w:hint="eastAsia" w:ascii="宋体" w:hAnsi="宋体" w:eastAsia="宋体" w:cs="宋体"/>
                <w:i w:val="0"/>
                <w:iCs w:val="0"/>
                <w:color w:val="000000"/>
                <w:sz w:val="18"/>
                <w:szCs w:val="18"/>
                <w:u w:val="none"/>
                <w:lang w:val="en-US" w:eastAsia="zh-CN"/>
              </w:rPr>
              <w:t>10</w:t>
            </w:r>
          </w:p>
        </w:tc>
        <w:tc>
          <w:tcPr>
            <w:tcW w:w="255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0E7A954">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571D9B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1"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422DCA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71770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其中：财政资金</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021BE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349.18</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A89E4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366.97</w:t>
            </w: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18A834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352.41</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92711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96.03%</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C44D7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54A48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25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6CE84F">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79665E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7"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35094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8A937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财政专户管理资金</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D35EC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08467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676AD3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AF278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33100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46DF4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25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ACDAA6">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46C403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69EB2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AD03F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单位资金</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39BF8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E3519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3AF221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46BC2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92211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47D43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25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C885AF">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2CCDEB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FCD4C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75C88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其他资金</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F66707">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51EC26">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7CAC59F">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494707">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DE8E9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B8C4D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25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77628B">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555023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68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4A2086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绩效指标（90分）</w:t>
            </w: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40D20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一级指标</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6CC13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二级指标</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BE3FC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三级指标</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33AC6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指标性质</w:t>
            </w:r>
          </w:p>
        </w:tc>
        <w:tc>
          <w:tcPr>
            <w:tcW w:w="1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2D2B7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指标值</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222DF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度量单位</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5EA33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完成值</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82195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C6713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得分</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40DA8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未完成原因分析</w:t>
            </w:r>
          </w:p>
        </w:tc>
      </w:tr>
      <w:tr w14:paraId="05A2E0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60120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07250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产出指标</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149A8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数量指标</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0BD98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发放（缴纳）覆盖率</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0688D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1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3E770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9A9DE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22DDF2">
            <w:pPr>
              <w:keepNext w:val="0"/>
              <w:keepLines w:val="0"/>
              <w:suppressLineNumbers w:val="0"/>
              <w:spacing w:before="0" w:beforeAutospacing="0" w:after="0" w:afterAutospacing="0"/>
              <w:ind w:left="0" w:right="0"/>
              <w:jc w:val="center"/>
              <w:rPr>
                <w:rFonts w:hint="default" w:ascii="微软雅黑" w:hAnsi="微软雅黑" w:eastAsia="微软雅黑" w:cs="微软雅黑"/>
                <w:i/>
                <w:iCs/>
                <w:color w:val="000000"/>
                <w:sz w:val="16"/>
                <w:szCs w:val="16"/>
                <w:u w:val="none"/>
                <w:lang w:val="en-US" w:eastAsia="zh-CN"/>
              </w:rPr>
            </w:pPr>
            <w:r>
              <w:rPr>
                <w:rFonts w:hint="eastAsia" w:ascii="微软雅黑" w:hAnsi="微软雅黑" w:eastAsia="微软雅黑" w:cs="微软雅黑"/>
                <w:i/>
                <w:iCs/>
                <w:color w:val="000000"/>
                <w:sz w:val="16"/>
                <w:szCs w:val="16"/>
                <w:u w:val="none"/>
                <w:lang w:val="en-US" w:eastAsia="zh-CN"/>
              </w:rPr>
              <w:t>100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31329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60</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97A0F8">
            <w:pPr>
              <w:keepNext w:val="0"/>
              <w:keepLines w:val="0"/>
              <w:suppressLineNumbers w:val="0"/>
              <w:spacing w:before="0" w:beforeAutospacing="0" w:after="0" w:afterAutospacing="0"/>
              <w:ind w:left="0" w:right="0"/>
              <w:jc w:val="center"/>
              <w:rPr>
                <w:rFonts w:hint="default" w:ascii="宋体" w:hAnsi="宋体" w:eastAsia="宋体" w:cs="宋体"/>
                <w:i w:val="0"/>
                <w:iCs w:val="0"/>
                <w:color w:val="000000"/>
                <w:sz w:val="18"/>
                <w:szCs w:val="18"/>
                <w:u w:val="none"/>
                <w:lang w:val="en-US" w:eastAsia="zh-CN"/>
              </w:rPr>
            </w:pPr>
            <w:r>
              <w:rPr>
                <w:rFonts w:hint="eastAsia" w:ascii="宋体" w:hAnsi="宋体" w:eastAsia="宋体" w:cs="宋体"/>
                <w:i w:val="0"/>
                <w:iCs w:val="0"/>
                <w:color w:val="000000"/>
                <w:sz w:val="18"/>
                <w:szCs w:val="18"/>
                <w:u w:val="none"/>
                <w:lang w:val="en-US" w:eastAsia="zh-CN"/>
              </w:rPr>
              <w:t>60</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F1760E">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02F037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2E0D6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DC200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效益指标</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3E239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社会效益指标</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41C8B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足额保障率（参保率）</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AEC5F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1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A23EC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3A5C0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65D9B1">
            <w:pPr>
              <w:keepNext w:val="0"/>
              <w:keepLines w:val="0"/>
              <w:suppressLineNumbers w:val="0"/>
              <w:spacing w:before="0" w:beforeAutospacing="0" w:after="0" w:afterAutospacing="0"/>
              <w:ind w:left="0" w:right="0"/>
              <w:jc w:val="center"/>
              <w:rPr>
                <w:rFonts w:hint="default" w:ascii="微软雅黑" w:hAnsi="微软雅黑" w:eastAsia="微软雅黑" w:cs="微软雅黑"/>
                <w:i/>
                <w:iCs/>
                <w:color w:val="000000"/>
                <w:sz w:val="16"/>
                <w:szCs w:val="16"/>
                <w:u w:val="none"/>
                <w:lang w:val="en-US" w:eastAsia="zh-CN"/>
              </w:rPr>
            </w:pPr>
            <w:r>
              <w:rPr>
                <w:rFonts w:hint="eastAsia" w:ascii="微软雅黑" w:hAnsi="微软雅黑" w:eastAsia="微软雅黑" w:cs="微软雅黑"/>
                <w:i/>
                <w:iCs/>
                <w:color w:val="000000"/>
                <w:sz w:val="16"/>
                <w:szCs w:val="16"/>
                <w:u w:val="none"/>
                <w:lang w:val="en-US" w:eastAsia="zh-CN"/>
              </w:rPr>
              <w:t>100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AB7F5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30</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270BEB">
            <w:pPr>
              <w:keepNext w:val="0"/>
              <w:keepLines w:val="0"/>
              <w:suppressLineNumbers w:val="0"/>
              <w:spacing w:before="0" w:beforeAutospacing="0" w:after="0" w:afterAutospacing="0"/>
              <w:ind w:left="0" w:right="0"/>
              <w:jc w:val="center"/>
              <w:rPr>
                <w:rFonts w:hint="default" w:ascii="宋体" w:hAnsi="宋体" w:eastAsia="宋体" w:cs="宋体"/>
                <w:i w:val="0"/>
                <w:iCs w:val="0"/>
                <w:color w:val="000000"/>
                <w:sz w:val="18"/>
                <w:szCs w:val="18"/>
                <w:u w:val="none"/>
                <w:lang w:val="en-US" w:eastAsia="zh-CN"/>
              </w:rPr>
            </w:pPr>
            <w:r>
              <w:rPr>
                <w:rFonts w:hint="eastAsia" w:ascii="宋体" w:hAnsi="宋体" w:eastAsia="宋体" w:cs="宋体"/>
                <w:i w:val="0"/>
                <w:iCs w:val="0"/>
                <w:color w:val="000000"/>
                <w:sz w:val="18"/>
                <w:szCs w:val="18"/>
                <w:u w:val="none"/>
                <w:lang w:val="en-US" w:eastAsia="zh-CN"/>
              </w:rPr>
              <w:t>30</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BFB4E0">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44F318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10585"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29798FC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合计</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188DF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A23C73">
            <w:pPr>
              <w:keepNext w:val="0"/>
              <w:keepLines w:val="0"/>
              <w:suppressLineNumbers w:val="0"/>
              <w:spacing w:before="0" w:beforeAutospacing="0" w:after="0" w:afterAutospacing="0"/>
              <w:ind w:left="0" w:right="0"/>
              <w:rPr>
                <w:rFonts w:hint="default" w:ascii="宋体" w:hAnsi="宋体" w:eastAsia="宋体" w:cs="宋体"/>
                <w:i w:val="0"/>
                <w:iCs w:val="0"/>
                <w:color w:val="000000"/>
                <w:sz w:val="18"/>
                <w:szCs w:val="18"/>
                <w:u w:val="none"/>
                <w:lang w:val="en-US" w:eastAsia="zh-CN"/>
              </w:rPr>
            </w:pPr>
            <w:r>
              <w:rPr>
                <w:rFonts w:hint="eastAsia" w:ascii="宋体" w:hAnsi="宋体" w:eastAsia="宋体" w:cs="宋体"/>
                <w:i w:val="0"/>
                <w:iCs w:val="0"/>
                <w:color w:val="000000"/>
                <w:sz w:val="18"/>
                <w:szCs w:val="18"/>
                <w:u w:val="none"/>
                <w:lang w:val="en-US" w:eastAsia="zh-CN"/>
              </w:rPr>
              <w:t>100</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3AE4E5">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31CB3D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3" w:hRule="atLeast"/>
        </w:trPr>
        <w:tc>
          <w:tcPr>
            <w:tcW w:w="6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D6018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评价结论</w:t>
            </w:r>
          </w:p>
        </w:tc>
        <w:tc>
          <w:tcPr>
            <w:tcW w:w="13419"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188001CC">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自评得分100分，完成了预期绩效目标，达到了资金使用效益。</w:t>
            </w:r>
          </w:p>
        </w:tc>
      </w:tr>
      <w:tr w14:paraId="7BBAAC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2" w:hRule="atLeast"/>
        </w:trPr>
        <w:tc>
          <w:tcPr>
            <w:tcW w:w="6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6A9DC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存在问题</w:t>
            </w:r>
          </w:p>
        </w:tc>
        <w:tc>
          <w:tcPr>
            <w:tcW w:w="13419"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58FC2FA4">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39424F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3" w:hRule="atLeast"/>
        </w:trPr>
        <w:tc>
          <w:tcPr>
            <w:tcW w:w="6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9E71F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改进措施</w:t>
            </w:r>
          </w:p>
        </w:tc>
        <w:tc>
          <w:tcPr>
            <w:tcW w:w="13419"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622E82B2">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7AB9C8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7296"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5A763114">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w:t>
            </w:r>
          </w:p>
        </w:tc>
        <w:tc>
          <w:tcPr>
            <w:tcW w:w="6807"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4ED2658">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w:t>
            </w:r>
          </w:p>
        </w:tc>
      </w:tr>
      <w:tr w14:paraId="1ED588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684" w:type="dxa"/>
            <w:tcBorders>
              <w:top w:val="nil"/>
              <w:left w:val="nil"/>
              <w:bottom w:val="nil"/>
              <w:right w:val="nil"/>
            </w:tcBorders>
            <w:shd w:val="clear" w:color="auto" w:fill="auto"/>
            <w:vAlign w:val="center"/>
          </w:tcPr>
          <w:p w14:paraId="6775FF58">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2052" w:type="dxa"/>
            <w:tcBorders>
              <w:top w:val="nil"/>
              <w:left w:val="nil"/>
              <w:bottom w:val="nil"/>
              <w:right w:val="nil"/>
            </w:tcBorders>
            <w:shd w:val="clear" w:color="auto" w:fill="auto"/>
            <w:vAlign w:val="center"/>
          </w:tcPr>
          <w:p w14:paraId="288256DB">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1775" w:type="dxa"/>
            <w:tcBorders>
              <w:top w:val="nil"/>
              <w:left w:val="nil"/>
              <w:bottom w:val="nil"/>
              <w:right w:val="nil"/>
            </w:tcBorders>
            <w:shd w:val="clear" w:color="auto" w:fill="auto"/>
            <w:vAlign w:val="center"/>
          </w:tcPr>
          <w:p w14:paraId="586312A4">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2264" w:type="dxa"/>
            <w:tcBorders>
              <w:top w:val="nil"/>
              <w:left w:val="nil"/>
              <w:bottom w:val="nil"/>
              <w:right w:val="nil"/>
            </w:tcBorders>
            <w:shd w:val="clear" w:color="auto" w:fill="auto"/>
            <w:vAlign w:val="center"/>
          </w:tcPr>
          <w:p w14:paraId="4A873E9A">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521" w:type="dxa"/>
            <w:tcBorders>
              <w:top w:val="nil"/>
              <w:left w:val="nil"/>
              <w:bottom w:val="nil"/>
              <w:right w:val="nil"/>
            </w:tcBorders>
            <w:shd w:val="clear" w:color="auto" w:fill="auto"/>
            <w:vAlign w:val="center"/>
          </w:tcPr>
          <w:p w14:paraId="16B56FAB">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1677" w:type="dxa"/>
            <w:tcBorders>
              <w:top w:val="nil"/>
              <w:left w:val="nil"/>
              <w:bottom w:val="nil"/>
              <w:right w:val="nil"/>
            </w:tcBorders>
            <w:shd w:val="clear" w:color="auto" w:fill="auto"/>
            <w:vAlign w:val="center"/>
          </w:tcPr>
          <w:p w14:paraId="2E8BF4C5">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521" w:type="dxa"/>
            <w:tcBorders>
              <w:top w:val="nil"/>
              <w:left w:val="nil"/>
              <w:bottom w:val="nil"/>
              <w:right w:val="nil"/>
            </w:tcBorders>
            <w:shd w:val="clear" w:color="auto" w:fill="auto"/>
            <w:vAlign w:val="center"/>
          </w:tcPr>
          <w:p w14:paraId="4CC8EE52">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1091" w:type="dxa"/>
            <w:tcBorders>
              <w:top w:val="nil"/>
              <w:left w:val="nil"/>
              <w:bottom w:val="nil"/>
              <w:right w:val="nil"/>
            </w:tcBorders>
            <w:shd w:val="clear" w:color="auto" w:fill="auto"/>
            <w:vAlign w:val="center"/>
          </w:tcPr>
          <w:p w14:paraId="2BDA908F">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505" w:type="dxa"/>
            <w:tcBorders>
              <w:top w:val="nil"/>
              <w:left w:val="nil"/>
              <w:bottom w:val="nil"/>
              <w:right w:val="nil"/>
            </w:tcBorders>
            <w:shd w:val="clear" w:color="auto" w:fill="auto"/>
            <w:vAlign w:val="center"/>
          </w:tcPr>
          <w:p w14:paraId="6B2A7EAB">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456" w:type="dxa"/>
            <w:tcBorders>
              <w:top w:val="nil"/>
              <w:left w:val="nil"/>
              <w:bottom w:val="nil"/>
              <w:right w:val="nil"/>
            </w:tcBorders>
            <w:shd w:val="clear" w:color="auto" w:fill="auto"/>
            <w:vAlign w:val="center"/>
          </w:tcPr>
          <w:p w14:paraId="784476E8">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2557" w:type="dxa"/>
            <w:tcBorders>
              <w:top w:val="nil"/>
              <w:left w:val="nil"/>
              <w:bottom w:val="nil"/>
              <w:right w:val="nil"/>
            </w:tcBorders>
            <w:shd w:val="clear" w:color="auto" w:fill="auto"/>
            <w:vAlign w:val="center"/>
          </w:tcPr>
          <w:p w14:paraId="49A3A5B3">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1DB9A4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14103" w:type="dxa"/>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0BC54911">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部门预算项目支出绩效自评表（2023年度）</w:t>
            </w:r>
          </w:p>
        </w:tc>
      </w:tr>
      <w:tr w14:paraId="2760ED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273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E7E8ACC">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项目名称</w:t>
            </w:r>
          </w:p>
        </w:tc>
        <w:tc>
          <w:tcPr>
            <w:tcW w:w="11367" w:type="dxa"/>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268870F9">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51000021R000000019958-其他支出</w:t>
            </w:r>
          </w:p>
        </w:tc>
      </w:tr>
      <w:tr w14:paraId="091494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2" w:hRule="atLeast"/>
        </w:trPr>
        <w:tc>
          <w:tcPr>
            <w:tcW w:w="273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DE998E9">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主管部门</w:t>
            </w:r>
          </w:p>
        </w:tc>
        <w:tc>
          <w:tcPr>
            <w:tcW w:w="675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2825E799">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广元市发展和改革委员会部门</w:t>
            </w:r>
          </w:p>
        </w:tc>
        <w:tc>
          <w:tcPr>
            <w:tcW w:w="1091" w:type="dxa"/>
            <w:tcBorders>
              <w:top w:val="nil"/>
              <w:left w:val="nil"/>
              <w:bottom w:val="nil"/>
              <w:right w:val="nil"/>
            </w:tcBorders>
            <w:shd w:val="clear" w:color="auto" w:fill="auto"/>
            <w:vAlign w:val="center"/>
          </w:tcPr>
          <w:p w14:paraId="0C65609E">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3518"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BDF967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w:t>
            </w:r>
          </w:p>
        </w:tc>
      </w:tr>
      <w:tr w14:paraId="16BCE9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68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60DCC76">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项目基本情况</w:t>
            </w:r>
          </w:p>
        </w:tc>
        <w:tc>
          <w:tcPr>
            <w:tcW w:w="205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55A62AA">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1.项目年度目标完成情况</w:t>
            </w:r>
          </w:p>
        </w:tc>
        <w:tc>
          <w:tcPr>
            <w:tcW w:w="675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E79EE0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项目年度目标</w:t>
            </w:r>
          </w:p>
        </w:tc>
        <w:tc>
          <w:tcPr>
            <w:tcW w:w="4609"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53F98A3D">
            <w:pPr>
              <w:keepNext w:val="0"/>
              <w:keepLines w:val="0"/>
              <w:widowControl/>
              <w:suppressLineNumbers w:val="0"/>
              <w:spacing w:before="0" w:beforeAutospacing="0" w:after="0" w:afterAutospacing="0"/>
              <w:ind w:left="0" w:right="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14:paraId="487CC2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8"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21D150">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20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F8B2FC">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675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190E458">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严格执行相关政策，保障工资及时、足额发放或社保及时、足额缴纳，预算编制科学合理，减少结余资金</w:t>
            </w:r>
          </w:p>
        </w:tc>
        <w:tc>
          <w:tcPr>
            <w:tcW w:w="4609"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23B27856">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对照年度目标，说明相关任务目标的完成情况（100字以内）</w:t>
            </w:r>
          </w:p>
        </w:tc>
      </w:tr>
      <w:tr w14:paraId="3DEA36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3"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2628E6">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D0DA94">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2.项目实施内容及过程概述</w:t>
            </w:r>
          </w:p>
        </w:tc>
        <w:tc>
          <w:tcPr>
            <w:tcW w:w="11367" w:type="dxa"/>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4CC1FB3B">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sz w:val="18"/>
                <w:szCs w:val="18"/>
                <w:u w:val="none"/>
              </w:rPr>
              <w:t>严格按照资金下达文件及支付流程进行支付。</w:t>
            </w:r>
          </w:p>
        </w:tc>
      </w:tr>
      <w:tr w14:paraId="30AA4E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68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33904E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预算执行情况（10分）</w:t>
            </w: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A49A7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年度预算数（万元）</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80920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年初预算</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AF923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调整后预算数</w:t>
            </w: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D03E84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预算执行数</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D163C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预算执行率</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4CFAB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7AC16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得分</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13714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原因</w:t>
            </w:r>
          </w:p>
        </w:tc>
      </w:tr>
      <w:tr w14:paraId="61BDED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6"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63087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4C594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总额</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56B87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9.38</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97FA0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34.28</w:t>
            </w: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120F05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9.38</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13F9F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27.37%</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B0BFF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5EE7F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55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EDF7F69">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0584DF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1"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5673B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9470C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其中：财政资金</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67C12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9.38</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89AFE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34.28</w:t>
            </w: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A98805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9.38</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76EA6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27.37%</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0A4FC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A8233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25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B2C8A7">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0899BC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7"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787C8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58CDD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财政专户管理资金</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6ACBA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51748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79491A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40D35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A8A95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DA473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25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4C294D">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48E72C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33AEA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9CF70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单位资金</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4E8E9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B58FB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2D58AA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400A2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EB55D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E5AD6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25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87A363">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542540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41930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6716D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其他资金</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A7FB91">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A9CFA3">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A334E18">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1F08C8">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673F2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E9851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25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225B3A">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316FFB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68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EE9A3D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绩效指标（90分）</w:t>
            </w: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DD30F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一级指标</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9F81A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二级指标</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2FA98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三级指标</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79F12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指标性质</w:t>
            </w:r>
          </w:p>
        </w:tc>
        <w:tc>
          <w:tcPr>
            <w:tcW w:w="1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5578F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指标值</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20E9F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度量单位</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911B4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完成值</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F7CCD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F2205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得分</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F46D4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未完成原因分析</w:t>
            </w:r>
          </w:p>
        </w:tc>
      </w:tr>
      <w:tr w14:paraId="44E523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DC185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29AFA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产出指标</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E40F3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数量指标</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61815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发放（缴纳）覆盖率</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A090E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1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3C932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F051E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2B8664">
            <w:pPr>
              <w:keepNext w:val="0"/>
              <w:keepLines w:val="0"/>
              <w:suppressLineNumbers w:val="0"/>
              <w:spacing w:before="0" w:beforeAutospacing="0" w:after="0" w:afterAutospacing="0"/>
              <w:ind w:left="0" w:right="0"/>
              <w:jc w:val="center"/>
              <w:rPr>
                <w:rFonts w:hint="default" w:ascii="微软雅黑" w:hAnsi="微软雅黑" w:eastAsia="微软雅黑" w:cs="微软雅黑"/>
                <w:i/>
                <w:iCs/>
                <w:color w:val="000000"/>
                <w:sz w:val="16"/>
                <w:szCs w:val="16"/>
                <w:u w:val="none"/>
                <w:lang w:val="en-US" w:eastAsia="zh-CN"/>
              </w:rPr>
            </w:pPr>
            <w:r>
              <w:rPr>
                <w:rFonts w:hint="eastAsia" w:ascii="微软雅黑" w:hAnsi="微软雅黑" w:eastAsia="微软雅黑" w:cs="微软雅黑"/>
                <w:i/>
                <w:iCs/>
                <w:color w:val="000000"/>
                <w:sz w:val="16"/>
                <w:szCs w:val="16"/>
                <w:u w:val="none"/>
                <w:lang w:val="en-US" w:eastAsia="zh-CN"/>
              </w:rPr>
              <w:t>100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86506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60</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EC7B27">
            <w:pPr>
              <w:keepNext w:val="0"/>
              <w:keepLines w:val="0"/>
              <w:suppressLineNumbers w:val="0"/>
              <w:spacing w:before="0" w:beforeAutospacing="0" w:after="0" w:afterAutospacing="0"/>
              <w:ind w:left="0" w:right="0"/>
              <w:jc w:val="center"/>
              <w:rPr>
                <w:rFonts w:hint="default" w:ascii="宋体" w:hAnsi="宋体" w:eastAsia="宋体" w:cs="宋体"/>
                <w:i w:val="0"/>
                <w:iCs w:val="0"/>
                <w:color w:val="000000"/>
                <w:sz w:val="18"/>
                <w:szCs w:val="18"/>
                <w:u w:val="none"/>
                <w:lang w:val="en-US" w:eastAsia="zh-CN"/>
              </w:rPr>
            </w:pPr>
            <w:r>
              <w:rPr>
                <w:rFonts w:hint="eastAsia" w:ascii="宋体" w:hAnsi="宋体" w:eastAsia="宋体" w:cs="宋体"/>
                <w:i w:val="0"/>
                <w:iCs w:val="0"/>
                <w:color w:val="000000"/>
                <w:sz w:val="18"/>
                <w:szCs w:val="18"/>
                <w:u w:val="none"/>
                <w:lang w:val="en-US" w:eastAsia="zh-CN"/>
              </w:rPr>
              <w:t>60</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AB5ABF">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14DC74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078BF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5FEBE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效益指标</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B960B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社会效益指标</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69FF1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足额保障率（参保率）</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779DE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1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30DE9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46A8D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CC1ACB">
            <w:pPr>
              <w:keepNext w:val="0"/>
              <w:keepLines w:val="0"/>
              <w:suppressLineNumbers w:val="0"/>
              <w:spacing w:before="0" w:beforeAutospacing="0" w:after="0" w:afterAutospacing="0"/>
              <w:ind w:left="0" w:right="0"/>
              <w:jc w:val="center"/>
              <w:rPr>
                <w:rFonts w:hint="default" w:ascii="微软雅黑" w:hAnsi="微软雅黑" w:eastAsia="微软雅黑" w:cs="微软雅黑"/>
                <w:i/>
                <w:iCs/>
                <w:color w:val="000000"/>
                <w:sz w:val="16"/>
                <w:szCs w:val="16"/>
                <w:u w:val="none"/>
                <w:lang w:val="en-US" w:eastAsia="zh-CN"/>
              </w:rPr>
            </w:pPr>
            <w:r>
              <w:rPr>
                <w:rFonts w:hint="eastAsia" w:ascii="微软雅黑" w:hAnsi="微软雅黑" w:eastAsia="微软雅黑" w:cs="微软雅黑"/>
                <w:i/>
                <w:iCs/>
                <w:color w:val="000000"/>
                <w:sz w:val="16"/>
                <w:szCs w:val="16"/>
                <w:u w:val="none"/>
                <w:lang w:val="en-US" w:eastAsia="zh-CN"/>
              </w:rPr>
              <w:t>100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D7562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30</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9D2393">
            <w:pPr>
              <w:keepNext w:val="0"/>
              <w:keepLines w:val="0"/>
              <w:suppressLineNumbers w:val="0"/>
              <w:spacing w:before="0" w:beforeAutospacing="0" w:after="0" w:afterAutospacing="0"/>
              <w:ind w:left="0" w:right="0"/>
              <w:jc w:val="center"/>
              <w:rPr>
                <w:rFonts w:hint="default" w:ascii="宋体" w:hAnsi="宋体" w:eastAsia="宋体" w:cs="宋体"/>
                <w:i w:val="0"/>
                <w:iCs w:val="0"/>
                <w:color w:val="000000"/>
                <w:sz w:val="18"/>
                <w:szCs w:val="18"/>
                <w:u w:val="none"/>
                <w:lang w:val="en-US" w:eastAsia="zh-CN"/>
              </w:rPr>
            </w:pPr>
            <w:r>
              <w:rPr>
                <w:rFonts w:hint="eastAsia" w:ascii="宋体" w:hAnsi="宋体" w:eastAsia="宋体" w:cs="宋体"/>
                <w:i w:val="0"/>
                <w:iCs w:val="0"/>
                <w:color w:val="000000"/>
                <w:sz w:val="18"/>
                <w:szCs w:val="18"/>
                <w:u w:val="none"/>
                <w:lang w:val="en-US" w:eastAsia="zh-CN"/>
              </w:rPr>
              <w:t>30</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7D6AC9">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043AC1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10585"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45E4F3A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合计</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60F2C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7B4953">
            <w:pPr>
              <w:keepNext w:val="0"/>
              <w:keepLines w:val="0"/>
              <w:suppressLineNumbers w:val="0"/>
              <w:spacing w:before="0" w:beforeAutospacing="0" w:after="0" w:afterAutospacing="0"/>
              <w:ind w:left="0" w:right="0"/>
              <w:rPr>
                <w:rFonts w:hint="default" w:ascii="宋体" w:hAnsi="宋体" w:eastAsia="宋体" w:cs="宋体"/>
                <w:i w:val="0"/>
                <w:iCs w:val="0"/>
                <w:color w:val="000000"/>
                <w:sz w:val="18"/>
                <w:szCs w:val="18"/>
                <w:u w:val="none"/>
                <w:lang w:val="en-US" w:eastAsia="zh-CN"/>
              </w:rPr>
            </w:pPr>
            <w:r>
              <w:rPr>
                <w:rFonts w:hint="eastAsia" w:ascii="宋体" w:hAnsi="宋体" w:eastAsia="宋体" w:cs="宋体"/>
                <w:i w:val="0"/>
                <w:iCs w:val="0"/>
                <w:color w:val="000000"/>
                <w:sz w:val="18"/>
                <w:szCs w:val="18"/>
                <w:u w:val="none"/>
                <w:lang w:val="en-US" w:eastAsia="zh-CN"/>
              </w:rPr>
              <w:t>100</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ED4A54">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55DD03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3" w:hRule="atLeast"/>
        </w:trPr>
        <w:tc>
          <w:tcPr>
            <w:tcW w:w="6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868AA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评价结论</w:t>
            </w:r>
          </w:p>
        </w:tc>
        <w:tc>
          <w:tcPr>
            <w:tcW w:w="13419"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76F7D130">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自评得分100分，完成了预期绩效目标，达到了资金使用效益。</w:t>
            </w:r>
          </w:p>
        </w:tc>
      </w:tr>
      <w:tr w14:paraId="1E51CE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2" w:hRule="atLeast"/>
        </w:trPr>
        <w:tc>
          <w:tcPr>
            <w:tcW w:w="6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315A8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存在问题</w:t>
            </w:r>
          </w:p>
        </w:tc>
        <w:tc>
          <w:tcPr>
            <w:tcW w:w="13419"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61637CDC">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310E9B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3" w:hRule="atLeast"/>
        </w:trPr>
        <w:tc>
          <w:tcPr>
            <w:tcW w:w="6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8DA6A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改进措施</w:t>
            </w:r>
          </w:p>
        </w:tc>
        <w:tc>
          <w:tcPr>
            <w:tcW w:w="13419"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6755ACFF">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435709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7296"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624A66B">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w:t>
            </w:r>
          </w:p>
        </w:tc>
        <w:tc>
          <w:tcPr>
            <w:tcW w:w="6807"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1BB3F7A">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w:t>
            </w:r>
          </w:p>
        </w:tc>
      </w:tr>
      <w:tr w14:paraId="728064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684" w:type="dxa"/>
            <w:tcBorders>
              <w:top w:val="nil"/>
              <w:left w:val="nil"/>
              <w:bottom w:val="nil"/>
              <w:right w:val="nil"/>
            </w:tcBorders>
            <w:shd w:val="clear" w:color="auto" w:fill="auto"/>
            <w:vAlign w:val="center"/>
          </w:tcPr>
          <w:p w14:paraId="33251CE8">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2052" w:type="dxa"/>
            <w:tcBorders>
              <w:top w:val="nil"/>
              <w:left w:val="nil"/>
              <w:bottom w:val="nil"/>
              <w:right w:val="nil"/>
            </w:tcBorders>
            <w:shd w:val="clear" w:color="auto" w:fill="auto"/>
            <w:vAlign w:val="center"/>
          </w:tcPr>
          <w:p w14:paraId="1EFA840E">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1775" w:type="dxa"/>
            <w:tcBorders>
              <w:top w:val="nil"/>
              <w:left w:val="nil"/>
              <w:bottom w:val="nil"/>
              <w:right w:val="nil"/>
            </w:tcBorders>
            <w:shd w:val="clear" w:color="auto" w:fill="auto"/>
            <w:vAlign w:val="center"/>
          </w:tcPr>
          <w:p w14:paraId="2DC3B7DC">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2264" w:type="dxa"/>
            <w:tcBorders>
              <w:top w:val="nil"/>
              <w:left w:val="nil"/>
              <w:bottom w:val="nil"/>
              <w:right w:val="nil"/>
            </w:tcBorders>
            <w:shd w:val="clear" w:color="auto" w:fill="auto"/>
            <w:vAlign w:val="center"/>
          </w:tcPr>
          <w:p w14:paraId="712C5463">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521" w:type="dxa"/>
            <w:tcBorders>
              <w:top w:val="nil"/>
              <w:left w:val="nil"/>
              <w:bottom w:val="nil"/>
              <w:right w:val="nil"/>
            </w:tcBorders>
            <w:shd w:val="clear" w:color="auto" w:fill="auto"/>
            <w:vAlign w:val="center"/>
          </w:tcPr>
          <w:p w14:paraId="232750CB">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1677" w:type="dxa"/>
            <w:tcBorders>
              <w:top w:val="nil"/>
              <w:left w:val="nil"/>
              <w:bottom w:val="nil"/>
              <w:right w:val="nil"/>
            </w:tcBorders>
            <w:shd w:val="clear" w:color="auto" w:fill="auto"/>
            <w:vAlign w:val="center"/>
          </w:tcPr>
          <w:p w14:paraId="695D8C13">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521" w:type="dxa"/>
            <w:tcBorders>
              <w:top w:val="nil"/>
              <w:left w:val="nil"/>
              <w:bottom w:val="nil"/>
              <w:right w:val="nil"/>
            </w:tcBorders>
            <w:shd w:val="clear" w:color="auto" w:fill="auto"/>
            <w:vAlign w:val="center"/>
          </w:tcPr>
          <w:p w14:paraId="1EE5A773">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1091" w:type="dxa"/>
            <w:tcBorders>
              <w:top w:val="nil"/>
              <w:left w:val="nil"/>
              <w:bottom w:val="nil"/>
              <w:right w:val="nil"/>
            </w:tcBorders>
            <w:shd w:val="clear" w:color="auto" w:fill="auto"/>
            <w:vAlign w:val="center"/>
          </w:tcPr>
          <w:p w14:paraId="000A7C5F">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505" w:type="dxa"/>
            <w:tcBorders>
              <w:top w:val="nil"/>
              <w:left w:val="nil"/>
              <w:bottom w:val="nil"/>
              <w:right w:val="nil"/>
            </w:tcBorders>
            <w:shd w:val="clear" w:color="auto" w:fill="auto"/>
            <w:vAlign w:val="center"/>
          </w:tcPr>
          <w:p w14:paraId="5B64F921">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456" w:type="dxa"/>
            <w:tcBorders>
              <w:top w:val="nil"/>
              <w:left w:val="nil"/>
              <w:bottom w:val="nil"/>
              <w:right w:val="nil"/>
            </w:tcBorders>
            <w:shd w:val="clear" w:color="auto" w:fill="auto"/>
            <w:vAlign w:val="center"/>
          </w:tcPr>
          <w:p w14:paraId="186043C9">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2557" w:type="dxa"/>
            <w:tcBorders>
              <w:top w:val="nil"/>
              <w:left w:val="nil"/>
              <w:bottom w:val="nil"/>
              <w:right w:val="nil"/>
            </w:tcBorders>
            <w:shd w:val="clear" w:color="auto" w:fill="auto"/>
            <w:vAlign w:val="center"/>
          </w:tcPr>
          <w:p w14:paraId="51A2845E">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355530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14103" w:type="dxa"/>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0D990BBB">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部门预算项目支出绩效自评表（2023年度）</w:t>
            </w:r>
          </w:p>
        </w:tc>
      </w:tr>
      <w:tr w14:paraId="1429C7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273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AE13BB4">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项目名称</w:t>
            </w:r>
          </w:p>
        </w:tc>
        <w:tc>
          <w:tcPr>
            <w:tcW w:w="11367" w:type="dxa"/>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7CE1CD4C">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51000021Y000000011490-日常公用经费</w:t>
            </w:r>
          </w:p>
        </w:tc>
      </w:tr>
      <w:tr w14:paraId="16470F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2" w:hRule="atLeast"/>
        </w:trPr>
        <w:tc>
          <w:tcPr>
            <w:tcW w:w="273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382C266">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主管部门</w:t>
            </w:r>
          </w:p>
        </w:tc>
        <w:tc>
          <w:tcPr>
            <w:tcW w:w="675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1CA44CBF">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广元市发展和改革委员会部门</w:t>
            </w:r>
          </w:p>
        </w:tc>
        <w:tc>
          <w:tcPr>
            <w:tcW w:w="1091" w:type="dxa"/>
            <w:tcBorders>
              <w:top w:val="nil"/>
              <w:left w:val="nil"/>
              <w:bottom w:val="nil"/>
              <w:right w:val="nil"/>
            </w:tcBorders>
            <w:shd w:val="clear" w:color="auto" w:fill="auto"/>
            <w:vAlign w:val="center"/>
          </w:tcPr>
          <w:p w14:paraId="65386968">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3518"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8999F3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w:t>
            </w:r>
          </w:p>
        </w:tc>
      </w:tr>
      <w:tr w14:paraId="62151A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68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7A9D0BE">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项目基本情况</w:t>
            </w:r>
          </w:p>
        </w:tc>
        <w:tc>
          <w:tcPr>
            <w:tcW w:w="205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FAFF0B6">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1.项目年度目标完成情况</w:t>
            </w:r>
          </w:p>
        </w:tc>
        <w:tc>
          <w:tcPr>
            <w:tcW w:w="675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94BEB0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项目年度目标</w:t>
            </w:r>
          </w:p>
        </w:tc>
        <w:tc>
          <w:tcPr>
            <w:tcW w:w="4609"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69C7EE10">
            <w:pPr>
              <w:keepNext w:val="0"/>
              <w:keepLines w:val="0"/>
              <w:widowControl/>
              <w:suppressLineNumbers w:val="0"/>
              <w:spacing w:before="0" w:beforeAutospacing="0" w:after="0" w:afterAutospacing="0"/>
              <w:ind w:left="0" w:right="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14:paraId="4BD2B9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8"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32EA6C">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20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82488E">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675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447819F">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提高预算编制质量，严格执行预算，保障单位日常运转</w:t>
            </w:r>
          </w:p>
        </w:tc>
        <w:tc>
          <w:tcPr>
            <w:tcW w:w="4609"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121B27C2">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提高预算编制质量，严格执行预算，保障</w:t>
            </w:r>
            <w:r>
              <w:rPr>
                <w:rFonts w:hint="eastAsia" w:ascii="宋体" w:hAnsi="宋体" w:cs="宋体"/>
                <w:i w:val="0"/>
                <w:iCs w:val="0"/>
                <w:color w:val="000000"/>
                <w:kern w:val="0"/>
                <w:sz w:val="18"/>
                <w:szCs w:val="18"/>
                <w:u w:val="none"/>
                <w:lang w:val="en-US" w:eastAsia="zh-CN" w:bidi="ar"/>
              </w:rPr>
              <w:t>了</w:t>
            </w:r>
            <w:r>
              <w:rPr>
                <w:rFonts w:hint="default" w:ascii="宋体" w:hAnsi="宋体" w:eastAsia="宋体" w:cs="宋体"/>
                <w:i w:val="0"/>
                <w:iCs w:val="0"/>
                <w:color w:val="000000"/>
                <w:kern w:val="0"/>
                <w:sz w:val="18"/>
                <w:szCs w:val="18"/>
                <w:u w:val="none"/>
                <w:lang w:val="en-US" w:eastAsia="zh-CN" w:bidi="ar"/>
              </w:rPr>
              <w:t>单位日常运转</w:t>
            </w:r>
            <w:r>
              <w:rPr>
                <w:rFonts w:hint="eastAsia" w:ascii="宋体" w:hAnsi="宋体" w:cs="宋体"/>
                <w:i w:val="0"/>
                <w:iCs w:val="0"/>
                <w:color w:val="000000"/>
                <w:kern w:val="0"/>
                <w:sz w:val="18"/>
                <w:szCs w:val="18"/>
                <w:u w:val="none"/>
                <w:lang w:val="en-US" w:eastAsia="zh-CN" w:bidi="ar"/>
              </w:rPr>
              <w:t>。</w:t>
            </w:r>
          </w:p>
        </w:tc>
      </w:tr>
      <w:tr w14:paraId="4EDD5D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3"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ECEF5C">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8D871A">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2.项目实施内容及过程概述</w:t>
            </w:r>
          </w:p>
        </w:tc>
        <w:tc>
          <w:tcPr>
            <w:tcW w:w="11367" w:type="dxa"/>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5A1B4833">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sz w:val="18"/>
                <w:szCs w:val="18"/>
                <w:u w:val="none"/>
              </w:rPr>
              <w:t>严格按照资金下达文件及支付流程进行支付。</w:t>
            </w:r>
          </w:p>
        </w:tc>
      </w:tr>
      <w:tr w14:paraId="487012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68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1847EF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预算执行情况（10分）</w:t>
            </w: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92EA5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年度预算数（万元）</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37EE9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年初预算</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3081D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调整后预算数</w:t>
            </w: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1A07A1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预算执行数</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7F7D1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预算执行率</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3A1E3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D0A8F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得分</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BD1DB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原因</w:t>
            </w:r>
          </w:p>
        </w:tc>
      </w:tr>
      <w:tr w14:paraId="00DC9E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6"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7B387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0250C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总额</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84DD4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158.40</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FD3F1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183.60</w:t>
            </w: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5FCC38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183.60</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DBA68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F348F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01C77D">
            <w:pPr>
              <w:keepNext w:val="0"/>
              <w:keepLines w:val="0"/>
              <w:suppressLineNumbers w:val="0"/>
              <w:spacing w:before="0" w:beforeAutospacing="0" w:after="0" w:afterAutospacing="0"/>
              <w:ind w:left="0" w:right="0"/>
              <w:jc w:val="center"/>
              <w:rPr>
                <w:rFonts w:hint="default" w:ascii="宋体" w:hAnsi="宋体" w:eastAsia="宋体" w:cs="宋体"/>
                <w:i w:val="0"/>
                <w:iCs w:val="0"/>
                <w:color w:val="000000"/>
                <w:sz w:val="18"/>
                <w:szCs w:val="18"/>
                <w:u w:val="none"/>
                <w:lang w:val="en-US" w:eastAsia="zh-CN"/>
              </w:rPr>
            </w:pPr>
            <w:r>
              <w:rPr>
                <w:rFonts w:hint="eastAsia" w:ascii="宋体" w:hAnsi="宋体" w:eastAsia="宋体" w:cs="宋体"/>
                <w:i w:val="0"/>
                <w:iCs w:val="0"/>
                <w:color w:val="000000"/>
                <w:sz w:val="18"/>
                <w:szCs w:val="18"/>
                <w:u w:val="none"/>
                <w:lang w:val="en-US" w:eastAsia="zh-CN"/>
              </w:rPr>
              <w:t>10</w:t>
            </w:r>
          </w:p>
        </w:tc>
        <w:tc>
          <w:tcPr>
            <w:tcW w:w="255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1B59582">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677549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1"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B5A34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46003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其中：财政资金</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6CB37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158.40</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DFC28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183.60</w:t>
            </w: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C169F1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183.60</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2BE0E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DCD85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7016A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25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334782">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6B6AAF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7"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B461E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8C107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财政专户管理资金</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8E174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DE4BA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16A4F9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BCCF5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45EF5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7EDA5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25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410235">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28394E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04B14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AF467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单位资金</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E5BD1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93710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832889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C0EDC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E0A5F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F44E0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25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93ABDB">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1762B4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1C388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DE5DD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其他资金</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4DE5CE">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FF5351">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0720580">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3BB617">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8ACCA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5C236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25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F69F25">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5C0A32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68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152F40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绩效指标（90分）</w:t>
            </w: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AD232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一级指标</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6D6FB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二级指标</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2137A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三级指标</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22CAC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指标性质</w:t>
            </w:r>
          </w:p>
        </w:tc>
        <w:tc>
          <w:tcPr>
            <w:tcW w:w="1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983CA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指标值</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4ED9C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度量单位</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4BB27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完成值</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0EC33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5E905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得分</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EFC1F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未完成原因分析</w:t>
            </w:r>
          </w:p>
        </w:tc>
      </w:tr>
      <w:tr w14:paraId="278A83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8440D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194798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产出指标</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31F33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数量指标</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B2162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科目调整次数</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641DB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1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8CA3C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8CF3A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次</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0B98B2">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lang w:val="en-US" w:eastAsia="zh-CN"/>
              </w:rPr>
            </w:pPr>
            <w:r>
              <w:rPr>
                <w:rFonts w:hint="eastAsia" w:ascii="微软雅黑" w:hAnsi="微软雅黑" w:eastAsia="微软雅黑" w:cs="微软雅黑"/>
                <w:i/>
                <w:iCs/>
                <w:color w:val="000000"/>
                <w:sz w:val="16"/>
                <w:szCs w:val="16"/>
                <w:u w:val="none"/>
                <w:lang w:val="en-US" w:eastAsia="zh-CN"/>
              </w:rPr>
              <w:t>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44743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D8F69F">
            <w:pPr>
              <w:keepNext w:val="0"/>
              <w:keepLines w:val="0"/>
              <w:suppressLineNumbers w:val="0"/>
              <w:spacing w:before="0" w:beforeAutospacing="0" w:after="0" w:afterAutospacing="0"/>
              <w:ind w:left="0" w:right="0"/>
              <w:jc w:val="center"/>
              <w:rPr>
                <w:rFonts w:hint="default" w:ascii="宋体" w:hAnsi="宋体" w:eastAsia="宋体" w:cs="宋体"/>
                <w:i w:val="0"/>
                <w:iCs w:val="0"/>
                <w:color w:val="000000"/>
                <w:sz w:val="18"/>
                <w:szCs w:val="18"/>
                <w:u w:val="none"/>
                <w:lang w:val="en-US" w:eastAsia="zh-CN"/>
              </w:rPr>
            </w:pPr>
            <w:r>
              <w:rPr>
                <w:rFonts w:hint="eastAsia" w:ascii="宋体" w:hAnsi="宋体" w:eastAsia="宋体" w:cs="宋体"/>
                <w:i w:val="0"/>
                <w:iCs w:val="0"/>
                <w:color w:val="000000"/>
                <w:sz w:val="18"/>
                <w:szCs w:val="18"/>
                <w:u w:val="none"/>
                <w:lang w:val="en-US" w:eastAsia="zh-CN"/>
              </w:rPr>
              <w:t>20</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0F9D18">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259AA7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78"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4EAF0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7C380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1BE52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质量指标</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AAD75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预算编制准确率（计算方法为：∣（执行数-预算数）/预算数∣）</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A4516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1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626C0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3E325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D6286D">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lang w:val="en-US" w:eastAsia="zh-CN"/>
              </w:rPr>
            </w:pPr>
            <w:r>
              <w:rPr>
                <w:rFonts w:hint="eastAsia" w:ascii="微软雅黑" w:hAnsi="微软雅黑" w:eastAsia="微软雅黑" w:cs="微软雅黑"/>
                <w:i/>
                <w:iCs/>
                <w:color w:val="000000"/>
                <w:sz w:val="16"/>
                <w:szCs w:val="16"/>
                <w:u w:val="none"/>
                <w:lang w:val="en-US" w:eastAsia="zh-CN"/>
              </w:rPr>
              <w:t>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E0114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30</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92BC92">
            <w:pPr>
              <w:keepNext w:val="0"/>
              <w:keepLines w:val="0"/>
              <w:suppressLineNumbers w:val="0"/>
              <w:spacing w:before="0" w:beforeAutospacing="0" w:after="0" w:afterAutospacing="0"/>
              <w:ind w:left="0" w:right="0"/>
              <w:jc w:val="center"/>
              <w:rPr>
                <w:rFonts w:hint="default" w:ascii="宋体" w:hAnsi="宋体" w:eastAsia="宋体" w:cs="宋体"/>
                <w:i w:val="0"/>
                <w:iCs w:val="0"/>
                <w:color w:val="000000"/>
                <w:sz w:val="18"/>
                <w:szCs w:val="18"/>
                <w:u w:val="none"/>
                <w:lang w:val="en-US" w:eastAsia="zh-CN"/>
              </w:rPr>
            </w:pPr>
            <w:r>
              <w:rPr>
                <w:rFonts w:hint="eastAsia" w:ascii="宋体" w:hAnsi="宋体" w:eastAsia="宋体" w:cs="宋体"/>
                <w:i w:val="0"/>
                <w:iCs w:val="0"/>
                <w:color w:val="000000"/>
                <w:sz w:val="18"/>
                <w:szCs w:val="18"/>
                <w:u w:val="none"/>
                <w:lang w:val="en-US" w:eastAsia="zh-CN"/>
              </w:rPr>
              <w:t>30</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0A2C1C">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283578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A2B6A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06D3FF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效益指标</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242FA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经济效益指标</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87C3E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“三公经费”控制率[计算方法为：（三公经费实际支出数/预算安排数]×100%）</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8B48B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1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90980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7698A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B109B5">
            <w:pPr>
              <w:keepNext w:val="0"/>
              <w:keepLines w:val="0"/>
              <w:suppressLineNumbers w:val="0"/>
              <w:spacing w:before="0" w:beforeAutospacing="0" w:after="0" w:afterAutospacing="0"/>
              <w:ind w:left="0" w:right="0"/>
              <w:jc w:val="center"/>
              <w:rPr>
                <w:rFonts w:hint="default" w:ascii="微软雅黑" w:hAnsi="微软雅黑" w:eastAsia="微软雅黑" w:cs="微软雅黑"/>
                <w:i/>
                <w:iCs/>
                <w:color w:val="000000"/>
                <w:sz w:val="16"/>
                <w:szCs w:val="16"/>
                <w:u w:val="none"/>
                <w:lang w:val="en-US" w:eastAsia="zh-CN"/>
              </w:rPr>
            </w:pPr>
            <w:r>
              <w:rPr>
                <w:rFonts w:hint="eastAsia" w:ascii="微软雅黑" w:hAnsi="微软雅黑" w:eastAsia="微软雅黑" w:cs="微软雅黑"/>
                <w:i/>
                <w:iCs/>
                <w:color w:val="000000"/>
                <w:sz w:val="16"/>
                <w:szCs w:val="16"/>
                <w:u w:val="none"/>
                <w:lang w:val="en-US" w:eastAsia="zh-CN"/>
              </w:rPr>
              <w:t>100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FCB3D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478833">
            <w:pPr>
              <w:keepNext w:val="0"/>
              <w:keepLines w:val="0"/>
              <w:suppressLineNumbers w:val="0"/>
              <w:spacing w:before="0" w:beforeAutospacing="0" w:after="0" w:afterAutospacing="0"/>
              <w:ind w:left="0" w:right="0"/>
              <w:jc w:val="center"/>
              <w:rPr>
                <w:rFonts w:hint="default" w:ascii="宋体" w:hAnsi="宋体" w:eastAsia="宋体" w:cs="宋体"/>
                <w:i w:val="0"/>
                <w:iCs w:val="0"/>
                <w:color w:val="000000"/>
                <w:sz w:val="18"/>
                <w:szCs w:val="18"/>
                <w:u w:val="none"/>
                <w:lang w:val="en-US" w:eastAsia="zh-CN"/>
              </w:rPr>
            </w:pPr>
            <w:r>
              <w:rPr>
                <w:rFonts w:hint="eastAsia" w:ascii="宋体" w:hAnsi="宋体" w:eastAsia="宋体" w:cs="宋体"/>
                <w:i w:val="0"/>
                <w:iCs w:val="0"/>
                <w:color w:val="000000"/>
                <w:sz w:val="18"/>
                <w:szCs w:val="18"/>
                <w:u w:val="none"/>
                <w:lang w:val="en-US" w:eastAsia="zh-CN"/>
              </w:rPr>
              <w:t>20</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C3F4EA">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03B684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AC5A6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EB12E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BE1C8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社会效益指标</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9BE3D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运转保障率</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FC9B2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1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FB108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E98E5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E26003">
            <w:pPr>
              <w:keepNext w:val="0"/>
              <w:keepLines w:val="0"/>
              <w:suppressLineNumbers w:val="0"/>
              <w:spacing w:before="0" w:beforeAutospacing="0" w:after="0" w:afterAutospacing="0"/>
              <w:ind w:left="0" w:right="0"/>
              <w:jc w:val="center"/>
              <w:rPr>
                <w:rFonts w:hint="default" w:ascii="微软雅黑" w:hAnsi="微软雅黑" w:eastAsia="微软雅黑" w:cs="微软雅黑"/>
                <w:i/>
                <w:iCs/>
                <w:color w:val="000000"/>
                <w:sz w:val="16"/>
                <w:szCs w:val="16"/>
                <w:u w:val="none"/>
                <w:lang w:val="en-US" w:eastAsia="zh-CN"/>
              </w:rPr>
            </w:pPr>
            <w:r>
              <w:rPr>
                <w:rFonts w:hint="eastAsia" w:ascii="微软雅黑" w:hAnsi="微软雅黑" w:eastAsia="微软雅黑" w:cs="微软雅黑"/>
                <w:i/>
                <w:iCs/>
                <w:color w:val="000000"/>
                <w:sz w:val="16"/>
                <w:szCs w:val="16"/>
                <w:u w:val="none"/>
                <w:lang w:val="en-US" w:eastAsia="zh-CN"/>
              </w:rPr>
              <w:t>100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1646A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DE4454">
            <w:pPr>
              <w:keepNext w:val="0"/>
              <w:keepLines w:val="0"/>
              <w:suppressLineNumbers w:val="0"/>
              <w:spacing w:before="0" w:beforeAutospacing="0" w:after="0" w:afterAutospacing="0"/>
              <w:ind w:left="0" w:right="0"/>
              <w:jc w:val="center"/>
              <w:rPr>
                <w:rFonts w:hint="default" w:ascii="宋体" w:hAnsi="宋体" w:eastAsia="宋体" w:cs="宋体"/>
                <w:i w:val="0"/>
                <w:iCs w:val="0"/>
                <w:color w:val="000000"/>
                <w:sz w:val="18"/>
                <w:szCs w:val="18"/>
                <w:u w:val="none"/>
                <w:lang w:val="en-US" w:eastAsia="zh-CN"/>
              </w:rPr>
            </w:pPr>
            <w:r>
              <w:rPr>
                <w:rFonts w:hint="eastAsia" w:ascii="宋体" w:hAnsi="宋体" w:eastAsia="宋体" w:cs="宋体"/>
                <w:i w:val="0"/>
                <w:iCs w:val="0"/>
                <w:color w:val="000000"/>
                <w:sz w:val="18"/>
                <w:szCs w:val="18"/>
                <w:u w:val="none"/>
                <w:lang w:val="en-US" w:eastAsia="zh-CN"/>
              </w:rPr>
              <w:t>20</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18DFE7">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774421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10585"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3FCC9BC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合计</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8BD72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2D7465">
            <w:pPr>
              <w:keepNext w:val="0"/>
              <w:keepLines w:val="0"/>
              <w:suppressLineNumbers w:val="0"/>
              <w:spacing w:before="0" w:beforeAutospacing="0" w:after="0" w:afterAutospacing="0"/>
              <w:ind w:left="0" w:right="0"/>
              <w:rPr>
                <w:rFonts w:hint="default" w:ascii="宋体" w:hAnsi="宋体" w:eastAsia="宋体" w:cs="宋体"/>
                <w:i w:val="0"/>
                <w:iCs w:val="0"/>
                <w:color w:val="000000"/>
                <w:sz w:val="18"/>
                <w:szCs w:val="18"/>
                <w:u w:val="none"/>
                <w:lang w:val="en-US" w:eastAsia="zh-CN"/>
              </w:rPr>
            </w:pPr>
            <w:r>
              <w:rPr>
                <w:rFonts w:hint="eastAsia" w:ascii="宋体" w:hAnsi="宋体" w:eastAsia="宋体" w:cs="宋体"/>
                <w:i w:val="0"/>
                <w:iCs w:val="0"/>
                <w:color w:val="000000"/>
                <w:sz w:val="18"/>
                <w:szCs w:val="18"/>
                <w:u w:val="none"/>
                <w:lang w:val="en-US" w:eastAsia="zh-CN"/>
              </w:rPr>
              <w:t>100</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28B02D">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3FA151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3" w:hRule="atLeast"/>
        </w:trPr>
        <w:tc>
          <w:tcPr>
            <w:tcW w:w="6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B44D5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评价结论</w:t>
            </w:r>
          </w:p>
        </w:tc>
        <w:tc>
          <w:tcPr>
            <w:tcW w:w="13419"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0437E32B">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自评得分100分，完成了预期绩效目标，达到了资金使用效益。</w:t>
            </w:r>
          </w:p>
        </w:tc>
      </w:tr>
      <w:tr w14:paraId="352B85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2" w:hRule="atLeast"/>
        </w:trPr>
        <w:tc>
          <w:tcPr>
            <w:tcW w:w="6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8F17D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存在问题</w:t>
            </w:r>
          </w:p>
        </w:tc>
        <w:tc>
          <w:tcPr>
            <w:tcW w:w="13419"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602C7119">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7CB80F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3" w:hRule="atLeast"/>
        </w:trPr>
        <w:tc>
          <w:tcPr>
            <w:tcW w:w="6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18ECA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改进措施</w:t>
            </w:r>
          </w:p>
        </w:tc>
        <w:tc>
          <w:tcPr>
            <w:tcW w:w="13419"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4DDFFD9C">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63287A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7296"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0E032417">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w:t>
            </w:r>
          </w:p>
        </w:tc>
        <w:tc>
          <w:tcPr>
            <w:tcW w:w="6807"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8A65B68">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w:t>
            </w:r>
          </w:p>
        </w:tc>
      </w:tr>
      <w:tr w14:paraId="34EDF8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684" w:type="dxa"/>
            <w:tcBorders>
              <w:top w:val="nil"/>
              <w:left w:val="nil"/>
              <w:bottom w:val="nil"/>
              <w:right w:val="nil"/>
            </w:tcBorders>
            <w:shd w:val="clear" w:color="auto" w:fill="auto"/>
            <w:vAlign w:val="center"/>
          </w:tcPr>
          <w:p w14:paraId="449D186A">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2052" w:type="dxa"/>
            <w:tcBorders>
              <w:top w:val="nil"/>
              <w:left w:val="nil"/>
              <w:bottom w:val="nil"/>
              <w:right w:val="nil"/>
            </w:tcBorders>
            <w:shd w:val="clear" w:color="auto" w:fill="auto"/>
            <w:vAlign w:val="center"/>
          </w:tcPr>
          <w:p w14:paraId="75D0A4EF">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1775" w:type="dxa"/>
            <w:tcBorders>
              <w:top w:val="nil"/>
              <w:left w:val="nil"/>
              <w:bottom w:val="nil"/>
              <w:right w:val="nil"/>
            </w:tcBorders>
            <w:shd w:val="clear" w:color="auto" w:fill="auto"/>
            <w:vAlign w:val="center"/>
          </w:tcPr>
          <w:p w14:paraId="54CB3F87">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2264" w:type="dxa"/>
            <w:tcBorders>
              <w:top w:val="nil"/>
              <w:left w:val="nil"/>
              <w:bottom w:val="nil"/>
              <w:right w:val="nil"/>
            </w:tcBorders>
            <w:shd w:val="clear" w:color="auto" w:fill="auto"/>
            <w:vAlign w:val="center"/>
          </w:tcPr>
          <w:p w14:paraId="44BE56D9">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521" w:type="dxa"/>
            <w:tcBorders>
              <w:top w:val="nil"/>
              <w:left w:val="nil"/>
              <w:bottom w:val="nil"/>
              <w:right w:val="nil"/>
            </w:tcBorders>
            <w:shd w:val="clear" w:color="auto" w:fill="auto"/>
            <w:vAlign w:val="center"/>
          </w:tcPr>
          <w:p w14:paraId="4BC5C8E9">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1677" w:type="dxa"/>
            <w:tcBorders>
              <w:top w:val="nil"/>
              <w:left w:val="nil"/>
              <w:bottom w:val="nil"/>
              <w:right w:val="nil"/>
            </w:tcBorders>
            <w:shd w:val="clear" w:color="auto" w:fill="auto"/>
            <w:vAlign w:val="center"/>
          </w:tcPr>
          <w:p w14:paraId="7DC3F2A6">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521" w:type="dxa"/>
            <w:tcBorders>
              <w:top w:val="nil"/>
              <w:left w:val="nil"/>
              <w:bottom w:val="nil"/>
              <w:right w:val="nil"/>
            </w:tcBorders>
            <w:shd w:val="clear" w:color="auto" w:fill="auto"/>
            <w:vAlign w:val="center"/>
          </w:tcPr>
          <w:p w14:paraId="08E98931">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1091" w:type="dxa"/>
            <w:tcBorders>
              <w:top w:val="nil"/>
              <w:left w:val="nil"/>
              <w:bottom w:val="nil"/>
              <w:right w:val="nil"/>
            </w:tcBorders>
            <w:shd w:val="clear" w:color="auto" w:fill="auto"/>
            <w:vAlign w:val="center"/>
          </w:tcPr>
          <w:p w14:paraId="5A0837C3">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505" w:type="dxa"/>
            <w:tcBorders>
              <w:top w:val="nil"/>
              <w:left w:val="nil"/>
              <w:bottom w:val="nil"/>
              <w:right w:val="nil"/>
            </w:tcBorders>
            <w:shd w:val="clear" w:color="auto" w:fill="auto"/>
            <w:vAlign w:val="center"/>
          </w:tcPr>
          <w:p w14:paraId="15AED402">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456" w:type="dxa"/>
            <w:tcBorders>
              <w:top w:val="nil"/>
              <w:left w:val="nil"/>
              <w:bottom w:val="nil"/>
              <w:right w:val="nil"/>
            </w:tcBorders>
            <w:shd w:val="clear" w:color="auto" w:fill="auto"/>
            <w:vAlign w:val="center"/>
          </w:tcPr>
          <w:p w14:paraId="677D188C">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2557" w:type="dxa"/>
            <w:tcBorders>
              <w:top w:val="nil"/>
              <w:left w:val="nil"/>
              <w:bottom w:val="nil"/>
              <w:right w:val="nil"/>
            </w:tcBorders>
            <w:shd w:val="clear" w:color="auto" w:fill="auto"/>
            <w:vAlign w:val="center"/>
          </w:tcPr>
          <w:p w14:paraId="53A5BD95">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322FE1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14103" w:type="dxa"/>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4A94B5B2">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部门预算项目支出绩效自评表（2023年度）</w:t>
            </w:r>
          </w:p>
        </w:tc>
      </w:tr>
      <w:tr w14:paraId="0883A3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273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2956CDA">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项目名称</w:t>
            </w:r>
          </w:p>
        </w:tc>
        <w:tc>
          <w:tcPr>
            <w:tcW w:w="11367" w:type="dxa"/>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79E0315F">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51080021Y000000176770-其他公用经费（福利、工会、公车补贴、党建、退休活动）</w:t>
            </w:r>
          </w:p>
        </w:tc>
      </w:tr>
      <w:tr w14:paraId="22A4ED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2" w:hRule="atLeast"/>
        </w:trPr>
        <w:tc>
          <w:tcPr>
            <w:tcW w:w="273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9C041C0">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主管部门</w:t>
            </w:r>
          </w:p>
        </w:tc>
        <w:tc>
          <w:tcPr>
            <w:tcW w:w="675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5E0F295C">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广元市发展和改革委员会部门</w:t>
            </w:r>
          </w:p>
        </w:tc>
        <w:tc>
          <w:tcPr>
            <w:tcW w:w="1091" w:type="dxa"/>
            <w:tcBorders>
              <w:top w:val="nil"/>
              <w:left w:val="nil"/>
              <w:bottom w:val="nil"/>
              <w:right w:val="nil"/>
            </w:tcBorders>
            <w:shd w:val="clear" w:color="auto" w:fill="auto"/>
            <w:vAlign w:val="center"/>
          </w:tcPr>
          <w:p w14:paraId="37CA65AF">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3518"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D9E5E2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w:t>
            </w:r>
          </w:p>
        </w:tc>
      </w:tr>
      <w:tr w14:paraId="65E18D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68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E9C0721">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项目基本情况</w:t>
            </w:r>
          </w:p>
        </w:tc>
        <w:tc>
          <w:tcPr>
            <w:tcW w:w="205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3E6D331">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1.项目年度目标完成情况</w:t>
            </w:r>
          </w:p>
        </w:tc>
        <w:tc>
          <w:tcPr>
            <w:tcW w:w="675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1DB9CF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项目年度目标</w:t>
            </w:r>
          </w:p>
        </w:tc>
        <w:tc>
          <w:tcPr>
            <w:tcW w:w="4609"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1F2D3882">
            <w:pPr>
              <w:keepNext w:val="0"/>
              <w:keepLines w:val="0"/>
              <w:widowControl/>
              <w:suppressLineNumbers w:val="0"/>
              <w:spacing w:before="0" w:beforeAutospacing="0" w:after="0" w:afterAutospacing="0"/>
              <w:ind w:left="0" w:right="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14:paraId="41539F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8"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54BD90">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20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7F422B">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675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5A247370">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提高预算编制质量，严格执行预算，保障单位日常运转</w:t>
            </w:r>
          </w:p>
        </w:tc>
        <w:tc>
          <w:tcPr>
            <w:tcW w:w="4609"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3F818CC3">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提高预算编制质量，严格执行预算，保障单位日常运转</w:t>
            </w:r>
          </w:p>
        </w:tc>
      </w:tr>
      <w:tr w14:paraId="43F66B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3"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3A021F">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357675">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2.项目实施内容及过程概述</w:t>
            </w:r>
          </w:p>
        </w:tc>
        <w:tc>
          <w:tcPr>
            <w:tcW w:w="11367" w:type="dxa"/>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0C354BA1">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sz w:val="18"/>
                <w:szCs w:val="18"/>
                <w:u w:val="none"/>
              </w:rPr>
              <w:t>严格按照资金下达文件及支付流程进行支付。</w:t>
            </w:r>
          </w:p>
        </w:tc>
      </w:tr>
      <w:tr w14:paraId="60280E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68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E435B8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预算执行情况（10分）</w:t>
            </w: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9FE82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年度预算数（万元）</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026FA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年初预算</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33003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调整后预算数</w:t>
            </w: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0DA25E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预算执行数</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C94FF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预算执行率</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F5F0A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9B71E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得分</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F55CC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原因</w:t>
            </w:r>
          </w:p>
        </w:tc>
      </w:tr>
      <w:tr w14:paraId="1A1E44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6"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2080D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2708A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总额</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399D6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146.42</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A61C1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146.42</w:t>
            </w: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BD9F31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146.42</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FD9A1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76F91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C86E90">
            <w:pPr>
              <w:keepNext w:val="0"/>
              <w:keepLines w:val="0"/>
              <w:suppressLineNumbers w:val="0"/>
              <w:spacing w:before="0" w:beforeAutospacing="0" w:after="0" w:afterAutospacing="0"/>
              <w:ind w:left="0" w:right="0"/>
              <w:jc w:val="center"/>
              <w:rPr>
                <w:rFonts w:hint="default" w:ascii="宋体" w:hAnsi="宋体" w:eastAsia="宋体" w:cs="宋体"/>
                <w:i w:val="0"/>
                <w:iCs w:val="0"/>
                <w:color w:val="000000"/>
                <w:sz w:val="18"/>
                <w:szCs w:val="18"/>
                <w:u w:val="none"/>
                <w:lang w:val="en-US" w:eastAsia="zh-CN"/>
              </w:rPr>
            </w:pPr>
            <w:r>
              <w:rPr>
                <w:rFonts w:hint="eastAsia" w:ascii="宋体" w:hAnsi="宋体" w:eastAsia="宋体" w:cs="宋体"/>
                <w:i w:val="0"/>
                <w:iCs w:val="0"/>
                <w:color w:val="000000"/>
                <w:sz w:val="18"/>
                <w:szCs w:val="18"/>
                <w:u w:val="none"/>
                <w:lang w:val="en-US" w:eastAsia="zh-CN"/>
              </w:rPr>
              <w:t>10</w:t>
            </w:r>
          </w:p>
        </w:tc>
        <w:tc>
          <w:tcPr>
            <w:tcW w:w="255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7EC7170">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67F574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1"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C5238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CD684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其中：财政资金</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C9604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146.42</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6B48D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146.42</w:t>
            </w: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96D7F8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146.42</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4DD32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B811A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B5200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25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78563C">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09606A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7"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FC021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C867C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财政专户管理资金</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840EB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91597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8C9761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41D14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60263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E1480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25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C9C83B">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6169EA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9B95F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EF555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单位资金</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D8F59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F5958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8B0718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D897E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A9981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3ECE9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25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CD15E6">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6C632E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82A76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CF6C2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其他资金</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7A5D78">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A645EB">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DA5A9FA">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478D9D">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C9098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CC866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25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E62A5A">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336528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68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11E074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绩效指标（90分）</w:t>
            </w: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7BE54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一级指标</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9A6FB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二级指标</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AAD8C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三级指标</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47E52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指标性质</w:t>
            </w:r>
          </w:p>
        </w:tc>
        <w:tc>
          <w:tcPr>
            <w:tcW w:w="1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F6F5A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指标值</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D3660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度量单位</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7A24B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完成值</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1FF48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58137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得分</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1C442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未完成原因分析</w:t>
            </w:r>
          </w:p>
        </w:tc>
      </w:tr>
      <w:tr w14:paraId="5DA1AA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3BEC6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A705B4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产出指标</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E511C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数量指标</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0CEAF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科目调整次数</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C2219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1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87FFC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E96BF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次</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A099C7">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lang w:val="en-US" w:eastAsia="zh-CN"/>
              </w:rPr>
            </w:pPr>
            <w:r>
              <w:rPr>
                <w:rFonts w:hint="eastAsia" w:ascii="微软雅黑" w:hAnsi="微软雅黑" w:eastAsia="微软雅黑" w:cs="微软雅黑"/>
                <w:i/>
                <w:iCs/>
                <w:color w:val="000000"/>
                <w:sz w:val="16"/>
                <w:szCs w:val="16"/>
                <w:u w:val="none"/>
                <w:lang w:val="en-US" w:eastAsia="zh-CN"/>
              </w:rPr>
              <w:t>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EDA05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EC4E01">
            <w:pPr>
              <w:keepNext w:val="0"/>
              <w:keepLines w:val="0"/>
              <w:suppressLineNumbers w:val="0"/>
              <w:spacing w:before="0" w:beforeAutospacing="0" w:after="0" w:afterAutospacing="0"/>
              <w:ind w:left="0" w:right="0"/>
              <w:jc w:val="center"/>
              <w:rPr>
                <w:rFonts w:hint="default" w:ascii="宋体" w:hAnsi="宋体" w:eastAsia="宋体" w:cs="宋体"/>
                <w:i w:val="0"/>
                <w:iCs w:val="0"/>
                <w:color w:val="000000"/>
                <w:sz w:val="18"/>
                <w:szCs w:val="18"/>
                <w:u w:val="none"/>
                <w:lang w:val="en-US" w:eastAsia="zh-CN"/>
              </w:rPr>
            </w:pPr>
            <w:r>
              <w:rPr>
                <w:rFonts w:hint="eastAsia" w:ascii="宋体" w:hAnsi="宋体" w:eastAsia="宋体" w:cs="宋体"/>
                <w:i w:val="0"/>
                <w:iCs w:val="0"/>
                <w:color w:val="000000"/>
                <w:sz w:val="18"/>
                <w:szCs w:val="18"/>
                <w:u w:val="none"/>
                <w:lang w:val="en-US" w:eastAsia="zh-CN"/>
              </w:rPr>
              <w:t>20</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FE567A">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6F5A02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78"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ACF08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3DA44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11579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质量指标</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B52C1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预算编制准确率（计算方法为：∣（执行数-预算数）/预算数∣）</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AF7C7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1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89883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BE07E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52828D">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lang w:val="en-US" w:eastAsia="zh-CN"/>
              </w:rPr>
            </w:pPr>
            <w:r>
              <w:rPr>
                <w:rFonts w:hint="eastAsia" w:ascii="微软雅黑" w:hAnsi="微软雅黑" w:eastAsia="微软雅黑" w:cs="微软雅黑"/>
                <w:i/>
                <w:iCs/>
                <w:color w:val="000000"/>
                <w:sz w:val="16"/>
                <w:szCs w:val="16"/>
                <w:u w:val="none"/>
                <w:lang w:val="en-US" w:eastAsia="zh-CN"/>
              </w:rPr>
              <w:t>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73C5E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30</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35DFB9">
            <w:pPr>
              <w:keepNext w:val="0"/>
              <w:keepLines w:val="0"/>
              <w:suppressLineNumbers w:val="0"/>
              <w:spacing w:before="0" w:beforeAutospacing="0" w:after="0" w:afterAutospacing="0"/>
              <w:ind w:left="0" w:right="0"/>
              <w:jc w:val="center"/>
              <w:rPr>
                <w:rFonts w:hint="default" w:ascii="宋体" w:hAnsi="宋体" w:eastAsia="宋体" w:cs="宋体"/>
                <w:i w:val="0"/>
                <w:iCs w:val="0"/>
                <w:color w:val="000000"/>
                <w:sz w:val="18"/>
                <w:szCs w:val="18"/>
                <w:u w:val="none"/>
                <w:lang w:val="en-US" w:eastAsia="zh-CN"/>
              </w:rPr>
            </w:pPr>
            <w:r>
              <w:rPr>
                <w:rFonts w:hint="eastAsia" w:ascii="宋体" w:hAnsi="宋体" w:eastAsia="宋体" w:cs="宋体"/>
                <w:i w:val="0"/>
                <w:iCs w:val="0"/>
                <w:color w:val="000000"/>
                <w:sz w:val="18"/>
                <w:szCs w:val="18"/>
                <w:u w:val="none"/>
                <w:lang w:val="en-US" w:eastAsia="zh-CN"/>
              </w:rPr>
              <w:t>30</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65AE6A">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3DA062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45698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64A3DA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效益指标</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33833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经济效益指标</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3AA06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“三公经费”控制率[计算方法为：（三公经费实际支出数/预算安排数]×100%）</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F6E25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1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8110F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4DC01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428476">
            <w:pPr>
              <w:keepNext w:val="0"/>
              <w:keepLines w:val="0"/>
              <w:suppressLineNumbers w:val="0"/>
              <w:spacing w:before="0" w:beforeAutospacing="0" w:after="0" w:afterAutospacing="0"/>
              <w:ind w:left="0" w:right="0"/>
              <w:jc w:val="center"/>
              <w:rPr>
                <w:rFonts w:hint="default" w:ascii="微软雅黑" w:hAnsi="微软雅黑" w:eastAsia="微软雅黑" w:cs="微软雅黑"/>
                <w:i/>
                <w:iCs/>
                <w:color w:val="000000"/>
                <w:sz w:val="16"/>
                <w:szCs w:val="16"/>
                <w:u w:val="none"/>
                <w:lang w:val="en-US" w:eastAsia="zh-CN"/>
              </w:rPr>
            </w:pPr>
            <w:r>
              <w:rPr>
                <w:rFonts w:hint="eastAsia" w:ascii="微软雅黑" w:hAnsi="微软雅黑" w:eastAsia="微软雅黑" w:cs="微软雅黑"/>
                <w:i/>
                <w:iCs/>
                <w:color w:val="000000"/>
                <w:sz w:val="16"/>
                <w:szCs w:val="16"/>
                <w:u w:val="none"/>
                <w:lang w:val="en-US" w:eastAsia="zh-CN"/>
              </w:rPr>
              <w:t>100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3C382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E50593">
            <w:pPr>
              <w:keepNext w:val="0"/>
              <w:keepLines w:val="0"/>
              <w:suppressLineNumbers w:val="0"/>
              <w:spacing w:before="0" w:beforeAutospacing="0" w:after="0" w:afterAutospacing="0"/>
              <w:ind w:left="0" w:right="0"/>
              <w:jc w:val="center"/>
              <w:rPr>
                <w:rFonts w:hint="default" w:ascii="宋体" w:hAnsi="宋体" w:eastAsia="宋体" w:cs="宋体"/>
                <w:i w:val="0"/>
                <w:iCs w:val="0"/>
                <w:color w:val="000000"/>
                <w:sz w:val="18"/>
                <w:szCs w:val="18"/>
                <w:u w:val="none"/>
                <w:lang w:val="en-US" w:eastAsia="zh-CN"/>
              </w:rPr>
            </w:pPr>
            <w:r>
              <w:rPr>
                <w:rFonts w:hint="eastAsia" w:ascii="宋体" w:hAnsi="宋体" w:eastAsia="宋体" w:cs="宋体"/>
                <w:i w:val="0"/>
                <w:iCs w:val="0"/>
                <w:color w:val="000000"/>
                <w:sz w:val="18"/>
                <w:szCs w:val="18"/>
                <w:u w:val="none"/>
                <w:lang w:val="en-US" w:eastAsia="zh-CN"/>
              </w:rPr>
              <w:t>20</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0E131F">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222864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FBB10B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10594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26AF8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社会效益指标</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12E13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运转保障率</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7B969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1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E5891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A37B9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F55812">
            <w:pPr>
              <w:keepNext w:val="0"/>
              <w:keepLines w:val="0"/>
              <w:suppressLineNumbers w:val="0"/>
              <w:spacing w:before="0" w:beforeAutospacing="0" w:after="0" w:afterAutospacing="0"/>
              <w:ind w:left="0" w:right="0"/>
              <w:jc w:val="center"/>
              <w:rPr>
                <w:rFonts w:hint="default" w:ascii="微软雅黑" w:hAnsi="微软雅黑" w:eastAsia="微软雅黑" w:cs="微软雅黑"/>
                <w:i/>
                <w:iCs/>
                <w:color w:val="000000"/>
                <w:sz w:val="16"/>
                <w:szCs w:val="16"/>
                <w:u w:val="none"/>
                <w:lang w:val="en-US" w:eastAsia="zh-CN"/>
              </w:rPr>
            </w:pPr>
            <w:r>
              <w:rPr>
                <w:rFonts w:hint="eastAsia" w:ascii="微软雅黑" w:hAnsi="微软雅黑" w:eastAsia="微软雅黑" w:cs="微软雅黑"/>
                <w:i/>
                <w:iCs/>
                <w:color w:val="000000"/>
                <w:sz w:val="16"/>
                <w:szCs w:val="16"/>
                <w:u w:val="none"/>
                <w:lang w:val="en-US" w:eastAsia="zh-CN"/>
              </w:rPr>
              <w:t>100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178AF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314F79">
            <w:pPr>
              <w:keepNext w:val="0"/>
              <w:keepLines w:val="0"/>
              <w:suppressLineNumbers w:val="0"/>
              <w:spacing w:before="0" w:beforeAutospacing="0" w:after="0" w:afterAutospacing="0"/>
              <w:ind w:left="0" w:right="0"/>
              <w:jc w:val="center"/>
              <w:rPr>
                <w:rFonts w:hint="default" w:ascii="宋体" w:hAnsi="宋体" w:eastAsia="宋体" w:cs="宋体"/>
                <w:i w:val="0"/>
                <w:iCs w:val="0"/>
                <w:color w:val="000000"/>
                <w:sz w:val="18"/>
                <w:szCs w:val="18"/>
                <w:u w:val="none"/>
                <w:lang w:val="en-US" w:eastAsia="zh-CN"/>
              </w:rPr>
            </w:pPr>
            <w:r>
              <w:rPr>
                <w:rFonts w:hint="eastAsia" w:ascii="宋体" w:hAnsi="宋体" w:eastAsia="宋体" w:cs="宋体"/>
                <w:i w:val="0"/>
                <w:iCs w:val="0"/>
                <w:color w:val="000000"/>
                <w:sz w:val="18"/>
                <w:szCs w:val="18"/>
                <w:u w:val="none"/>
                <w:lang w:val="en-US" w:eastAsia="zh-CN"/>
              </w:rPr>
              <w:t>20</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2D3E19">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752BAB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10585"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68C7AA8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合计</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1AC64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A8FBB4">
            <w:pPr>
              <w:keepNext w:val="0"/>
              <w:keepLines w:val="0"/>
              <w:suppressLineNumbers w:val="0"/>
              <w:spacing w:before="0" w:beforeAutospacing="0" w:after="0" w:afterAutospacing="0"/>
              <w:ind w:left="0" w:right="0"/>
              <w:rPr>
                <w:rFonts w:hint="default" w:ascii="宋体" w:hAnsi="宋体" w:eastAsia="宋体" w:cs="宋体"/>
                <w:i w:val="0"/>
                <w:iCs w:val="0"/>
                <w:color w:val="000000"/>
                <w:sz w:val="18"/>
                <w:szCs w:val="18"/>
                <w:u w:val="none"/>
                <w:lang w:val="en-US" w:eastAsia="zh-CN"/>
              </w:rPr>
            </w:pPr>
            <w:r>
              <w:rPr>
                <w:rFonts w:hint="eastAsia" w:ascii="宋体" w:hAnsi="宋体" w:eastAsia="宋体" w:cs="宋体"/>
                <w:i w:val="0"/>
                <w:iCs w:val="0"/>
                <w:color w:val="000000"/>
                <w:sz w:val="18"/>
                <w:szCs w:val="18"/>
                <w:u w:val="none"/>
                <w:lang w:val="en-US" w:eastAsia="zh-CN"/>
              </w:rPr>
              <w:t>100</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A9DABD">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069921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3" w:hRule="atLeast"/>
        </w:trPr>
        <w:tc>
          <w:tcPr>
            <w:tcW w:w="6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CB2F4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评价结论</w:t>
            </w:r>
          </w:p>
        </w:tc>
        <w:tc>
          <w:tcPr>
            <w:tcW w:w="13419"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4118EED8">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自评得分100分，完成了预期绩效目标，达到了资金使用效益。</w:t>
            </w:r>
          </w:p>
        </w:tc>
      </w:tr>
      <w:tr w14:paraId="16FFC5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2" w:hRule="atLeast"/>
        </w:trPr>
        <w:tc>
          <w:tcPr>
            <w:tcW w:w="6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6B690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存在问题</w:t>
            </w:r>
          </w:p>
        </w:tc>
        <w:tc>
          <w:tcPr>
            <w:tcW w:w="13419"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17D73CC3">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lang w:val="en-US" w:eastAsia="zh-CN"/>
              </w:rPr>
            </w:pPr>
            <w:r>
              <w:rPr>
                <w:rFonts w:hint="eastAsia" w:ascii="微软雅黑" w:hAnsi="微软雅黑" w:eastAsia="微软雅黑" w:cs="微软雅黑"/>
                <w:i/>
                <w:iCs/>
                <w:color w:val="000000"/>
                <w:sz w:val="16"/>
                <w:szCs w:val="16"/>
                <w:u w:val="none"/>
                <w:lang w:val="en-US" w:eastAsia="zh-CN"/>
              </w:rPr>
              <w:t>无</w:t>
            </w:r>
          </w:p>
        </w:tc>
      </w:tr>
      <w:tr w14:paraId="4CC798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3" w:hRule="atLeast"/>
        </w:trPr>
        <w:tc>
          <w:tcPr>
            <w:tcW w:w="6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C4ECB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改进措施</w:t>
            </w:r>
          </w:p>
        </w:tc>
        <w:tc>
          <w:tcPr>
            <w:tcW w:w="13419"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7F585AE4">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0EE145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7296"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11DC8EF4">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w:t>
            </w:r>
          </w:p>
        </w:tc>
        <w:tc>
          <w:tcPr>
            <w:tcW w:w="6807"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859F2F9">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w:t>
            </w:r>
          </w:p>
        </w:tc>
      </w:tr>
      <w:tr w14:paraId="5F4C96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684" w:type="dxa"/>
            <w:tcBorders>
              <w:top w:val="nil"/>
              <w:left w:val="nil"/>
              <w:bottom w:val="nil"/>
              <w:right w:val="nil"/>
            </w:tcBorders>
            <w:shd w:val="clear" w:color="auto" w:fill="auto"/>
            <w:vAlign w:val="center"/>
          </w:tcPr>
          <w:p w14:paraId="67782B3B">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2052" w:type="dxa"/>
            <w:tcBorders>
              <w:top w:val="nil"/>
              <w:left w:val="nil"/>
              <w:bottom w:val="nil"/>
              <w:right w:val="nil"/>
            </w:tcBorders>
            <w:shd w:val="clear" w:color="auto" w:fill="auto"/>
            <w:vAlign w:val="center"/>
          </w:tcPr>
          <w:p w14:paraId="40372237">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1775" w:type="dxa"/>
            <w:tcBorders>
              <w:top w:val="nil"/>
              <w:left w:val="nil"/>
              <w:bottom w:val="nil"/>
              <w:right w:val="nil"/>
            </w:tcBorders>
            <w:shd w:val="clear" w:color="auto" w:fill="auto"/>
            <w:vAlign w:val="center"/>
          </w:tcPr>
          <w:p w14:paraId="3CFD3DD7">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2264" w:type="dxa"/>
            <w:tcBorders>
              <w:top w:val="nil"/>
              <w:left w:val="nil"/>
              <w:bottom w:val="nil"/>
              <w:right w:val="nil"/>
            </w:tcBorders>
            <w:shd w:val="clear" w:color="auto" w:fill="auto"/>
            <w:vAlign w:val="center"/>
          </w:tcPr>
          <w:p w14:paraId="698EE2C4">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521" w:type="dxa"/>
            <w:tcBorders>
              <w:top w:val="nil"/>
              <w:left w:val="nil"/>
              <w:bottom w:val="nil"/>
              <w:right w:val="nil"/>
            </w:tcBorders>
            <w:shd w:val="clear" w:color="auto" w:fill="auto"/>
            <w:vAlign w:val="center"/>
          </w:tcPr>
          <w:p w14:paraId="5BC57391">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1677" w:type="dxa"/>
            <w:tcBorders>
              <w:top w:val="nil"/>
              <w:left w:val="nil"/>
              <w:bottom w:val="nil"/>
              <w:right w:val="nil"/>
            </w:tcBorders>
            <w:shd w:val="clear" w:color="auto" w:fill="auto"/>
            <w:vAlign w:val="center"/>
          </w:tcPr>
          <w:p w14:paraId="38BF52E1">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521" w:type="dxa"/>
            <w:tcBorders>
              <w:top w:val="nil"/>
              <w:left w:val="nil"/>
              <w:bottom w:val="nil"/>
              <w:right w:val="nil"/>
            </w:tcBorders>
            <w:shd w:val="clear" w:color="auto" w:fill="auto"/>
            <w:vAlign w:val="center"/>
          </w:tcPr>
          <w:p w14:paraId="1786ECE1">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1091" w:type="dxa"/>
            <w:tcBorders>
              <w:top w:val="nil"/>
              <w:left w:val="nil"/>
              <w:bottom w:val="nil"/>
              <w:right w:val="nil"/>
            </w:tcBorders>
            <w:shd w:val="clear" w:color="auto" w:fill="auto"/>
            <w:vAlign w:val="center"/>
          </w:tcPr>
          <w:p w14:paraId="7999CC1E">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505" w:type="dxa"/>
            <w:tcBorders>
              <w:top w:val="nil"/>
              <w:left w:val="nil"/>
              <w:bottom w:val="nil"/>
              <w:right w:val="nil"/>
            </w:tcBorders>
            <w:shd w:val="clear" w:color="auto" w:fill="auto"/>
            <w:vAlign w:val="center"/>
          </w:tcPr>
          <w:p w14:paraId="269DBF61">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456" w:type="dxa"/>
            <w:tcBorders>
              <w:top w:val="nil"/>
              <w:left w:val="nil"/>
              <w:bottom w:val="nil"/>
              <w:right w:val="nil"/>
            </w:tcBorders>
            <w:shd w:val="clear" w:color="auto" w:fill="auto"/>
            <w:vAlign w:val="center"/>
          </w:tcPr>
          <w:p w14:paraId="052261D5">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2557" w:type="dxa"/>
            <w:tcBorders>
              <w:top w:val="nil"/>
              <w:left w:val="nil"/>
              <w:bottom w:val="nil"/>
              <w:right w:val="nil"/>
            </w:tcBorders>
            <w:shd w:val="clear" w:color="auto" w:fill="auto"/>
            <w:vAlign w:val="center"/>
          </w:tcPr>
          <w:p w14:paraId="03A5B508">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13FD0D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14103" w:type="dxa"/>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7DC6B68A">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部门预算项目支出绩效自评表（2023年度）</w:t>
            </w:r>
          </w:p>
        </w:tc>
      </w:tr>
      <w:tr w14:paraId="495CE5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273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E897D3C">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项目名称</w:t>
            </w:r>
          </w:p>
        </w:tc>
        <w:tc>
          <w:tcPr>
            <w:tcW w:w="11367" w:type="dxa"/>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1B1AB798">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51080022R000000267546-工资性支出（事业）</w:t>
            </w:r>
          </w:p>
        </w:tc>
      </w:tr>
      <w:tr w14:paraId="495BFD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2" w:hRule="atLeast"/>
        </w:trPr>
        <w:tc>
          <w:tcPr>
            <w:tcW w:w="273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76BD40D">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主管部门</w:t>
            </w:r>
          </w:p>
        </w:tc>
        <w:tc>
          <w:tcPr>
            <w:tcW w:w="675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FFC8FE4">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广元市发展和改革委员会部门</w:t>
            </w:r>
          </w:p>
        </w:tc>
        <w:tc>
          <w:tcPr>
            <w:tcW w:w="1091" w:type="dxa"/>
            <w:tcBorders>
              <w:top w:val="nil"/>
              <w:left w:val="nil"/>
              <w:bottom w:val="nil"/>
              <w:right w:val="nil"/>
            </w:tcBorders>
            <w:shd w:val="clear" w:color="auto" w:fill="auto"/>
            <w:vAlign w:val="center"/>
          </w:tcPr>
          <w:p w14:paraId="66C2B5AC">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3518"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BDF6DD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w:t>
            </w:r>
          </w:p>
        </w:tc>
      </w:tr>
      <w:tr w14:paraId="50F194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68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BB6F839">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项目基本情况</w:t>
            </w:r>
          </w:p>
        </w:tc>
        <w:tc>
          <w:tcPr>
            <w:tcW w:w="205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B3F45AA">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1.项目年度目标完成情况</w:t>
            </w:r>
          </w:p>
        </w:tc>
        <w:tc>
          <w:tcPr>
            <w:tcW w:w="675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2BF136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项目年度目标</w:t>
            </w:r>
          </w:p>
        </w:tc>
        <w:tc>
          <w:tcPr>
            <w:tcW w:w="4609"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554BFEC9">
            <w:pPr>
              <w:keepNext w:val="0"/>
              <w:keepLines w:val="0"/>
              <w:widowControl/>
              <w:suppressLineNumbers w:val="0"/>
              <w:spacing w:before="0" w:beforeAutospacing="0" w:after="0" w:afterAutospacing="0"/>
              <w:ind w:left="0" w:right="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14:paraId="32D849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8"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428E8B">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20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E2AA6C">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675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2CC8F95">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严格执行相关政策，保障工资及时、足额发放或社保及时、足额缴纳，预算编制科学合理，减少结余资金</w:t>
            </w:r>
          </w:p>
        </w:tc>
        <w:tc>
          <w:tcPr>
            <w:tcW w:w="4609"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62F739ED">
            <w:pPr>
              <w:keepNext w:val="0"/>
              <w:keepLines w:val="0"/>
              <w:widowControl/>
              <w:suppressLineNumbers w:val="0"/>
              <w:spacing w:before="0" w:beforeAutospacing="0" w:after="0" w:afterAutospacing="0"/>
              <w:ind w:left="0" w:right="0"/>
              <w:jc w:val="left"/>
              <w:textAlignment w:val="center"/>
              <w:rPr>
                <w:rFonts w:hint="default" w:ascii="黑体" w:hAnsi="黑体" w:eastAsia="黑体" w:cs="黑体"/>
                <w:i w:val="0"/>
                <w:iCs w:val="0"/>
                <w:color w:val="000000"/>
                <w:sz w:val="18"/>
                <w:szCs w:val="18"/>
                <w:u w:val="none"/>
                <w:lang w:val="en-US"/>
              </w:rPr>
            </w:pPr>
            <w:r>
              <w:rPr>
                <w:rFonts w:hint="default" w:ascii="宋体" w:hAnsi="宋体" w:eastAsia="宋体" w:cs="宋体"/>
                <w:i w:val="0"/>
                <w:iCs w:val="0"/>
                <w:color w:val="000000"/>
                <w:kern w:val="0"/>
                <w:sz w:val="18"/>
                <w:szCs w:val="18"/>
                <w:u w:val="none"/>
                <w:lang w:val="en-US" w:eastAsia="zh-CN" w:bidi="ar"/>
              </w:rPr>
              <w:t>严格执行相关政策，保障工资及时、足额发放或社保及时、足额缴纳，预算编制科学合理，减少结余资金</w:t>
            </w:r>
            <w:r>
              <w:rPr>
                <w:rFonts w:hint="eastAsia" w:ascii="宋体" w:hAnsi="宋体" w:cs="宋体"/>
                <w:i w:val="0"/>
                <w:iCs w:val="0"/>
                <w:color w:val="000000"/>
                <w:kern w:val="0"/>
                <w:sz w:val="18"/>
                <w:szCs w:val="18"/>
                <w:u w:val="none"/>
                <w:lang w:val="en-US" w:eastAsia="zh-CN" w:bidi="ar"/>
              </w:rPr>
              <w:t>.</w:t>
            </w:r>
          </w:p>
        </w:tc>
      </w:tr>
      <w:tr w14:paraId="179244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3"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98C45D">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C7568B">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2.项目实施内容及过程概述</w:t>
            </w:r>
          </w:p>
        </w:tc>
        <w:tc>
          <w:tcPr>
            <w:tcW w:w="11367" w:type="dxa"/>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2B89FBC0">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sz w:val="18"/>
                <w:szCs w:val="18"/>
                <w:u w:val="none"/>
              </w:rPr>
              <w:t>严格按照资金下达文件及支付流程进行支付。</w:t>
            </w:r>
          </w:p>
        </w:tc>
      </w:tr>
      <w:tr w14:paraId="66BD2F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68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9D98F2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预算执行情况（10分）</w:t>
            </w: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17810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年度预算数（万元）</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C27D6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年初预算</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D2DDA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调整后预算数</w:t>
            </w: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82F365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预算执行数</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AC584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预算执行率</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EC7BE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6E25C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得分</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BB5B1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原因</w:t>
            </w:r>
          </w:p>
        </w:tc>
      </w:tr>
      <w:tr w14:paraId="09766C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6"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FA03D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92CD7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总额</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454D3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193.98</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3FD00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193.98</w:t>
            </w: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F66315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193.98</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88AFD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CEA65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EADD2E">
            <w:pPr>
              <w:keepNext w:val="0"/>
              <w:keepLines w:val="0"/>
              <w:suppressLineNumbers w:val="0"/>
              <w:spacing w:before="0" w:beforeAutospacing="0" w:after="0" w:afterAutospacing="0"/>
              <w:ind w:left="0" w:right="0"/>
              <w:jc w:val="center"/>
              <w:rPr>
                <w:rFonts w:hint="default" w:ascii="宋体" w:hAnsi="宋体" w:eastAsia="宋体" w:cs="宋体"/>
                <w:i w:val="0"/>
                <w:iCs w:val="0"/>
                <w:color w:val="000000"/>
                <w:sz w:val="18"/>
                <w:szCs w:val="18"/>
                <w:u w:val="none"/>
                <w:lang w:val="en-US" w:eastAsia="zh-CN"/>
              </w:rPr>
            </w:pPr>
            <w:r>
              <w:rPr>
                <w:rFonts w:hint="eastAsia" w:ascii="宋体" w:hAnsi="宋体" w:eastAsia="宋体" w:cs="宋体"/>
                <w:i w:val="0"/>
                <w:iCs w:val="0"/>
                <w:color w:val="000000"/>
                <w:sz w:val="18"/>
                <w:szCs w:val="18"/>
                <w:u w:val="none"/>
                <w:lang w:val="en-US" w:eastAsia="zh-CN"/>
              </w:rPr>
              <w:t>10</w:t>
            </w:r>
          </w:p>
        </w:tc>
        <w:tc>
          <w:tcPr>
            <w:tcW w:w="255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46677E8">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48EB1D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1"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849A9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B6C51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其中：财政资金</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9980C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193.98</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88806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193.98</w:t>
            </w: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613DFD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193.98</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5EA04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F713F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B0C15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25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C3FE58">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59C9C6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7"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60849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3BF79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财政专户管理资金</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82EA6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DE3B4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EFBAB2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8678E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BFC16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B9BF0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25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596FFB">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37697B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EF488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0DB2F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单位资金</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486CC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FE4FD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387A76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14174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92022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952EC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25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9E7154">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3E39F0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8832D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4F415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其他资金</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62CC29">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C75EA5">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19309C0">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79B6ED">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1DCB7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65D26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25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8ABFDF">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1BA831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68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7B131A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绩效指标（90分）</w:t>
            </w: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0C31F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一级指标</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B6FE8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二级指标</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A3EC4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三级指标</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661D6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指标性质</w:t>
            </w:r>
          </w:p>
        </w:tc>
        <w:tc>
          <w:tcPr>
            <w:tcW w:w="1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7E42A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指标值</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BE026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度量单位</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9E81A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完成值</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A1C97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C344F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得分</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0B156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未完成原因分析</w:t>
            </w:r>
          </w:p>
        </w:tc>
      </w:tr>
      <w:tr w14:paraId="1D8B61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F12D4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9B6E0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产出指标</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8313E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数量指标</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8781A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发放（缴纳）覆盖率</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28D87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1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33549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4C292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A3A0B7">
            <w:pPr>
              <w:keepNext w:val="0"/>
              <w:keepLines w:val="0"/>
              <w:suppressLineNumbers w:val="0"/>
              <w:spacing w:before="0" w:beforeAutospacing="0" w:after="0" w:afterAutospacing="0"/>
              <w:ind w:left="0" w:right="0"/>
              <w:jc w:val="center"/>
              <w:rPr>
                <w:rFonts w:hint="default" w:ascii="微软雅黑" w:hAnsi="微软雅黑" w:eastAsia="微软雅黑" w:cs="微软雅黑"/>
                <w:i/>
                <w:iCs/>
                <w:color w:val="000000"/>
                <w:sz w:val="16"/>
                <w:szCs w:val="16"/>
                <w:u w:val="none"/>
                <w:lang w:val="en-US" w:eastAsia="zh-CN"/>
              </w:rPr>
            </w:pPr>
            <w:r>
              <w:rPr>
                <w:rFonts w:hint="eastAsia" w:ascii="微软雅黑" w:hAnsi="微软雅黑" w:eastAsia="微软雅黑" w:cs="微软雅黑"/>
                <w:i/>
                <w:iCs/>
                <w:color w:val="000000"/>
                <w:sz w:val="16"/>
                <w:szCs w:val="16"/>
                <w:u w:val="none"/>
                <w:lang w:val="en-US" w:eastAsia="zh-CN"/>
              </w:rPr>
              <w:t>100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6F763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60</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B6C2E4">
            <w:pPr>
              <w:keepNext w:val="0"/>
              <w:keepLines w:val="0"/>
              <w:suppressLineNumbers w:val="0"/>
              <w:spacing w:before="0" w:beforeAutospacing="0" w:after="0" w:afterAutospacing="0"/>
              <w:ind w:left="0" w:right="0"/>
              <w:jc w:val="center"/>
              <w:rPr>
                <w:rFonts w:hint="default" w:ascii="宋体" w:hAnsi="宋体" w:eastAsia="宋体" w:cs="宋体"/>
                <w:i w:val="0"/>
                <w:iCs w:val="0"/>
                <w:color w:val="000000"/>
                <w:sz w:val="18"/>
                <w:szCs w:val="18"/>
                <w:u w:val="none"/>
                <w:lang w:val="en-US" w:eastAsia="zh-CN"/>
              </w:rPr>
            </w:pPr>
            <w:r>
              <w:rPr>
                <w:rFonts w:hint="eastAsia" w:ascii="宋体" w:hAnsi="宋体" w:eastAsia="宋体" w:cs="宋体"/>
                <w:i w:val="0"/>
                <w:iCs w:val="0"/>
                <w:color w:val="000000"/>
                <w:sz w:val="18"/>
                <w:szCs w:val="18"/>
                <w:u w:val="none"/>
                <w:lang w:val="en-US" w:eastAsia="zh-CN"/>
              </w:rPr>
              <w:t>30</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F10D4B">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223221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DE67C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6E309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效益指标</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4B38B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社会效益指标</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2A382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足额保障率（参保率）</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87606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1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3E60B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134AC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AE7611">
            <w:pPr>
              <w:keepNext w:val="0"/>
              <w:keepLines w:val="0"/>
              <w:suppressLineNumbers w:val="0"/>
              <w:spacing w:before="0" w:beforeAutospacing="0" w:after="0" w:afterAutospacing="0"/>
              <w:ind w:left="0" w:right="0"/>
              <w:jc w:val="center"/>
              <w:rPr>
                <w:rFonts w:hint="default" w:ascii="微软雅黑" w:hAnsi="微软雅黑" w:eastAsia="微软雅黑" w:cs="微软雅黑"/>
                <w:i/>
                <w:iCs/>
                <w:color w:val="000000"/>
                <w:sz w:val="16"/>
                <w:szCs w:val="16"/>
                <w:u w:val="none"/>
                <w:lang w:val="en-US" w:eastAsia="zh-CN"/>
              </w:rPr>
            </w:pPr>
            <w:r>
              <w:rPr>
                <w:rFonts w:hint="eastAsia" w:ascii="微软雅黑" w:hAnsi="微软雅黑" w:eastAsia="微软雅黑" w:cs="微软雅黑"/>
                <w:i/>
                <w:iCs/>
                <w:color w:val="000000"/>
                <w:sz w:val="16"/>
                <w:szCs w:val="16"/>
                <w:u w:val="none"/>
                <w:lang w:val="en-US" w:eastAsia="zh-CN"/>
              </w:rPr>
              <w:t>100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D4383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30</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E2BD0A">
            <w:pPr>
              <w:keepNext w:val="0"/>
              <w:keepLines w:val="0"/>
              <w:suppressLineNumbers w:val="0"/>
              <w:spacing w:before="0" w:beforeAutospacing="0" w:after="0" w:afterAutospacing="0"/>
              <w:ind w:left="0" w:right="0"/>
              <w:jc w:val="center"/>
              <w:rPr>
                <w:rFonts w:hint="default" w:ascii="宋体" w:hAnsi="宋体" w:eastAsia="宋体" w:cs="宋体"/>
                <w:i w:val="0"/>
                <w:iCs w:val="0"/>
                <w:color w:val="000000"/>
                <w:sz w:val="18"/>
                <w:szCs w:val="18"/>
                <w:u w:val="none"/>
                <w:lang w:val="en-US" w:eastAsia="zh-CN"/>
              </w:rPr>
            </w:pPr>
            <w:r>
              <w:rPr>
                <w:rFonts w:hint="eastAsia" w:ascii="宋体" w:hAnsi="宋体" w:eastAsia="宋体" w:cs="宋体"/>
                <w:i w:val="0"/>
                <w:iCs w:val="0"/>
                <w:color w:val="000000"/>
                <w:sz w:val="18"/>
                <w:szCs w:val="18"/>
                <w:u w:val="none"/>
                <w:lang w:val="en-US" w:eastAsia="zh-CN"/>
              </w:rPr>
              <w:t>30</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C3A8F6">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710AE0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10585"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6A57310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合计</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88002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962E58">
            <w:pPr>
              <w:keepNext w:val="0"/>
              <w:keepLines w:val="0"/>
              <w:suppressLineNumbers w:val="0"/>
              <w:spacing w:before="0" w:beforeAutospacing="0" w:after="0" w:afterAutospacing="0"/>
              <w:ind w:left="0" w:right="0"/>
              <w:rPr>
                <w:rFonts w:hint="default" w:ascii="宋体" w:hAnsi="宋体" w:eastAsia="宋体" w:cs="宋体"/>
                <w:i w:val="0"/>
                <w:iCs w:val="0"/>
                <w:color w:val="000000"/>
                <w:sz w:val="18"/>
                <w:szCs w:val="18"/>
                <w:u w:val="none"/>
                <w:lang w:val="en-US" w:eastAsia="zh-CN"/>
              </w:rPr>
            </w:pPr>
            <w:r>
              <w:rPr>
                <w:rFonts w:hint="eastAsia" w:ascii="宋体" w:hAnsi="宋体" w:eastAsia="宋体" w:cs="宋体"/>
                <w:i w:val="0"/>
                <w:iCs w:val="0"/>
                <w:color w:val="000000"/>
                <w:sz w:val="18"/>
                <w:szCs w:val="18"/>
                <w:u w:val="none"/>
                <w:lang w:val="en-US" w:eastAsia="zh-CN"/>
              </w:rPr>
              <w:t>100</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934F44">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2A5E67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3" w:hRule="atLeast"/>
        </w:trPr>
        <w:tc>
          <w:tcPr>
            <w:tcW w:w="6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C016A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评价结论</w:t>
            </w:r>
          </w:p>
        </w:tc>
        <w:tc>
          <w:tcPr>
            <w:tcW w:w="13419"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3EC46EFC">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自评得分100分，完成了预期绩效目标，达到了资金使用效益。</w:t>
            </w:r>
          </w:p>
        </w:tc>
      </w:tr>
      <w:tr w14:paraId="645574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2" w:hRule="atLeast"/>
        </w:trPr>
        <w:tc>
          <w:tcPr>
            <w:tcW w:w="6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9C445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存在问题</w:t>
            </w:r>
          </w:p>
        </w:tc>
        <w:tc>
          <w:tcPr>
            <w:tcW w:w="13419"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208D8FC4">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3ADADC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3" w:hRule="atLeast"/>
        </w:trPr>
        <w:tc>
          <w:tcPr>
            <w:tcW w:w="6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60BC3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改进措施</w:t>
            </w:r>
          </w:p>
        </w:tc>
        <w:tc>
          <w:tcPr>
            <w:tcW w:w="13419"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1BC51425">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58213E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7296"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1FD13F5">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w:t>
            </w:r>
          </w:p>
        </w:tc>
        <w:tc>
          <w:tcPr>
            <w:tcW w:w="6807"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DAAE577">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w:t>
            </w:r>
          </w:p>
        </w:tc>
      </w:tr>
      <w:tr w14:paraId="7E3166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684" w:type="dxa"/>
            <w:tcBorders>
              <w:top w:val="nil"/>
              <w:left w:val="nil"/>
              <w:bottom w:val="nil"/>
              <w:right w:val="nil"/>
            </w:tcBorders>
            <w:shd w:val="clear" w:color="auto" w:fill="auto"/>
            <w:vAlign w:val="center"/>
          </w:tcPr>
          <w:p w14:paraId="1EB601B8">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2052" w:type="dxa"/>
            <w:tcBorders>
              <w:top w:val="nil"/>
              <w:left w:val="nil"/>
              <w:bottom w:val="nil"/>
              <w:right w:val="nil"/>
            </w:tcBorders>
            <w:shd w:val="clear" w:color="auto" w:fill="auto"/>
            <w:vAlign w:val="center"/>
          </w:tcPr>
          <w:p w14:paraId="0170779F">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1775" w:type="dxa"/>
            <w:tcBorders>
              <w:top w:val="nil"/>
              <w:left w:val="nil"/>
              <w:bottom w:val="nil"/>
              <w:right w:val="nil"/>
            </w:tcBorders>
            <w:shd w:val="clear" w:color="auto" w:fill="auto"/>
            <w:vAlign w:val="center"/>
          </w:tcPr>
          <w:p w14:paraId="0CEC3F36">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2264" w:type="dxa"/>
            <w:tcBorders>
              <w:top w:val="nil"/>
              <w:left w:val="nil"/>
              <w:bottom w:val="nil"/>
              <w:right w:val="nil"/>
            </w:tcBorders>
            <w:shd w:val="clear" w:color="auto" w:fill="auto"/>
            <w:vAlign w:val="center"/>
          </w:tcPr>
          <w:p w14:paraId="51EE1EBA">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521" w:type="dxa"/>
            <w:tcBorders>
              <w:top w:val="nil"/>
              <w:left w:val="nil"/>
              <w:bottom w:val="nil"/>
              <w:right w:val="nil"/>
            </w:tcBorders>
            <w:shd w:val="clear" w:color="auto" w:fill="auto"/>
            <w:vAlign w:val="center"/>
          </w:tcPr>
          <w:p w14:paraId="558E156D">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1677" w:type="dxa"/>
            <w:tcBorders>
              <w:top w:val="nil"/>
              <w:left w:val="nil"/>
              <w:bottom w:val="nil"/>
              <w:right w:val="nil"/>
            </w:tcBorders>
            <w:shd w:val="clear" w:color="auto" w:fill="auto"/>
            <w:vAlign w:val="center"/>
          </w:tcPr>
          <w:p w14:paraId="7DE5D441">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521" w:type="dxa"/>
            <w:tcBorders>
              <w:top w:val="nil"/>
              <w:left w:val="nil"/>
              <w:bottom w:val="nil"/>
              <w:right w:val="nil"/>
            </w:tcBorders>
            <w:shd w:val="clear" w:color="auto" w:fill="auto"/>
            <w:vAlign w:val="center"/>
          </w:tcPr>
          <w:p w14:paraId="25FDD703">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1091" w:type="dxa"/>
            <w:tcBorders>
              <w:top w:val="nil"/>
              <w:left w:val="nil"/>
              <w:bottom w:val="nil"/>
              <w:right w:val="nil"/>
            </w:tcBorders>
            <w:shd w:val="clear" w:color="auto" w:fill="auto"/>
            <w:vAlign w:val="center"/>
          </w:tcPr>
          <w:p w14:paraId="7D35D091">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505" w:type="dxa"/>
            <w:tcBorders>
              <w:top w:val="nil"/>
              <w:left w:val="nil"/>
              <w:bottom w:val="nil"/>
              <w:right w:val="nil"/>
            </w:tcBorders>
            <w:shd w:val="clear" w:color="auto" w:fill="auto"/>
            <w:vAlign w:val="center"/>
          </w:tcPr>
          <w:p w14:paraId="17B78077">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456" w:type="dxa"/>
            <w:tcBorders>
              <w:top w:val="nil"/>
              <w:left w:val="nil"/>
              <w:bottom w:val="nil"/>
              <w:right w:val="nil"/>
            </w:tcBorders>
            <w:shd w:val="clear" w:color="auto" w:fill="auto"/>
            <w:vAlign w:val="center"/>
          </w:tcPr>
          <w:p w14:paraId="7DC4874D">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2557" w:type="dxa"/>
            <w:tcBorders>
              <w:top w:val="nil"/>
              <w:left w:val="nil"/>
              <w:bottom w:val="nil"/>
              <w:right w:val="nil"/>
            </w:tcBorders>
            <w:shd w:val="clear" w:color="auto" w:fill="auto"/>
            <w:vAlign w:val="center"/>
          </w:tcPr>
          <w:p w14:paraId="7A3DBEA1">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bl>
    <w:p w14:paraId="619D6D15">
      <w:pPr>
        <w:pStyle w:val="19"/>
        <w:rPr>
          <w:rFonts w:hint="eastAsia" w:ascii="楷体_GB2312" w:eastAsia="楷体_GB2312" w:cs="楷体_GB2312"/>
          <w:b/>
          <w:bCs/>
          <w:szCs w:val="32"/>
          <w:shd w:val="clear" w:color="auto" w:fill="FFFFFF"/>
          <w:lang w:eastAsia="zh-CN"/>
        </w:rPr>
      </w:pPr>
    </w:p>
    <w:p w14:paraId="339DA2BB">
      <w:pPr>
        <w:pStyle w:val="19"/>
        <w:rPr>
          <w:rFonts w:hint="eastAsia" w:ascii="楷体_GB2312" w:eastAsia="楷体_GB2312" w:cs="楷体_GB2312"/>
          <w:b/>
          <w:bCs/>
          <w:szCs w:val="32"/>
          <w:shd w:val="clear" w:color="auto" w:fill="FFFFFF"/>
          <w:lang w:eastAsia="zh-CN"/>
        </w:rPr>
      </w:pPr>
    </w:p>
    <w:p w14:paraId="5EF0CC90">
      <w:pPr>
        <w:pStyle w:val="19"/>
        <w:rPr>
          <w:rFonts w:hint="eastAsia" w:ascii="楷体_GB2312" w:eastAsia="楷体_GB2312" w:cs="楷体_GB2312"/>
          <w:b/>
          <w:bCs/>
          <w:szCs w:val="32"/>
          <w:shd w:val="clear" w:color="auto" w:fill="FFFFFF"/>
          <w:lang w:eastAsia="zh-CN"/>
        </w:rPr>
      </w:pPr>
    </w:p>
    <w:p w14:paraId="59E3B867">
      <w:pPr>
        <w:pStyle w:val="19"/>
        <w:rPr>
          <w:rFonts w:hint="eastAsia" w:ascii="楷体_GB2312" w:eastAsia="楷体_GB2312" w:cs="楷体_GB2312"/>
          <w:b/>
          <w:bCs/>
          <w:szCs w:val="32"/>
          <w:shd w:val="clear" w:color="auto" w:fill="FFFFFF"/>
          <w:lang w:eastAsia="zh-CN"/>
        </w:rPr>
      </w:pPr>
    </w:p>
    <w:p w14:paraId="06F3064C">
      <w:pPr>
        <w:pStyle w:val="19"/>
        <w:rPr>
          <w:rFonts w:hint="eastAsia" w:ascii="楷体_GB2312" w:eastAsia="楷体_GB2312" w:cs="楷体_GB2312"/>
          <w:b/>
          <w:bCs/>
          <w:szCs w:val="32"/>
          <w:shd w:val="clear" w:color="auto" w:fill="FFFFFF"/>
          <w:lang w:eastAsia="zh-CN"/>
        </w:rPr>
      </w:pPr>
    </w:p>
    <w:p w14:paraId="60507B87">
      <w:pPr>
        <w:pStyle w:val="19"/>
        <w:ind w:left="0" w:leftChars="0" w:firstLine="0" w:firstLineChars="0"/>
        <w:rPr>
          <w:rFonts w:hint="eastAsia" w:ascii="楷体_GB2312" w:eastAsia="楷体_GB2312" w:cs="楷体_GB2312"/>
          <w:b/>
          <w:bCs/>
          <w:szCs w:val="32"/>
          <w:shd w:val="clear" w:color="auto" w:fill="FFFFFF"/>
          <w:lang w:eastAsia="zh-CN"/>
        </w:rPr>
      </w:pPr>
    </w:p>
    <w:p w14:paraId="3256924B">
      <w:pPr>
        <w:pStyle w:val="19"/>
        <w:rPr>
          <w:rFonts w:hint="eastAsia" w:ascii="楷体_GB2312" w:eastAsia="楷体_GB2312" w:cs="楷体_GB2312"/>
          <w:b/>
          <w:bCs/>
          <w:szCs w:val="32"/>
          <w:shd w:val="clear" w:color="auto" w:fill="FFFFFF"/>
          <w:lang w:eastAsia="zh-CN"/>
        </w:rPr>
      </w:pPr>
    </w:p>
    <w:tbl>
      <w:tblPr>
        <w:tblStyle w:val="20"/>
        <w:tblW w:w="0" w:type="auto"/>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669"/>
        <w:gridCol w:w="689"/>
        <w:gridCol w:w="824"/>
        <w:gridCol w:w="1957"/>
        <w:gridCol w:w="430"/>
        <w:gridCol w:w="2871"/>
        <w:gridCol w:w="835"/>
        <w:gridCol w:w="2849"/>
        <w:gridCol w:w="492"/>
        <w:gridCol w:w="666"/>
        <w:gridCol w:w="1799"/>
      </w:tblGrid>
      <w:tr w14:paraId="1E26721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4" w:hRule="atLeast"/>
        </w:trPr>
        <w:tc>
          <w:tcPr>
            <w:tcW w:w="0" w:type="auto"/>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17EA85F8">
            <w:pPr>
              <w:keepNext w:val="0"/>
              <w:keepLines w:val="0"/>
              <w:widowControl/>
              <w:suppressLineNumbers w:val="0"/>
              <w:spacing w:before="0" w:beforeAutospacing="0" w:after="0" w:afterAutospacing="0"/>
              <w:ind w:left="0" w:right="0"/>
              <w:jc w:val="center"/>
              <w:textAlignment w:val="center"/>
              <w:rPr>
                <w:rFonts w:hint="default"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部门预算项目支出绩效自评表（2023年度）</w:t>
            </w:r>
          </w:p>
        </w:tc>
      </w:tr>
      <w:tr w14:paraId="2B69D7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A6033AA">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项目名称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05372818">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51080022T000004938637-争取项目资金工作经费</w:t>
            </w:r>
          </w:p>
        </w:tc>
      </w:tr>
      <w:tr w14:paraId="4AF7BD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2"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EF50D2E">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主管部门</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8EB5CC5">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广元市发展和改革委员会部门</w:t>
            </w:r>
          </w:p>
        </w:tc>
        <w:tc>
          <w:tcPr>
            <w:tcW w:w="0" w:type="auto"/>
            <w:tcBorders>
              <w:top w:val="nil"/>
              <w:left w:val="nil"/>
              <w:bottom w:val="nil"/>
              <w:right w:val="nil"/>
            </w:tcBorders>
            <w:shd w:val="clear" w:color="auto" w:fill="auto"/>
            <w:vAlign w:val="center"/>
          </w:tcPr>
          <w:p w14:paraId="29895CB3">
            <w:pPr>
              <w:keepNext w:val="0"/>
              <w:keepLines w:val="0"/>
              <w:widowControl/>
              <w:suppressLineNumbers w:val="0"/>
              <w:spacing w:before="0" w:beforeAutospacing="0" w:after="0" w:afterAutospacing="0"/>
              <w:ind w:left="0" w:right="0"/>
              <w:jc w:val="left"/>
              <w:textAlignment w:val="center"/>
              <w:rPr>
                <w:rFonts w:hint="default"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DAF684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w:t>
            </w:r>
          </w:p>
        </w:tc>
      </w:tr>
      <w:tr w14:paraId="6EACFC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F43E50D">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项目基本情况</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188141C">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1.项目年度目标完成情况</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1B93726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项目年度目标</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1E4A05BE">
            <w:pPr>
              <w:keepNext w:val="0"/>
              <w:keepLines w:val="0"/>
              <w:widowControl/>
              <w:suppressLineNumbers w:val="0"/>
              <w:spacing w:before="0" w:beforeAutospacing="0" w:after="0" w:afterAutospacing="0"/>
              <w:ind w:left="0" w:right="0"/>
              <w:jc w:val="center"/>
              <w:textAlignment w:val="center"/>
              <w:rPr>
                <w:rFonts w:hint="eastAsia" w:ascii="黑体" w:hAnsi="黑体" w:eastAsia="黑体" w:cs="黑体"/>
                <w:i w:val="0"/>
                <w:iCs w:val="0"/>
                <w:color w:val="FF0000"/>
                <w:sz w:val="18"/>
                <w:szCs w:val="18"/>
                <w:u w:val="none"/>
              </w:rPr>
            </w:pPr>
            <w:r>
              <w:rPr>
                <w:rFonts w:hint="eastAsia" w:ascii="黑体" w:hAnsi="黑体" w:eastAsia="黑体" w:cs="黑体"/>
                <w:i w:val="0"/>
                <w:iCs w:val="0"/>
                <w:color w:val="FF0000"/>
                <w:kern w:val="0"/>
                <w:sz w:val="18"/>
                <w:szCs w:val="18"/>
                <w:u w:val="none"/>
                <w:lang w:val="en-US" w:eastAsia="zh-CN" w:bidi="ar"/>
              </w:rPr>
              <w:t>年度目标完成情况</w:t>
            </w:r>
          </w:p>
        </w:tc>
      </w:tr>
      <w:tr w14:paraId="0D0F29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54BD55">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22092E">
            <w:pPr>
              <w:keepNext w:val="0"/>
              <w:keepLines w:val="0"/>
              <w:suppressLineNumbers w:val="0"/>
              <w:spacing w:before="0" w:beforeAutospacing="0" w:after="0" w:afterAutospacing="0"/>
              <w:ind w:left="0" w:right="0"/>
              <w:rPr>
                <w:rFonts w:hint="eastAsia" w:ascii="宋体" w:hAnsi="宋体" w:eastAsia="宋体" w:cs="宋体"/>
                <w:i w:val="0"/>
                <w:iCs w:val="0"/>
                <w:color w:val="FF0000"/>
                <w:sz w:val="18"/>
                <w:szCs w:val="18"/>
                <w:u w:val="none"/>
              </w:rPr>
            </w:pP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0A981F07">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1.加强政策指导，印发地方政府专项债、中省预算内投资等政策指导相关资料，组织各县区和市级有关部门开展培训指导。</w:t>
            </w:r>
            <w:r>
              <w:rPr>
                <w:rFonts w:hint="default" w:ascii="宋体" w:hAnsi="宋体" w:eastAsia="宋体" w:cs="宋体"/>
                <w:i w:val="0"/>
                <w:iCs w:val="0"/>
                <w:color w:val="000000"/>
                <w:kern w:val="0"/>
                <w:sz w:val="18"/>
                <w:szCs w:val="18"/>
                <w:u w:val="none"/>
                <w:lang w:val="en-US" w:eastAsia="zh-CN" w:bidi="ar"/>
              </w:rPr>
              <w:br w:type="textWrapping"/>
            </w:r>
            <w:r>
              <w:rPr>
                <w:rFonts w:hint="default" w:ascii="宋体" w:hAnsi="宋体" w:eastAsia="宋体" w:cs="宋体"/>
                <w:i w:val="0"/>
                <w:iCs w:val="0"/>
                <w:color w:val="000000"/>
                <w:kern w:val="0"/>
                <w:sz w:val="18"/>
                <w:szCs w:val="18"/>
                <w:u w:val="none"/>
                <w:lang w:val="en-US" w:eastAsia="zh-CN" w:bidi="ar"/>
              </w:rPr>
              <w:t>2.组织开展项目储备申报工作，收集汇总并审核全市地方政府专项债、中省预算内投资拟申报项目，加快2022年已申报项目的推进力度，谋划生成一批新重点项目，加强与省发展改革委、省财政厅、省金融工作局及其他省级部门的汇报对接，力争我市更多项目资金纳入国省计划盘子；</w:t>
            </w:r>
            <w:r>
              <w:rPr>
                <w:rFonts w:hint="default" w:ascii="宋体" w:hAnsi="宋体" w:eastAsia="宋体" w:cs="宋体"/>
                <w:i w:val="0"/>
                <w:iCs w:val="0"/>
                <w:color w:val="000000"/>
                <w:kern w:val="0"/>
                <w:sz w:val="18"/>
                <w:szCs w:val="18"/>
                <w:u w:val="none"/>
                <w:lang w:val="en-US" w:eastAsia="zh-CN" w:bidi="ar"/>
              </w:rPr>
              <w:br w:type="textWrapping"/>
            </w:r>
            <w:r>
              <w:rPr>
                <w:rFonts w:hint="default" w:ascii="宋体" w:hAnsi="宋体" w:eastAsia="宋体" w:cs="宋体"/>
                <w:i w:val="0"/>
                <w:iCs w:val="0"/>
                <w:color w:val="000000"/>
                <w:kern w:val="0"/>
                <w:sz w:val="18"/>
                <w:szCs w:val="18"/>
                <w:u w:val="none"/>
                <w:lang w:val="en-US" w:eastAsia="zh-CN" w:bidi="ar"/>
              </w:rPr>
              <w:t>3.强化要素保障，加快推进拟申报项目前期工作，统筹协调各县区、市级有关部门办理用地预审、规划选址、稳定风险评估、环境影响评价、节能审查、安全评价和审批（核准、备案）等前期要件，不定期召开困难问题会商会，切实提高项目申报成功率；</w:t>
            </w:r>
            <w:r>
              <w:rPr>
                <w:rFonts w:hint="default" w:ascii="宋体" w:hAnsi="宋体" w:eastAsia="宋体" w:cs="宋体"/>
                <w:i w:val="0"/>
                <w:iCs w:val="0"/>
                <w:color w:val="000000"/>
                <w:kern w:val="0"/>
                <w:sz w:val="18"/>
                <w:szCs w:val="18"/>
                <w:u w:val="none"/>
                <w:lang w:val="en-US" w:eastAsia="zh-CN" w:bidi="ar"/>
              </w:rPr>
              <w:br w:type="textWrapping"/>
            </w:r>
            <w:r>
              <w:rPr>
                <w:rFonts w:hint="default" w:ascii="宋体" w:hAnsi="宋体" w:eastAsia="宋体" w:cs="宋体"/>
                <w:i w:val="0"/>
                <w:iCs w:val="0"/>
                <w:color w:val="000000"/>
                <w:kern w:val="0"/>
                <w:sz w:val="18"/>
                <w:szCs w:val="18"/>
                <w:u w:val="none"/>
                <w:lang w:val="en-US" w:eastAsia="zh-CN" w:bidi="ar"/>
              </w:rPr>
              <w:t>4.加强督查督办，对全市地方政府专项债、中省预算内投资项目储备申报等工作实行定期调度机制，定期通报各县区和市级部门工作开展情况、项目谋划和推进情况以及项目资金落实情况等。</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70D5DB84">
            <w:pPr>
              <w:keepNext w:val="0"/>
              <w:keepLines w:val="0"/>
              <w:widowControl/>
              <w:suppressLineNumbers w:val="0"/>
              <w:spacing w:before="0" w:beforeAutospacing="0" w:after="0" w:afterAutospacing="0"/>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印发中省预算内投资、地方政府专项债券、政策性开发性金融工具《资金投向及申报要求资料汇编》指导项目储备申报；组织全市800余名各级干部，外聘行业领域专家，开展为期3天的项目包装与策划专题培训，提升各级干部项目策划包装的能力水平；印发《广元市项目储备管理指导意见》，加强对全市项目储备管理的指导。</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2.2023年，全市共争取到中省预算内投资项目104个、资金14.17亿元。全市发行地方政府专项债券项目95个、到位债券资金66.71亿元。</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3.加快省市重点、“五个一批”、加快前期重点项目、集中开工、地方政府专项债券、中省预算内投资、政策性开发行金融工具等项目前期工作、开工落地、推进实施进度，及时协调解决项目困难问题，动态收集和协调解决项目用地、砂石、用工等要素保障问题。</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4.全面落实市委、市政府“项目投资攻坚三年行动”和“拼经济、比发展”工作要求。修改完善项目投资“拉练评比”工作考评办法，以现场汇报、点评的形式分季度开展项目投资“拉练评比”活动，对各县（区）和市级有项目投资任务的部门进行排位，实行重点项目推进和投资运行“红黑榜”通报机制，对推进滞后项目发“点球”督促加快推进，联合市委目标绩效办开展项目大督查，核实项目进展情况，梳理出186个问题项目清单，实行半月调度，督促整改销号；落实市领导联系项目责任，针对问题项目“点对点”提醒相关市领导，研究整改落实。</w:t>
            </w:r>
          </w:p>
        </w:tc>
      </w:tr>
      <w:tr w14:paraId="79ABFC4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93"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8B1150">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7FEADF5">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2.项目实施内容及过程概述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7926F84F">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市发展改革委加强对各县区和市级相关部门的政策指导，紧盯政策投向，积极开展业务指导培训，密切向上对接争取，严格督查督办，全市项目争取和推进工作稳妥有序开展。</w:t>
            </w:r>
          </w:p>
        </w:tc>
      </w:tr>
      <w:tr w14:paraId="281152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A2684F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预算执行情况（10分）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5CAF8A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年度预算数（万元）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D28EE8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年初预算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8BFA70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调整后预算数</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64D4C8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预算执行数</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E7C2F4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FA2EBC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DD360A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EB5111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原因</w:t>
            </w:r>
          </w:p>
        </w:tc>
      </w:tr>
      <w:tr w14:paraId="72815C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30317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1FB733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总额</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A83D3C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E61FA2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7211C0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E9146E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B7D456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099AF7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52DF8E0">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7E5E7B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61E98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A07700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其中：财政资金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005CAE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F92165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F3E04B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8AF926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97A0AB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4D16AA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949019">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4149E0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7"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59D2F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B29585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财政专户管理资金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AAB936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ABBECB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E3955F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621BD0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D05B6C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B14A6B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8715AD">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70CDEF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F9E1B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A14B7B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单位资金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5C1748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E2FA69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23C1F4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90AF57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1FDE4F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1F7CCD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FC6494">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6E07D6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B2E45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739B3A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其他资金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EB5B6C4">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F89490F">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406AFA0">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54E0183">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189E0A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522509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FF9D3B8">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381072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E6EF40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绩效指标（90分）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8A0A6A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一级指标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FC8DF7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二级指标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C27343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三级指标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AC44D4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指标性质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B2566E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0F31B1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度量单位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8CD279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完成值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DEA9CF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0FD242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D2DB4D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未完成原因分析</w:t>
            </w:r>
          </w:p>
        </w:tc>
      </w:tr>
      <w:tr w14:paraId="4B698C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C3223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6CBE55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产出指标</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13B19C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数量指标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7A746B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指标2：组织开展项目储备申报工作</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A7EF1E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74A976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D9B262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C78825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F7F0D3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933AF8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6A0172F">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47AF99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38E9A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AD4C8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87C40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A11357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指标1：加强政策指导指标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C4A640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4D891A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F8B655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2E8AF0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E57A96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1DAAEE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E74E611">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758AC7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78"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DA50E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95CFE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D37C8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3246DE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指标5：建立项目会商机制，及时协调解决项目推进中存在的困难和问题</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276D1D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A41EF5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4BAC6E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02C437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88D803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C1C3EE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E403F07">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0A4146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065B4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B4C00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F1CBA4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A963B3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指标6：加强督查督办</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D48668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9F6437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FD1724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C802E0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AB8C58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D40AA7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196BD6E">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045740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B8079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F03E6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2AF40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5150AF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指标4：谋划储备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BD13B2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E2901A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71DA64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万亿元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1E030A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40B9BF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C98065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505456A">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3CB36A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78"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A2A99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9BFD02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571FE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615FF6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指标3：开展中省预算内投资项目、地方政府专项债项目资金争取</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DFE9A5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2520AB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6C36DF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亿元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842EF3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80.88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F07475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1557D2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DF79F01">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5B22AD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2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045CE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F103E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61447C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质量指标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8745ED9">
            <w:pPr>
              <w:keepNext w:val="0"/>
              <w:keepLines w:val="0"/>
              <w:widowControl/>
              <w:suppressLineNumbers w:val="0"/>
              <w:spacing w:before="0" w:beforeAutospacing="0" w:after="0" w:afterAutospacing="0"/>
              <w:ind w:left="0" w:right="0"/>
              <w:jc w:val="both"/>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指标1：资金争取</w:t>
            </w:r>
            <w:r>
              <w:rPr>
                <w:rFonts w:hint="default" w:ascii="宋体" w:hAnsi="宋体" w:eastAsia="宋体" w:cs="宋体"/>
                <w:i w:val="0"/>
                <w:iCs w:val="0"/>
                <w:color w:val="000000"/>
                <w:kern w:val="0"/>
                <w:sz w:val="18"/>
                <w:szCs w:val="18"/>
                <w:u w:val="none"/>
                <w:lang w:val="en-US" w:eastAsia="zh-CN" w:bidi="ar"/>
              </w:rPr>
              <w:br w:type="textWrapping"/>
            </w:r>
            <w:r>
              <w:rPr>
                <w:rFonts w:hint="default" w:ascii="宋体" w:hAnsi="宋体" w:eastAsia="宋体" w:cs="宋体"/>
                <w:i w:val="0"/>
                <w:iCs w:val="0"/>
                <w:color w:val="000000"/>
                <w:kern w:val="0"/>
                <w:sz w:val="18"/>
                <w:szCs w:val="18"/>
                <w:u w:val="none"/>
                <w:lang w:val="en-US" w:eastAsia="zh-CN" w:bidi="ar"/>
              </w:rPr>
              <w:t>指标2：推进中省预算内投资项目</w:t>
            </w:r>
            <w:r>
              <w:rPr>
                <w:rFonts w:hint="default" w:ascii="宋体" w:hAnsi="宋体" w:eastAsia="宋体" w:cs="宋体"/>
                <w:i w:val="0"/>
                <w:iCs w:val="0"/>
                <w:color w:val="000000"/>
                <w:kern w:val="0"/>
                <w:sz w:val="18"/>
                <w:szCs w:val="18"/>
                <w:u w:val="none"/>
                <w:lang w:val="en-US" w:eastAsia="zh-CN" w:bidi="ar"/>
              </w:rPr>
              <w:br w:type="textWrapping"/>
            </w:r>
            <w:r>
              <w:rPr>
                <w:rFonts w:hint="default" w:ascii="宋体" w:hAnsi="宋体" w:eastAsia="宋体" w:cs="宋体"/>
                <w:i w:val="0"/>
                <w:iCs w:val="0"/>
                <w:color w:val="000000"/>
                <w:kern w:val="0"/>
                <w:sz w:val="18"/>
                <w:szCs w:val="18"/>
                <w:u w:val="none"/>
                <w:lang w:val="en-US" w:eastAsia="zh-CN" w:bidi="ar"/>
              </w:rPr>
              <w:t>指标3：项目协调调度</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B341FC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9AA041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完成下达的向上资金争取目标任务；加快地方政府专项债、中省预算内投资等项目建设进度，推动形成实物工作量；</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3E49EF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A2A7900">
            <w:pPr>
              <w:keepNext w:val="0"/>
              <w:keepLines w:val="0"/>
              <w:widowControl/>
              <w:suppressLineNumbers w:val="0"/>
              <w:spacing w:before="0" w:beforeAutospacing="0" w:after="0" w:afterAutospacing="0"/>
              <w:ind w:left="0" w:right="0"/>
              <w:jc w:val="both"/>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指标1：资金争取。1-11月，我委完成争取上级资金考核数9.4亿元。</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指标2：项目推进。300个市重点项目提前2个月完成全年目标任务，20个省重点项目提前4个月完成全年目标任务，完成投资205.9亿元，超年度目标任务33.2个百分点。</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指标3：项目协调调度。坚持月调度工作机制，相关市领导先后召开专题调度会议10余次，印发工作通报20期。按季度对重点项目推进情况开展现场督查核实、精准督办，对推进滞后的项目“点对点”发出提醒敦促函70余份。</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45A6FA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372FA8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F16FFC7">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720085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25F14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2292F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7BC3B9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时效指标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2DC908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指标1：完成2023年第一批次地方政府专项债项目和部分专项中省预算内投资项目的申报工作</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652060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854014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8242C3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月</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93719F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49A970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0D79D5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CFA6282">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02051F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78"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94B04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DA685C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4006B9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经济效益指标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09AF5F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指标1：资金争取</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E12CC2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AAA018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以资金争取带动全市经济社会快速发展。</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A2B692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23D6A1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80.88亿元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3F127E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ABCD80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8A01538">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4AD0F7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78"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AA185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876E5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962561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社会效益指标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4BCC06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指标1：加快项目推进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A3CA28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474DB1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促进基础设施进一步完善，社会民生保障更加健全。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69E53B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EA1E0C6">
            <w:pPr>
              <w:keepNext w:val="0"/>
              <w:keepLines w:val="0"/>
              <w:widowControl/>
              <w:suppressLineNumbers w:val="0"/>
              <w:spacing w:before="0" w:beforeAutospacing="0" w:after="0" w:afterAutospacing="0"/>
              <w:ind w:left="0" w:right="0"/>
              <w:jc w:val="both"/>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省市重点项目分别提前4个月、2个月完成年度目标任务，全年分别预计完成投资155亿元、720亿元以上；主动协调争取中煤一体化项目纳入2024年省重点项目名单，解决项目落地问题。</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82309B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CC1579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1856E91">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5C4640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EE12D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8FEE2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051439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生态效益指标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464E14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指标1：推进一批生态环保项目</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B6404D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2132BE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谋划储备推进一批生态环保类项目，促进全市生态环境持续优化。</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23621D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CE906D7">
            <w:pPr>
              <w:keepNext w:val="0"/>
              <w:keepLines w:val="0"/>
              <w:widowControl/>
              <w:suppressLineNumbers w:val="0"/>
              <w:spacing w:before="0" w:beforeAutospacing="0" w:after="0" w:afterAutospacing="0"/>
              <w:ind w:left="0" w:right="0"/>
              <w:jc w:val="both"/>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2023年重点项目中，生态环保项目10个，总投资45.6亿元，年度计划投资21.8元。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16F568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952C8C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FCDF66E">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7CAA59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78"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53213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2A297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09E3D1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可持续影响指标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6E0CD2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指标1：突出区域合作可持续性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463D84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47E0C4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促进基础设施进一步完善，社会民生保障更加健全。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42CFC2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11E45A4">
            <w:pPr>
              <w:keepNext w:val="0"/>
              <w:keepLines w:val="0"/>
              <w:widowControl/>
              <w:suppressLineNumbers w:val="0"/>
              <w:spacing w:before="0" w:beforeAutospacing="0" w:after="0" w:afterAutospacing="0"/>
              <w:ind w:left="0" w:right="0"/>
              <w:jc w:val="both"/>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2023年，全市重点项目完成投资720亿元。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9B3F5F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B1CF9C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7F3E847">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0FEE54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98B73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900FF3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满意度指标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125CE7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服务对象满意度指标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CD66D2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指标1：各级政府满意度</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F5E281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91ED1B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90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6C96B1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363697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CFC760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F649BB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08D026F">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462AD6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6606B57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合计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917E12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73D5E2C">
            <w:pPr>
              <w:keepNext w:val="0"/>
              <w:keepLines w:val="0"/>
              <w:widowControl/>
              <w:suppressLineNumbers w:val="0"/>
              <w:spacing w:before="0" w:beforeAutospacing="0" w:after="0" w:afterAutospacing="0"/>
              <w:ind w:left="0" w:right="0"/>
              <w:jc w:val="righ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920CBC3">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2B070E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4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47E426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评价结论</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5E7785AE">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val="0"/>
                <w:iCs w:val="0"/>
                <w:color w:val="000000"/>
                <w:sz w:val="16"/>
                <w:szCs w:val="16"/>
                <w:u w:val="none"/>
              </w:rPr>
            </w:pPr>
            <w:r>
              <w:rPr>
                <w:rFonts w:hint="eastAsia" w:ascii="微软雅黑" w:hAnsi="微软雅黑" w:eastAsia="微软雅黑" w:cs="微软雅黑"/>
                <w:i w:val="0"/>
                <w:iCs w:val="0"/>
                <w:color w:val="000000"/>
                <w:kern w:val="0"/>
                <w:sz w:val="16"/>
                <w:szCs w:val="16"/>
                <w:u w:val="none"/>
                <w:lang w:val="en-US" w:eastAsia="zh-CN" w:bidi="ar"/>
              </w:rPr>
              <w:t>2023年，我市认真贯彻落实党中央国务院和省委省政府各项决策部署，全力以赴拼经济比发展、抓项目促投资，坚持以项目建设为总抓手，深入开展项目储备、项目争取、项目招引、项目开工、项目建设、项目投产“六大”攻坚行动，围绕地方政府专项债、中省预算内投资等政策要求，持续谋划储备一批符合投向和申报要求的项目，定期调度通报前期工作推进情况。持续开展项目投资“拉练评比”和推进“红黑榜”通报机制，推动300个市重点项目提前2个月完成全年目标任务，20个省重点项目提前4个月完成全年目标任务，完成投资205.9亿元，超年度目标任务33.2个百分点，推动实现固定资产投资增速“V”型反转，有力促进全市经济跑出逐季回升、追赶奋进的昂扬曲线。项目自评得分100分。</w:t>
            </w:r>
          </w:p>
        </w:tc>
      </w:tr>
      <w:tr w14:paraId="0CC6CC1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8D6561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存在问题</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3E67B61E">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27CF2B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3"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B4FB6A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改进措施</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76B9F6C1">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23A9F5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40CB8EF">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w:t>
            </w:r>
          </w:p>
        </w:tc>
        <w:tc>
          <w:tcPr>
            <w:tcW w:w="0" w:type="auto"/>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6014EAA">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w:t>
            </w:r>
          </w:p>
        </w:tc>
      </w:tr>
      <w:tr w14:paraId="24A122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tcBorders>
              <w:top w:val="nil"/>
              <w:left w:val="nil"/>
              <w:bottom w:val="nil"/>
              <w:right w:val="nil"/>
            </w:tcBorders>
            <w:shd w:val="clear" w:color="auto" w:fill="auto"/>
            <w:vAlign w:val="center"/>
          </w:tcPr>
          <w:p w14:paraId="6A9A201D">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51002477">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04775172">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28FD4D23">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1DF3895B">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6814DEB7">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6B1DCBD5">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174F58FF">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04CE9A99">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70C8040C">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5FF03A86">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45ECC7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0" w:type="auto"/>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5BC69406">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部门预算项目支出绩效自评表（2023年度）</w:t>
            </w:r>
          </w:p>
        </w:tc>
      </w:tr>
      <w:tr w14:paraId="3CD15D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4A25D45">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项目名称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5FE03C6F">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51080022T000006113722-职业年金</w:t>
            </w:r>
          </w:p>
        </w:tc>
      </w:tr>
      <w:tr w14:paraId="3DBFD4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92"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FAF1C5E">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主管部门</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04B33E99">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广元市发展和改革委员会部门</w:t>
            </w:r>
          </w:p>
        </w:tc>
        <w:tc>
          <w:tcPr>
            <w:tcW w:w="0" w:type="auto"/>
            <w:tcBorders>
              <w:top w:val="nil"/>
              <w:left w:val="nil"/>
              <w:bottom w:val="nil"/>
              <w:right w:val="nil"/>
            </w:tcBorders>
            <w:shd w:val="clear" w:color="auto" w:fill="auto"/>
            <w:vAlign w:val="center"/>
          </w:tcPr>
          <w:p w14:paraId="498CE268">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AFF5B7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w:t>
            </w:r>
          </w:p>
        </w:tc>
      </w:tr>
      <w:tr w14:paraId="473D1A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BF2E33A">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项目基本情况</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AEA95B7">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1.项目年度目标完成情况</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11DE479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项目年度目标</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797CBBD0">
            <w:pPr>
              <w:keepNext w:val="0"/>
              <w:keepLines w:val="0"/>
              <w:widowControl/>
              <w:suppressLineNumbers w:val="0"/>
              <w:spacing w:before="0" w:beforeAutospacing="0" w:after="0" w:afterAutospacing="0"/>
              <w:ind w:left="0" w:right="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14:paraId="417329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8"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8C738D">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0845A8">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7C0B1B43">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职业年金缴费</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0BBEBBE4">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完成23年度职业年金缴费。</w:t>
            </w:r>
          </w:p>
        </w:tc>
      </w:tr>
      <w:tr w14:paraId="592B5E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3"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BAEAE4">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69E1CAA">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2.项目实施内容及过程概述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3ECD0429">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严格按照资金下达文件及支付流程进行支付。</w:t>
            </w:r>
          </w:p>
        </w:tc>
      </w:tr>
      <w:tr w14:paraId="286FAC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D84E42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预算执行情况（10分）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C18706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年度预算数（万元）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21A1E8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年初预算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C52B92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调整后预算数</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AFA412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预算执行数</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6E3BA7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E36427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64B21A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C97F69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原因</w:t>
            </w:r>
          </w:p>
        </w:tc>
      </w:tr>
      <w:tr w14:paraId="51C1B8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DD73E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2877B2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总额</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B6D385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E95C53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6.50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F29027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6.50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53EA4C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E1B589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570629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0FE308E">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151323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FEFFE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45075B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其中：财政资金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D10F9E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918861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6.50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C2598E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6.50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804F66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A62163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83E961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474D598">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46BD4C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7"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A086F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77BFD4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财政专户管理资金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9CE4A2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4E71FD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D72072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06CCBA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4798C9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53F8FE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5002A7">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1BC3EC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DB6F1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73061A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单位资金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095856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8C9EEF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3B211F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E5AA93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4341D8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8B857F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A23549">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71A5AE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78FE6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32B9FE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其他资金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E535BEF">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0C8B183">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EC11F9E">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121EDB1">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7DC2E2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6F6266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36342F">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2AE589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5481E2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绩效指标（90分）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896B36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一级指标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86C1FC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二级指标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2239DF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三级指标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6B9AD8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指标性质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1BDB9A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6E91CE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度量单位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BFB77D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完成值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20CD4A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DF8372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FC5C42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未完成原因分析</w:t>
            </w:r>
          </w:p>
        </w:tc>
      </w:tr>
      <w:tr w14:paraId="37C22D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45C03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4E11B3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产出指标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0620E7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数量指标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3EBE53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享受职业年金人数</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9EABC9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8B5D05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116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00DFD7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人</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3B32E9E">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116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7E4529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6712B1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4862335">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666972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3CDB2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A9868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D97CD9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质量指标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1A353A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经费保障情况</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D0F999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5A329B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129772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CB05F9C">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6A6FA9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7D7264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E75024E">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187BA7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47D45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1CC3C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ADCDDA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时效指标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1A0B8C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完成时间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402325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27FD4F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9820D2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月</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AAB53BD">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B38944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12FC73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BF4596B">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0F630C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5E8D5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FC2444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762F07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可持续影响指标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6A49F5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职工职业保障</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E7674D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BFD14E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优良中低差</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815D88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D0B224F">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优</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17933F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7255B2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D7687C0">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6A591D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88DE4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8030D9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满意度指标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877EF8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满意度指标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7B084B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职工满意度</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03FFC7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DBDA74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99</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3C6361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6A64FDF">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99</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1F6033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C20EFC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C8456BE">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7AD6DE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49391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636468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成本指标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C6B3D7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经济成本指标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BF0E2B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职业年金缴费金额</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5FA704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CF0D7D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64995.2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359A7D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7289551">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64955.2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868070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835DD4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3005987">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2846DF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3AED90D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合计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005EC9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D56191B">
            <w:pPr>
              <w:keepNext w:val="0"/>
              <w:keepLines w:val="0"/>
              <w:widowControl/>
              <w:suppressLineNumbers w:val="0"/>
              <w:spacing w:before="0" w:beforeAutospacing="0" w:after="0" w:afterAutospacing="0"/>
              <w:ind w:left="0" w:right="0"/>
              <w:jc w:val="righ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98E0B0C">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636129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3"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250A68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评价结论</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6F8EAF06">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自评得分100分，完成了预期绩效目标，达到了资金使用效益。</w:t>
            </w:r>
          </w:p>
        </w:tc>
      </w:tr>
      <w:tr w14:paraId="29438B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70AA57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存在问题</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3632AEB8">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47BB13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3"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48E74C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改进措施</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0369A77F">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65AB22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5F0266EE">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w:t>
            </w:r>
          </w:p>
        </w:tc>
        <w:tc>
          <w:tcPr>
            <w:tcW w:w="0" w:type="auto"/>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4AC7E92">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w:t>
            </w:r>
          </w:p>
        </w:tc>
      </w:tr>
      <w:tr w14:paraId="5D6AE0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tcBorders>
              <w:top w:val="nil"/>
              <w:left w:val="nil"/>
              <w:bottom w:val="nil"/>
              <w:right w:val="nil"/>
            </w:tcBorders>
            <w:shd w:val="clear" w:color="auto" w:fill="auto"/>
            <w:vAlign w:val="center"/>
          </w:tcPr>
          <w:p w14:paraId="4A440317">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172852CE">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13CB6F5F">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24DE7115">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3E3A97AD">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55F9A844">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560E3928">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2EDB87C9">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0F8C06E4">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78F83ACC">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5B3265E3">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5D633B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0" w:type="auto"/>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559F9E91">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部门预算项目支出绩效自评表（2023年度）</w:t>
            </w:r>
          </w:p>
        </w:tc>
      </w:tr>
      <w:tr w14:paraId="51FBD2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929705B">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项目名称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1EAF1EFD">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51080022T000007149974-办公楼维修项目</w:t>
            </w:r>
          </w:p>
        </w:tc>
      </w:tr>
      <w:tr w14:paraId="129E28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2"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28A26FD">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主管部门</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15DCEBFA">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广元市发展和改革委员会部门</w:t>
            </w:r>
          </w:p>
        </w:tc>
        <w:tc>
          <w:tcPr>
            <w:tcW w:w="0" w:type="auto"/>
            <w:tcBorders>
              <w:top w:val="nil"/>
              <w:left w:val="nil"/>
              <w:bottom w:val="nil"/>
              <w:right w:val="nil"/>
            </w:tcBorders>
            <w:shd w:val="clear" w:color="auto" w:fill="auto"/>
            <w:vAlign w:val="center"/>
          </w:tcPr>
          <w:p w14:paraId="20FDC688">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8FFA9F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w:t>
            </w:r>
          </w:p>
        </w:tc>
      </w:tr>
      <w:tr w14:paraId="696BB6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8D4124A">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项目基本情况</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CE60C37">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1.项目年度目标完成情况</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08EE445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项目年度目标</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10335E7C">
            <w:pPr>
              <w:keepNext w:val="0"/>
              <w:keepLines w:val="0"/>
              <w:widowControl/>
              <w:suppressLineNumbers w:val="0"/>
              <w:spacing w:before="0" w:beforeAutospacing="0" w:after="0" w:afterAutospacing="0"/>
              <w:ind w:left="0" w:right="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14:paraId="3DCA7D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8"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9FF9A8">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42217F">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801482E">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指标1：办公楼外墙及室内安全排危； 指标2：完成办公楼屋面防水处理工作；指 标3：完成办公楼2、3楼铝合金窗户更换工作；指标4：完成公调外机移机工作。</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3D1AA5D2">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已于2022年完成既定目标，并于23年完成质保金的支付。</w:t>
            </w:r>
          </w:p>
        </w:tc>
      </w:tr>
      <w:tr w14:paraId="568E28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3"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E8729F">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69326AF">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2.项目实施内容及过程概述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36FCAF42">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按照合同约定支付质量保证金。</w:t>
            </w:r>
          </w:p>
        </w:tc>
      </w:tr>
      <w:tr w14:paraId="6AAD74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63BB1F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预算执行情况（10分）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80D75D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年度预算数（万元）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83A31C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年初预算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831931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调整后预算数</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B6E422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预算执行数</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B32BF1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14CDF1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C315A4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F0B01C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原因</w:t>
            </w:r>
          </w:p>
        </w:tc>
      </w:tr>
      <w:tr w14:paraId="7341BE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28730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CA423C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总额</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21A6DA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1.69</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03C88D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1.69</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48DEC5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1.28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4A344E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76.07%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6FC8CE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82DE7E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49B1FF3">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366E7A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17BC1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88FE66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其中：财政资金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79FE56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1.69</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ED5571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1.69</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F11D28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1.28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472193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76.07%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6042C7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DB7CFA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3BDF31">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779130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7"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DD47B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7D30CA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财政专户管理资金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8A0E8F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75DB1F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F283F7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866329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404FBB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98C589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0E07F8">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3FBF05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66C73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695097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单位资金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2622D8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DC0EA1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E5AA7C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888774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245640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38EBFC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56ACC5">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3EC5F4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D4547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38F83B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其他资金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CD0DCCF">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BF81992">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97D5D00">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75D886E">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E10CD4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6373B9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957529">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5DC14F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9D4AD9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绩效指标（90分）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490FC3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一级指标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E9D7D1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二级指标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2BB050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三级指标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EC97F6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指标性质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715962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08CA86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度量单位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05EC98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完成值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A59929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0807CA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6B0A5E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未完成原因分析</w:t>
            </w:r>
          </w:p>
        </w:tc>
      </w:tr>
      <w:tr w14:paraId="3F0E98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5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2B26E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245830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产出指标</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F537B5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数量指标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F5C766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指标2：拆除空调室外机，待外墙改造后空调室外机统一规整（包含移机、安装、加氟、加铜管、外机防护罩、空调排水管等）。</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36BC1E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C8A196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14267A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台</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E906797">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55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28B40A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235B99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BA52FA6">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4CA126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78"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81FC1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7FA44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EC3A6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E23212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指标4：三楼、五楼、七楼、附二楼屋顶局部防水处理。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9E2269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2D3A3E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300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EF447F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平方米</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C054471">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300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E32169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CAD341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BA97FCB">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33CC05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78"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5B94A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D8B38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5F63A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1F5FB8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指标1：铲除原外墙漆，在原外墙瓷砖上挂网后做外墙真石漆。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063DC3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A59282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2300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BD47F9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平方米</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83CA01D">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2300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15BF40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E972C6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EFC4646">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2E9ED0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19C47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D9632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496DF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BBC25F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指标3：拆除原二楼、三楼铝合金平开窗，更换为塑钢（铝合金）平开窗或向上平开窗。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C1EB5D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360AF5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740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F13F65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平方米</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3E43A80">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740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93339A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803488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976C84A">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02A729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FECA0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4BA6F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65FA76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质量指标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25310B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指标1：竣工验收合格率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2E0FA4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7A1A66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6B1319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3E14F28">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6CB6CF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BBB381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35E2E50">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5786DE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9B74C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83384F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F573AB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时效指标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137DC4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指标1：完成时间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9B05C3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8E6EE9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9EC92E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月</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C6D8E65">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17D4E2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B81BDE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6D6E1D7">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7A871B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9A02FF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EE5E24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882956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社会效益指标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9C553B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指标1：排除周边安全隐患。</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1FF929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CEABA2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经过维修维护，预防外墙瓷砖脱落，降低周边行人及车辆安全隐患。</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FA962E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E5DDCBF">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经过维修维护，预防外墙瓷砖脱落，降低周边行人及车辆安全隐患。</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C63BA8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68ABEF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C9FCAEF">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765596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60480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8163B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8C3996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生态效益指标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DA31B8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指标1：维护周边环境污染。</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448280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9D1E82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经过维修维护，长久持续的降低办公楼周边安全隐患及环境污染。</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F74AD5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1F57974">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经过维修维护，长久持续的降低办公楼周边安全隐患及环境污染。</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9A192E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F831BF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8088A71">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590D1E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6EEB7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D8A9D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810ED0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可持续影响指标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902AED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指标1：降低安全隐患及环境污染。</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9D9FC9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9530B3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经过维修维护，长久持续的降低办公楼周边安全隐患及环境污染。</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30616B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44548A5">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经过维修维护，长久持续的降低办公楼周边安全隐患及环境污染。</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A90ED0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CBB4EB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B307326">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29531B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98805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7C78ED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满意度指标</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B44EC8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满意度指标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38B00A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指标1：公众满意度</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E3191B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421F12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95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7E2042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47A3867">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95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92B700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3294D0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30F3A70">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1CED95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37FD3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1C810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F9A7B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1867D9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指标2：员工满意度</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66D0BC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D90884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95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3E8E49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9FA04AC">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95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D9A14F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8A6F38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E39039E">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690F56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6D315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79C42A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成本指标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30918A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经济成本指标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D66B29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指标1：办公楼维修</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603BDB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940636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49.7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68A151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F37443F">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48.42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6E35DB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1C6C89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EB5C3E8">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58DF47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6FF88C2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合计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B0C898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31D58A7">
            <w:pPr>
              <w:keepNext w:val="0"/>
              <w:keepLines w:val="0"/>
              <w:widowControl/>
              <w:suppressLineNumbers w:val="0"/>
              <w:spacing w:before="0" w:beforeAutospacing="0" w:after="0" w:afterAutospacing="0"/>
              <w:ind w:left="0" w:right="0"/>
              <w:jc w:val="righ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5523F08">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5B6D04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3"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11FECE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评价结论</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3CDD28FC">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项目总评分100分，该项目维修改造和排除了外墙砖脱落的风险，改善了办公环境及屋面漏水等现象，与周边建筑保持基本一致。</w:t>
            </w:r>
          </w:p>
        </w:tc>
      </w:tr>
      <w:tr w14:paraId="2F7803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42A787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存在问题</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7381D1DC">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5F801D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3"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F6D52B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改进措施</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2A68CD0C">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2E269D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59A21F58">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w:t>
            </w:r>
          </w:p>
        </w:tc>
        <w:tc>
          <w:tcPr>
            <w:tcW w:w="0" w:type="auto"/>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8C8A461">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w:t>
            </w:r>
          </w:p>
        </w:tc>
      </w:tr>
      <w:tr w14:paraId="704933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tcBorders>
              <w:top w:val="nil"/>
              <w:left w:val="nil"/>
              <w:bottom w:val="nil"/>
              <w:right w:val="nil"/>
            </w:tcBorders>
            <w:shd w:val="clear" w:color="auto" w:fill="auto"/>
            <w:vAlign w:val="center"/>
          </w:tcPr>
          <w:p w14:paraId="25A50F2C">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71E22784">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27D1074A">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3493F313">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51476CBC">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4557F46E">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4CAC854E">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571F7B7A">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589DB92F">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0EE11FC8">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3CBFEC7E">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28566E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0" w:type="auto"/>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4B5A99FE">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部门预算项目支出绩效自评表（2023年度）</w:t>
            </w:r>
          </w:p>
        </w:tc>
      </w:tr>
      <w:tr w14:paraId="71861C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C0D99DD">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项目名称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408A056F">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51080022T000007176895-农调户（登记员）误工补助、调查经费（依据调查网点规模和调查数量确定）、调查人员及价格监测人员（含监测点）的补助、其他和农产品调查和价格监测有关的费用</w:t>
            </w:r>
          </w:p>
        </w:tc>
      </w:tr>
      <w:tr w14:paraId="58C8F1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2"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99C6C23">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主管部门</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217B6285">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广元市发展和改革委员会部门</w:t>
            </w:r>
          </w:p>
        </w:tc>
        <w:tc>
          <w:tcPr>
            <w:tcW w:w="0" w:type="auto"/>
            <w:tcBorders>
              <w:top w:val="nil"/>
              <w:left w:val="nil"/>
              <w:bottom w:val="nil"/>
              <w:right w:val="nil"/>
            </w:tcBorders>
            <w:shd w:val="clear" w:color="auto" w:fill="auto"/>
            <w:vAlign w:val="center"/>
          </w:tcPr>
          <w:p w14:paraId="391456CC">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3F5076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w:t>
            </w:r>
          </w:p>
        </w:tc>
      </w:tr>
      <w:tr w14:paraId="3F7764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587E924">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项目基本情况</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BEFD23A">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1.项目年度目标完成情况</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2759BE0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项目年度目标</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6D8B15B1">
            <w:pPr>
              <w:keepNext w:val="0"/>
              <w:keepLines w:val="0"/>
              <w:widowControl/>
              <w:suppressLineNumbers w:val="0"/>
              <w:spacing w:before="0" w:beforeAutospacing="0" w:after="0" w:afterAutospacing="0"/>
              <w:ind w:left="0" w:right="0"/>
              <w:jc w:val="center"/>
              <w:textAlignment w:val="center"/>
              <w:rPr>
                <w:rFonts w:hint="eastAsia" w:ascii="黑体" w:hAnsi="黑体" w:eastAsia="黑体" w:cs="黑体"/>
                <w:i w:val="0"/>
                <w:iCs w:val="0"/>
                <w:color w:val="FF0000"/>
                <w:sz w:val="18"/>
                <w:szCs w:val="18"/>
                <w:u w:val="none"/>
              </w:rPr>
            </w:pPr>
            <w:r>
              <w:rPr>
                <w:rFonts w:hint="eastAsia" w:ascii="黑体" w:hAnsi="黑体" w:eastAsia="黑体" w:cs="黑体"/>
                <w:i w:val="0"/>
                <w:iCs w:val="0"/>
                <w:color w:val="FF0000"/>
                <w:kern w:val="0"/>
                <w:sz w:val="18"/>
                <w:szCs w:val="18"/>
                <w:u w:val="none"/>
                <w:lang w:val="en-US" w:eastAsia="zh-CN" w:bidi="ar"/>
              </w:rPr>
              <w:t>年度目标完成情况</w:t>
            </w:r>
          </w:p>
        </w:tc>
      </w:tr>
      <w:tr w14:paraId="39C6AD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8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B243DA">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A60489">
            <w:pPr>
              <w:keepNext w:val="0"/>
              <w:keepLines w:val="0"/>
              <w:suppressLineNumbers w:val="0"/>
              <w:spacing w:before="0" w:beforeAutospacing="0" w:after="0" w:afterAutospacing="0"/>
              <w:ind w:left="0" w:right="0"/>
              <w:rPr>
                <w:rFonts w:hint="eastAsia" w:ascii="宋体" w:hAnsi="宋体" w:eastAsia="宋体" w:cs="宋体"/>
                <w:i w:val="0"/>
                <w:iCs w:val="0"/>
                <w:color w:val="FF0000"/>
                <w:sz w:val="18"/>
                <w:szCs w:val="18"/>
                <w:u w:val="none"/>
              </w:rPr>
            </w:pP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5DA6B613">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按国家和省成本局的要求和安排，及时准确的对15个品种，30小类，大约130家调查户进行农产品的常规、直报调查，农户种植意向、存粮、农资购买、专项调查，蔬菜和生猪的流通环节的成本调查、生猪成本的月报调查。按国家和省价格监测局安排，对城市居民食品、农业生产资料、能源和工业生产资料、特色农产品、建材、城市居民服务价格7大类180个品种主要商品和服务价格及时进行采价、报价和动态分析，报送周报、旬报、月报、双月报等各类监测报表，做到数据真实准确。</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49F418F3">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价格监测：按照工作安排，全年报送城市居民食品、农业生产资料、能源和工业生产资料等180余个品种主要商品和服务的价格监测报表总计151份（含应急监测报表）。</w:t>
            </w:r>
            <w:r>
              <w:rPr>
                <w:rFonts w:hint="eastAsia" w:ascii="黑体" w:hAnsi="黑体" w:eastAsia="黑体" w:cs="黑体"/>
                <w:i w:val="0"/>
                <w:iCs w:val="0"/>
                <w:color w:val="000000"/>
                <w:kern w:val="0"/>
                <w:sz w:val="18"/>
                <w:szCs w:val="18"/>
                <w:u w:val="none"/>
                <w:lang w:val="en-US" w:eastAsia="zh-CN" w:bidi="ar"/>
              </w:rPr>
              <w:br w:type="textWrapping"/>
            </w:r>
            <w:r>
              <w:rPr>
                <w:rFonts w:hint="eastAsia" w:ascii="黑体" w:hAnsi="黑体" w:eastAsia="黑体" w:cs="黑体"/>
                <w:i w:val="0"/>
                <w:iCs w:val="0"/>
                <w:color w:val="000000"/>
                <w:kern w:val="0"/>
                <w:sz w:val="18"/>
                <w:szCs w:val="18"/>
                <w:u w:val="none"/>
                <w:lang w:val="en-US" w:eastAsia="zh-CN" w:bidi="ar"/>
              </w:rPr>
              <w:t>农本调查：一是对本年度农户种植意向工作做了专项调查，通过调查数据及结论积极引导种植户优化种植品种和结构；完成了农户存售粮情况、农资购买国家专项调查和烤烟国家直报调查；二是完成了小麦、玉米、油菜籽等8个品种的国家常规调查；三是认真详实的对我市流通环节的生猪、大白菜和西红柿等批发环节，特色农产品猕猴桃成本开展了省级季度和常规调查，并及时上报省成本局；四是完成了全省的烤烟成本审核，形成了全省烤烟成本调查报告；五是完成了我市景区门票成本和煤炭企业成本调查；六是完成了生猪屠宰成本月报报送工作。新增苍溪、旺苍、剑阁三个县农本联合调查户27户。</w:t>
            </w:r>
          </w:p>
        </w:tc>
      </w:tr>
      <w:tr w14:paraId="3111DEC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93"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93BC90">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B091519">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2.项目实施内容及过程概述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150F4D43">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定时上报周报、旬报、月报、双月报等各类监测报表，以及农产品的常规、直报调查，农户种植意向、存粮、农资购买专项调查，蔬菜和生猪的流通环节的成本调查、生猪成本的月报调查等</w:t>
            </w:r>
          </w:p>
        </w:tc>
      </w:tr>
      <w:tr w14:paraId="2EF97A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AA7FA1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预算执行情况（10分）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06EB06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年度预算数（万元）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6C5C43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年初预算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E4DC71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调整后预算数</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46090A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预算执行数</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25A28D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6DDF12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BF18C8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4D1166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原因</w:t>
            </w:r>
          </w:p>
        </w:tc>
      </w:tr>
      <w:tr w14:paraId="754599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6ECC3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90E498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总额</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EB0D68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1.29</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97C81C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4.19</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D32C4E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1.95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4D6BC4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46.54%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D59BC2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C02D5A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A19851A">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2C00B7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56816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C4FE70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其中：财政资金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F753E4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1.29</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281D3E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4.19</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FD13CF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1.95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655F5C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46.54%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16C53D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B31AA9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62F410">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52FF48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7"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9D268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7E045C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财政专户管理资金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091F2B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102788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7E7D95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4DFFA8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6A4C85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F21933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8E10DB">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019F04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D9858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7B0FC8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单位资金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8AC815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C1D552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A20089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BF135A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2A2556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853C4F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BC2DCA">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2913DF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7A8CF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1A3225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其他资金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954F2D8">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D0C4B28">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141B1DE">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1D17BCC">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4CCF9F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2FD5F6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D16587">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5C03B3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9B6207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绩效指标（90分）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D57AD6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一级指标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4DABDA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二级指标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172323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三级指标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23D968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指标性质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5634BF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AEAFF9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度量单位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7AEEAF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完成值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71C32F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F1D589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399E0A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未完成原因分析</w:t>
            </w:r>
          </w:p>
        </w:tc>
      </w:tr>
      <w:tr w14:paraId="799931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78"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BB220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4BC050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产出指标</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EE590B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数量指标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8C6C15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指标1：每月按时上报生猪和蔬菜等流通环节的成本调查任务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9B1F1D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AF7FC0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0CE9CD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月</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F1D5FC4">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978448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79F028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204426B">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50522A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DDBC2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0D3BA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8386CB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F6BE22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指标3：及时在我委官网公布价格信息</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438C69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AECBC3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37CB73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天</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C1EE3A9">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DD14E5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C7118C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F69BC17">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301C52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3D8C2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71DD1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D2D9C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0645F0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指标2：按时上报省价格监测局报表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164735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4E94C3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7ACE6E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月</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BEBF831">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F8C07D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227CCA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9C95572">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354B8F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78"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0D407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48CC9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12B25A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质量指标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A4F151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指标1：确保农产品成本资料及价格监测数据真实有效</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D8D0ED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EEF15F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F2D52F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FD336D4">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8E2E12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9511B3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1A8D5EB">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190686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20D43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4CE1E8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27F368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时效指标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0EFB7E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指标1：完成时间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6598DB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93D54B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6F809A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CE4D321">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AAF17F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B9837B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3CBFA5B">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7AB76C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5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DAF9A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7FD7A8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8F5E30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经济效益指标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B0F147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指标1：调整优化农业区域布局、引导农民调整生产结构、增加收入</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29A411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6DB52F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通过对农产品成本数据及价格监测数据的研究，及时引导农民调整生产品种和规模，回避风险，增加收入。</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BC3677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83F5BF2">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完成</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CF8EB6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C3A49F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DFB6848">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2B20D0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4D921E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2AB78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BA9B18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社会效益指标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1FFA9B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指标1：制定农业补贴、农业保险政策的基础工作、政府制定农产品价格政策的重要环节</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C247BC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44DEA3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为政府制定农产品价格政策及农业补贴、农业保险政策提供依据</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A8B0E4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CAD5DF1">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完成</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DA285C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870A68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E8CE82E">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7DFEC8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939F6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94BA57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满意度指标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37D84A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服务对象满意度指标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633DE8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指标1：农民和城市居民满意率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AFC456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4A84E5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885F5B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554CBAE">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562B00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2C8CC8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3E389FC">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7ABA73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779D4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F0BBE3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成本指标</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EA2E59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经济成本指标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C91F9F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指标1：农本调查员、监测采价员补助费发放</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87CAE4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C0D9F9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F80B4E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A28A4C5">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1.95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A1B7DE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B12C81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8B0E275">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按省局要求，对监测点进行整合调整，导致当年实际发放经费减少</w:t>
            </w:r>
          </w:p>
        </w:tc>
      </w:tr>
      <w:tr w14:paraId="3A251E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769A4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7546D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737D5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2C0888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指标2：对农调户的培训和慰问</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E91875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8E6A1C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9560B4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6E61348">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044EC7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107240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FDE98A4">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和县区一起对农调户进行培训和慰问，经费由县区承担</w:t>
            </w:r>
          </w:p>
        </w:tc>
      </w:tr>
      <w:tr w14:paraId="3D4C3D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001835B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合计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B2CF7F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5325F08">
            <w:pPr>
              <w:keepNext w:val="0"/>
              <w:keepLines w:val="0"/>
              <w:widowControl/>
              <w:suppressLineNumbers w:val="0"/>
              <w:spacing w:before="0" w:beforeAutospacing="0" w:after="0" w:afterAutospacing="0"/>
              <w:ind w:left="0" w:right="0"/>
              <w:jc w:val="righ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88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2647D9B">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35BEE6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3"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363407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评价结论</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282594DD">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项目的实施和专项经费的使用，保证了我市农本调查及价格监测工作的正常开展，也为进一步调整优化农业区域布局、引导农民调整生产结构、增加收入，制定农业补贴、农业保险政策的基础工作、政府制定农产品价格政策提供了支撑。全年按时高质量的完成了国家及省上安排的工作。自评得分88分。</w:t>
            </w:r>
          </w:p>
        </w:tc>
      </w:tr>
      <w:tr w14:paraId="49A63E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D1573A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存在问题</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34BF3972">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我市农本调查及价格监测工作均通过系统上报数据，由于国省拨付经费有限，且市本级财政并没有配套资金预算，导致无法给农调人员及价格监测人员配备相关的通讯设备（如手机等），相应的通讯补助也无法发放，从而导致经费结余.2.由于省上拨付经费较晚，每年对工作人员的培训及慰问均与县区、人保公司、烟草公司一同开展，经费由县区、人保公司、烟草公司承担，从而导致经费结余。</w:t>
            </w:r>
          </w:p>
        </w:tc>
      </w:tr>
      <w:tr w14:paraId="13BAA0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3"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1B9BBE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改进措施</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1942A85B">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后期将积极与我委财务室对接，优化支出结构，确保支出的合理性及科学性，及时足额的使用本年经费.2.以后与人保公司、烟草公司、县区对农调户进行年度培训和慰问产生的经费，将对该笔费用进行合理的分摊。</w:t>
            </w:r>
          </w:p>
        </w:tc>
      </w:tr>
      <w:tr w14:paraId="1B3621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700B094A">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w:t>
            </w:r>
          </w:p>
        </w:tc>
        <w:tc>
          <w:tcPr>
            <w:tcW w:w="0" w:type="auto"/>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570A170">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w:t>
            </w:r>
          </w:p>
        </w:tc>
      </w:tr>
      <w:tr w14:paraId="042A9A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tcBorders>
              <w:top w:val="nil"/>
              <w:left w:val="nil"/>
              <w:bottom w:val="nil"/>
              <w:right w:val="nil"/>
            </w:tcBorders>
            <w:shd w:val="clear" w:color="auto" w:fill="auto"/>
            <w:vAlign w:val="center"/>
          </w:tcPr>
          <w:p w14:paraId="72630A37">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3903B7ED">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66CDD52D">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18CA50F9">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6036BBD9">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0725790D">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4FB3FBE6">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6E00A211">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7C554C57">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4E0C520E">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39A16CC0">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35CCB7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0" w:type="auto"/>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7C7AA531">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部门预算项目支出绩效自评表（2023年度）</w:t>
            </w:r>
          </w:p>
        </w:tc>
      </w:tr>
      <w:tr w14:paraId="5CDCE3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7B6C163">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项目名称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27C59B18">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51080023T000007843358-广元市社会信用体系建设咨询服务项目（广元市创建全国社会信用体系建设示范区第三方综合咨询服务费）</w:t>
            </w:r>
          </w:p>
        </w:tc>
      </w:tr>
      <w:tr w14:paraId="1806EF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2"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6C1B308">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主管部门</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6369EAA">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广元市发展和改革委员会部门</w:t>
            </w:r>
          </w:p>
        </w:tc>
        <w:tc>
          <w:tcPr>
            <w:tcW w:w="0" w:type="auto"/>
            <w:tcBorders>
              <w:top w:val="nil"/>
              <w:left w:val="nil"/>
              <w:bottom w:val="nil"/>
              <w:right w:val="nil"/>
            </w:tcBorders>
            <w:shd w:val="clear" w:color="auto" w:fill="auto"/>
            <w:vAlign w:val="center"/>
          </w:tcPr>
          <w:p w14:paraId="0268675F">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5BAECC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w:t>
            </w:r>
          </w:p>
        </w:tc>
      </w:tr>
      <w:tr w14:paraId="4F1752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890B1AB">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项目基本情况</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6B8D58B">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1.项目年度目标完成情况</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0ED7BD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项目年度目标</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29FCC32B">
            <w:pPr>
              <w:keepNext w:val="0"/>
              <w:keepLines w:val="0"/>
              <w:widowControl/>
              <w:suppressLineNumbers w:val="0"/>
              <w:spacing w:before="0" w:beforeAutospacing="0" w:after="0" w:afterAutospacing="0"/>
              <w:ind w:left="0" w:right="0"/>
              <w:jc w:val="center"/>
              <w:textAlignment w:val="center"/>
              <w:rPr>
                <w:rFonts w:hint="eastAsia" w:ascii="黑体" w:hAnsi="黑体" w:eastAsia="黑体" w:cs="黑体"/>
                <w:i w:val="0"/>
                <w:iCs w:val="0"/>
                <w:color w:val="FF0000"/>
                <w:sz w:val="18"/>
                <w:szCs w:val="18"/>
                <w:u w:val="none"/>
              </w:rPr>
            </w:pPr>
            <w:r>
              <w:rPr>
                <w:rFonts w:hint="eastAsia" w:ascii="黑体" w:hAnsi="黑体" w:eastAsia="黑体" w:cs="黑体"/>
                <w:i w:val="0"/>
                <w:iCs w:val="0"/>
                <w:color w:val="FF0000"/>
                <w:kern w:val="0"/>
                <w:sz w:val="18"/>
                <w:szCs w:val="18"/>
                <w:u w:val="none"/>
                <w:lang w:val="en-US" w:eastAsia="zh-CN" w:bidi="ar"/>
              </w:rPr>
              <w:t>年度目标完成情况</w:t>
            </w:r>
          </w:p>
        </w:tc>
      </w:tr>
      <w:tr w14:paraId="4051E9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8"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58E7B0">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B89CE0">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6BC3EB0">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指导完成广元市创建全国社会信用体系建设示范区，在国家级新闻网站及信用专业网站宣传广元信用建设重要事项</w:t>
            </w:r>
            <w:r>
              <w:rPr>
                <w:rFonts w:hint="eastAsia" w:ascii="宋体" w:hAnsi="宋体" w:cs="宋体"/>
                <w:i w:val="0"/>
                <w:iCs w:val="0"/>
                <w:color w:val="000000"/>
                <w:kern w:val="0"/>
                <w:sz w:val="18"/>
                <w:szCs w:val="18"/>
                <w:u w:val="none"/>
                <w:lang w:val="en-US" w:eastAsia="zh-CN" w:bidi="ar"/>
              </w:rPr>
              <w:t>，</w:t>
            </w:r>
            <w:r>
              <w:rPr>
                <w:rFonts w:hint="default" w:ascii="宋体" w:hAnsi="宋体" w:eastAsia="宋体" w:cs="宋体"/>
                <w:i w:val="0"/>
                <w:iCs w:val="0"/>
                <w:color w:val="000000"/>
                <w:kern w:val="0"/>
                <w:sz w:val="18"/>
                <w:szCs w:val="18"/>
                <w:u w:val="none"/>
                <w:lang w:val="en-US" w:eastAsia="zh-CN" w:bidi="ar"/>
              </w:rPr>
              <w:t>指导并完成合同履约监管系统搭建</w:t>
            </w:r>
            <w:r>
              <w:rPr>
                <w:rFonts w:hint="eastAsia" w:ascii="宋体" w:hAnsi="宋体" w:cs="宋体"/>
                <w:i w:val="0"/>
                <w:iCs w:val="0"/>
                <w:color w:val="000000"/>
                <w:kern w:val="0"/>
                <w:sz w:val="18"/>
                <w:szCs w:val="18"/>
                <w:u w:val="none"/>
                <w:lang w:val="en-US" w:eastAsia="zh-CN" w:bidi="ar"/>
              </w:rPr>
              <w:t>，</w:t>
            </w:r>
            <w:r>
              <w:rPr>
                <w:rFonts w:hint="default" w:ascii="宋体" w:hAnsi="宋体" w:eastAsia="宋体" w:cs="宋体"/>
                <w:i w:val="0"/>
                <w:iCs w:val="0"/>
                <w:color w:val="000000"/>
                <w:kern w:val="0"/>
                <w:sz w:val="18"/>
                <w:szCs w:val="18"/>
                <w:u w:val="none"/>
                <w:lang w:val="en-US" w:eastAsia="zh-CN" w:bidi="ar"/>
              </w:rPr>
              <w:t>提升广元市社会信用体系城市信用监测指标排名</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7B165465">
            <w:pPr>
              <w:keepNext w:val="0"/>
              <w:keepLines w:val="0"/>
              <w:widowControl/>
              <w:suppressLineNumbers w:val="0"/>
              <w:spacing w:before="0" w:beforeAutospacing="0" w:after="0" w:afterAutospacing="0"/>
              <w:ind w:left="0" w:right="0"/>
              <w:jc w:val="left"/>
              <w:textAlignment w:val="center"/>
              <w:rPr>
                <w:rFonts w:hint="eastAsia" w:ascii="黑体" w:hAnsi="宋体" w:eastAsia="黑体" w:cs="黑体"/>
                <w:i w:val="0"/>
                <w:iCs w:val="0"/>
                <w:color w:val="000000"/>
                <w:sz w:val="18"/>
                <w:szCs w:val="18"/>
                <w:u w:val="none"/>
              </w:rPr>
            </w:pPr>
            <w:r>
              <w:rPr>
                <w:rFonts w:hint="eastAsia" w:ascii="黑体" w:hAnsi="宋体" w:eastAsia="黑体" w:cs="黑体"/>
                <w:i w:val="0"/>
                <w:iCs w:val="0"/>
                <w:color w:val="000000"/>
                <w:kern w:val="0"/>
                <w:sz w:val="18"/>
                <w:szCs w:val="18"/>
                <w:u w:val="none"/>
                <w:lang w:val="en-US" w:eastAsia="zh-CN" w:bidi="ar"/>
              </w:rPr>
              <w:t>2023年8月，我市成功创建全国第四批社会信用体系建设示范区，广元市综合信用指数从2022年9月至2023年12月，最长连续15个月位列全省第一，成功搭建广元市合同履约监管系统，经验被国家发展改革委推广。</w:t>
            </w:r>
          </w:p>
        </w:tc>
      </w:tr>
      <w:tr w14:paraId="1F2134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3"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5FA359">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DDACE60">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2.项目实施内容及过程概述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34829919">
            <w:pPr>
              <w:keepNext w:val="0"/>
              <w:keepLines w:val="0"/>
              <w:widowControl/>
              <w:suppressLineNumbers w:val="0"/>
              <w:spacing w:before="0" w:beforeAutospacing="0" w:after="0" w:afterAutospacing="0"/>
              <w:ind w:left="0" w:right="0"/>
              <w:jc w:val="left"/>
              <w:textAlignment w:val="center"/>
              <w:rPr>
                <w:rFonts w:hint="eastAsia" w:ascii="黑体" w:hAnsi="宋体" w:eastAsia="黑体" w:cs="黑体"/>
                <w:i w:val="0"/>
                <w:iCs w:val="0"/>
                <w:color w:val="000000"/>
                <w:sz w:val="18"/>
                <w:szCs w:val="18"/>
                <w:u w:val="none"/>
              </w:rPr>
            </w:pPr>
            <w:r>
              <w:rPr>
                <w:rStyle w:val="54"/>
                <w:lang w:val="en-US" w:eastAsia="zh-CN" w:bidi="ar"/>
              </w:rPr>
              <w:t>按照社会信用体系建设评选指标，组织相关专家深入调研，结合创建要求，分析广元市信用体系建设短板和问题，形成有效成果资料。制定操作可行的《广元市创建全国社会信用体系建设示范市实施方案》，在创建阶段这是业技术人员现场提供创建指导咨询服务，完善合同履约监管机制，同时搭建合同履约监管系统，加强合同数据归集。在新闻媒体宣传广元信用建设，提升广元市城市信用综合指数。</w:t>
            </w:r>
          </w:p>
        </w:tc>
      </w:tr>
      <w:tr w14:paraId="395E0B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0F682D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预算执行情况（10分）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9B1C9D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年度预算数（万元）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4F89D2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年初预算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31B2C6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调整后预算数</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A6F45E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预算执行数</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0832FF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DD6E09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23F1AB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47C1CF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原因</w:t>
            </w:r>
          </w:p>
        </w:tc>
      </w:tr>
      <w:tr w14:paraId="2DC2B0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136CD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27F703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总额</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625D16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60.00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424AA7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60.00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FF1850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57.00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A917CB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95.00%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B56A2C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1B256D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F222BEE">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6A28B6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9C40D9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BB8415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其中：财政资金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3AA835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60.00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A98B84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60.00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D6C3F8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57.00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6076BF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95.00%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75542E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09AE70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42A7BC">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6DCFB6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7"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7C500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3E4914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财政专户管理资金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7940E4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6EBBD2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CE32D1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EF7E28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7ED7AF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A0ADED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2021CA">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372B13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91068F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C09D05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单位资金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7E6F20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3A5273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7609A1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A3958F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654635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A450F3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CC3C0D">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4B09EC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7CE69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8038B0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其他资金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C3AFFF9">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0C3979C">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1D45595">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3FA15F6">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3CC85C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2E1348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C90738">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4D2F3F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E86D9A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绩效指标（90分）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1CFD8C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一级指标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2D28F1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二级指标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4B5A8C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三级指标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E2F9B2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指标性质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4CF7B4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02CAE2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度量单位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DDACD2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完成值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DDA254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56E0E4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29EAD4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未完成原因分析</w:t>
            </w:r>
          </w:p>
        </w:tc>
      </w:tr>
      <w:tr w14:paraId="601DFA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B2B4B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243197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产出指标</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A6972B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数量指标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601559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指标1：指导完成广元市创建全国社会信用体系建设示范区，在国家级新闻网站及信用专业网站宣传广元信用建设重要事项</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FD17DD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BFF145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FCF6CC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4F210FA">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6B6F39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9E1E61D">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i w:val="0"/>
                <w:iCs w:val="0"/>
                <w:color w:val="000000"/>
                <w:sz w:val="18"/>
                <w:szCs w:val="18"/>
                <w:u w:val="none"/>
              </w:rPr>
            </w:pPr>
            <w:r>
              <w:rPr>
                <w:rFonts w:hint="eastAsia" w:ascii="黑体" w:hAnsi="宋体" w:eastAsia="黑体" w:cs="黑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2269091">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4D7643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0FEBC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D5C2D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CB778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DF05AE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指标3：指导并完成合同履约监管系统搭建</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661B16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AF54D6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B6E9C4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FF10BF6">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7AE8F1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6ABB8C6">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i w:val="0"/>
                <w:iCs w:val="0"/>
                <w:color w:val="000000"/>
                <w:sz w:val="18"/>
                <w:szCs w:val="18"/>
                <w:u w:val="none"/>
              </w:rPr>
            </w:pPr>
            <w:r>
              <w:rPr>
                <w:rFonts w:hint="eastAsia" w:ascii="黑体" w:hAnsi="宋体" w:eastAsia="黑体" w:cs="黑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FF57908">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06D589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78"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00DE2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FD058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C3FA2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4FDE28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指标2：提升广元市社会信用体系城市信用监测指标排名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07051A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175092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70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377E00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3479D13">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广元市综合信用指数从2022年9月至2023年12月，最长连续15个月位列全省第一</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F0C495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D8C3C5E">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i w:val="0"/>
                <w:iCs w:val="0"/>
                <w:color w:val="000000"/>
                <w:sz w:val="18"/>
                <w:szCs w:val="18"/>
                <w:u w:val="none"/>
              </w:rPr>
            </w:pPr>
            <w:r>
              <w:rPr>
                <w:rFonts w:hint="eastAsia" w:ascii="黑体" w:hAnsi="宋体" w:eastAsia="黑体" w:cs="黑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F0AFDAB">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185BBC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9450B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62DA5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F37A0C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质量指标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1D287B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指标1：指导完成广元市创建全国社会信用体系建设示范区，在国家级新闻网站及信用专业网站宣传广元信用建设重要事项</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265FE4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6B9FED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形成示范区自评报告，并完成示范区创建活动。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636CA8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2A1C8B2">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形成示范区自评报告，并完成示范区创建活动。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DF13E9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E2A2834">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i w:val="0"/>
                <w:iCs w:val="0"/>
                <w:color w:val="000000"/>
                <w:sz w:val="18"/>
                <w:szCs w:val="18"/>
                <w:u w:val="none"/>
              </w:rPr>
            </w:pPr>
            <w:r>
              <w:rPr>
                <w:rFonts w:hint="eastAsia" w:ascii="黑体" w:hAnsi="宋体" w:eastAsia="黑体" w:cs="黑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7407BB1">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09B5AC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78"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CF8DA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2A235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6F5A5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FDAD63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指标2：提升广元市社会信用体系城市信用监测指标排名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C50F3E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B5F513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2022年第四季度月均排名不低于70名。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CAC81D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CA30C0D">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2022年第四季度月均排名为 47名。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C4C2EF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3BC1756">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i w:val="0"/>
                <w:iCs w:val="0"/>
                <w:color w:val="000000"/>
                <w:sz w:val="18"/>
                <w:szCs w:val="18"/>
                <w:u w:val="none"/>
              </w:rPr>
            </w:pPr>
            <w:r>
              <w:rPr>
                <w:rFonts w:hint="eastAsia" w:ascii="黑体" w:hAnsi="宋体" w:eastAsia="黑体" w:cs="黑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04E112D">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37B03D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81B22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FCBF0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A446A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E421F7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指标3：指导并完成合同履约监管系统搭建</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9E2E3E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ABF3E2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搭建完成，系统投入运行。</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84EA45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A18FEBB">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搭建完成，系统投入运行。</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C461F9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067BFF2">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i w:val="0"/>
                <w:iCs w:val="0"/>
                <w:color w:val="000000"/>
                <w:sz w:val="18"/>
                <w:szCs w:val="18"/>
                <w:u w:val="none"/>
              </w:rPr>
            </w:pPr>
            <w:r>
              <w:rPr>
                <w:rFonts w:hint="eastAsia" w:ascii="黑体" w:hAnsi="宋体" w:eastAsia="黑体" w:cs="黑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09014F6">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605169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17F46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11F70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A57363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时效指标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321106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指标1：完成时间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926C1A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AB9EE4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AA5DA0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月</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E7CD780">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20个月</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8DBDBB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23B590A">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i w:val="0"/>
                <w:iCs w:val="0"/>
                <w:color w:val="000000"/>
                <w:sz w:val="18"/>
                <w:szCs w:val="18"/>
                <w:u w:val="none"/>
              </w:rPr>
            </w:pPr>
            <w:r>
              <w:rPr>
                <w:rFonts w:hint="eastAsia" w:ascii="黑体" w:hAnsi="宋体" w:eastAsia="黑体" w:cs="黑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0302E01">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因国家发展改革委组织两次异议申诉和整改提升，最终结果于2023年8月出台。</w:t>
            </w:r>
          </w:p>
        </w:tc>
      </w:tr>
      <w:tr w14:paraId="5D4BA1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B44BA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F6D0F9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117DC1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社会效益指标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BD8749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指标1：营商环境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EE1A67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BD70CC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增强“信用广元”城市品牌影响力，提升营商环境水平。</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BA9B09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ECBFC13">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Style w:val="55"/>
                <w:lang w:val="en-US" w:eastAsia="zh-CN" w:bidi="ar"/>
              </w:rPr>
              <w:t>2022年和2023年全省营商环境测评市场监管指标都是“优秀”等次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811289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38554F5">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i w:val="0"/>
                <w:iCs w:val="0"/>
                <w:color w:val="000000"/>
                <w:sz w:val="18"/>
                <w:szCs w:val="18"/>
                <w:u w:val="none"/>
              </w:rPr>
            </w:pPr>
            <w:r>
              <w:rPr>
                <w:rFonts w:hint="eastAsia" w:ascii="黑体" w:hAnsi="宋体" w:eastAsia="黑体" w:cs="黑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3A682B4">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6E1F6F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30D1B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CC0C5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FDA366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可持续影响指标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842C77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指标1：突出信用建设可持续影响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C965BF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F2D0EF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以信用建设和示范区创建为带动，为广元经济社会高质量发展注入强劲动力。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A73E7F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05589E1">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Style w:val="55"/>
                <w:lang w:val="en-US" w:eastAsia="zh-CN" w:bidi="ar"/>
              </w:rPr>
              <w:t>通过成功创建社会信用体系建设示范区，广元市公共信用信息平台和“信用中国（四川广元）”已归集58个数源单位，597类、1亿余条信用信息，创新应用场景，信用+融资”应用引导44256户企业在“信易贷”平台认证注册，占全市市场主体28.9%，推动发放信用贷款8427笔、457.05亿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A101A0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1298CA8">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i w:val="0"/>
                <w:iCs w:val="0"/>
                <w:color w:val="000000"/>
                <w:sz w:val="18"/>
                <w:szCs w:val="18"/>
                <w:u w:val="none"/>
              </w:rPr>
            </w:pPr>
            <w:r>
              <w:rPr>
                <w:rFonts w:hint="eastAsia" w:ascii="黑体" w:hAnsi="宋体" w:eastAsia="黑体" w:cs="黑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6DBB335">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3A8D41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62EF7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60EE68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满意度指标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B4A326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满意度指标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F0445E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指标1：公众满意度</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9FE57D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FAE000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90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51C251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CBB2713">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90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E4DE90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4258009">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i w:val="0"/>
                <w:iCs w:val="0"/>
                <w:color w:val="000000"/>
                <w:sz w:val="18"/>
                <w:szCs w:val="18"/>
                <w:u w:val="none"/>
              </w:rPr>
            </w:pPr>
            <w:r>
              <w:rPr>
                <w:rFonts w:hint="eastAsia" w:ascii="黑体" w:hAnsi="宋体" w:eastAsia="黑体" w:cs="黑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570EE01">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6B8D53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662DCFB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合计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121D5B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453FF45">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i w:val="0"/>
                <w:iCs w:val="0"/>
                <w:color w:val="000000"/>
                <w:sz w:val="18"/>
                <w:szCs w:val="18"/>
                <w:u w:val="none"/>
              </w:rPr>
            </w:pPr>
            <w:r>
              <w:rPr>
                <w:rFonts w:hint="eastAsia" w:ascii="黑体" w:hAnsi="宋体" w:eastAsia="黑体" w:cs="黑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8AB1B4B">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3D9F09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6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B61BF2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评价结论</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2CC6A318">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通过实施该项目。我市把推进社会信用体系建设作为深化“放管服”改革、打造“最优营商环境”的重要突破口，持续深化“信用广元”城市品牌建设，广元市综合信用指数从2022年9月至2023年12月，最长连续15个月位列全省第一，并于2023年8月，成功获评全国第4批社会信用体系建设示范区，“诚信”二字已然成为推动我市高质量发展的重要“软实力”。自评得分100分。</w:t>
            </w:r>
          </w:p>
        </w:tc>
      </w:tr>
      <w:tr w14:paraId="1EF340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03AE6E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存在问题</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039940E2">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154B56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3"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671DF6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改进措施</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2372938F">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1EAE73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8AA8A79">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w:t>
            </w:r>
          </w:p>
        </w:tc>
        <w:tc>
          <w:tcPr>
            <w:tcW w:w="0" w:type="auto"/>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254BF6D">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w:t>
            </w:r>
          </w:p>
        </w:tc>
      </w:tr>
      <w:tr w14:paraId="4C4973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tcBorders>
              <w:top w:val="nil"/>
              <w:left w:val="nil"/>
              <w:bottom w:val="nil"/>
              <w:right w:val="nil"/>
            </w:tcBorders>
            <w:shd w:val="clear" w:color="auto" w:fill="auto"/>
            <w:vAlign w:val="center"/>
          </w:tcPr>
          <w:p w14:paraId="6CB23E5E">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49A81DB9">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1040B78D">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266AA41D">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16459963">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7BBFD487">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4A43F8DD">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3E9DA781">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437DD0FA">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4873D5A5">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73503F70">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2C1BAE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0" w:type="auto"/>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2F77430B">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部门预算项目支出绩效自评表（2023年度）</w:t>
            </w:r>
          </w:p>
        </w:tc>
      </w:tr>
      <w:tr w14:paraId="4C8A6E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5544AAD">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项目名称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5602FB58">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51080023T000008150292-项目前期工作激励2022年</w:t>
            </w:r>
          </w:p>
        </w:tc>
      </w:tr>
      <w:tr w14:paraId="34260F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2"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E7B8203">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主管部门</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0A963894">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广元市发展和改革委员会部门</w:t>
            </w:r>
          </w:p>
        </w:tc>
        <w:tc>
          <w:tcPr>
            <w:tcW w:w="0" w:type="auto"/>
            <w:tcBorders>
              <w:top w:val="nil"/>
              <w:left w:val="nil"/>
              <w:bottom w:val="nil"/>
              <w:right w:val="nil"/>
            </w:tcBorders>
            <w:shd w:val="clear" w:color="auto" w:fill="auto"/>
            <w:vAlign w:val="center"/>
          </w:tcPr>
          <w:p w14:paraId="0D746746">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88A6E1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w:t>
            </w:r>
          </w:p>
        </w:tc>
      </w:tr>
      <w:tr w14:paraId="7F0EDE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C927D72">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项目基本情况</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59A9C55">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1.项目年度目标完成情况</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0EB4866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项目年度目标</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4C98DF04">
            <w:pPr>
              <w:keepNext w:val="0"/>
              <w:keepLines w:val="0"/>
              <w:widowControl/>
              <w:suppressLineNumbers w:val="0"/>
              <w:spacing w:before="0" w:beforeAutospacing="0" w:after="0" w:afterAutospacing="0"/>
              <w:ind w:left="0" w:right="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14:paraId="1BD3F3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6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4D72BE">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6FF4A5">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55248867">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组织开展全市重点产业发展现场拉练评比；谋划储备重大产业项目；开展产业发展规划论证；开展重大产业项目前期咨询论证等前期工作；组织产业专班制定产业图谱；每月组织开展重点产业调度会，协调解决重点产业发展中的困难和问题；分析、研判全市产业发展情况；完成全市产业发展目标任务;推动宝珠寺水电站、亭子口库区水风光多能互补项目。</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1BB3516C">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宝珠寺水电站、亭子口库区水风光多能互补项目已于2023年3月取得省能源局批复意见，同意项目法人优选结果及实施方案。全年开展4次拉练评比，协调解决重点产业发展中的困难和问题，全年引进1299家企业、市重点产业工业企业总产值实现1220.38亿元，占全市工业总产值84.6%，其中铝产业、食品饮料产业、建筑建材产业、清洁能源产业产值均超百亿，分别为321.67亿元、284.22亿元、233.97亿元、109.57亿元。</w:t>
            </w:r>
          </w:p>
        </w:tc>
      </w:tr>
      <w:tr w14:paraId="4E8535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8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0F65A3">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5B299F8">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2.项目实施内容及过程概述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4DBA9453">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按季度组织开展全市重点产业发展现场拉练评比，开展产业发展规划论证，组织产业专班制定产业图谱，每月组织开展重点产业调度会，协调解决重点产业发展中的困难和问题；分析、研判全市产业发展情况。加快推进四川能投广元燃机工程、亭子口宝珠寺水风光互补开发。</w:t>
            </w:r>
          </w:p>
        </w:tc>
      </w:tr>
      <w:tr w14:paraId="72CFB8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695554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预算执行情况（10分）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2033A0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年度预算数（万元）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655CC6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年初预算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7F3ADE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调整后预算数</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9C3AA8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预算执行数</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4AD30F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BF1699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3AE7FC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292E0D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原因</w:t>
            </w:r>
          </w:p>
        </w:tc>
      </w:tr>
      <w:tr w14:paraId="0369CA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94B71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26AC45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总额</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1B67CB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91.34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B2A2B1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91.34</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8067B5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91.34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0A7556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A1CC99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7A1E3D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C583018">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19D1BF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6D074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9D5996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其中：财政资金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4BE08A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91.34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AF8401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91.34</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8C004A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91.34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89A803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33CA9E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B61119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FF181D">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6553FD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7"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DF85F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D7D6BC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财政专户管理资金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84D0C8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B2DB88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309809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69C8F8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CA06DD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B0F0DD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3D2789">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2BF236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D81AF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8AF6E4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单位资金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FDB945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DA9C13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634AFE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2F8C2D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96545B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402BDC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FC5A0F">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516258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4C2F1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A8224A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其他资金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547A7A5">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59201E4">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3BF9634">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BFD1B93">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761118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47FAA4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E6B2F4">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46682C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C11AAB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绩效指标（90分）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B71919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一级指标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400DEE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二级指标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CC7ED2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三级指标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AC0238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指标性质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104E22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44BD38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度量单位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62369D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完成值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C4E9F9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CAE716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BEED35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未完成原因分析</w:t>
            </w:r>
          </w:p>
        </w:tc>
      </w:tr>
      <w:tr w14:paraId="101C88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5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73EF4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458866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产出指标</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39204D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数量指标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4C9B44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指标8：协助勘探白龙江宝珠寺水电站及嘉陵江亭子口水利枢纽库区半径60公里范围内风能及光伏资源状况，提出可行的资源开发点位建议</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8F47FA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B95FCF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93D5AC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千瓦</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A03104E">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val="0"/>
                <w:iCs w:val="0"/>
                <w:color w:val="000000"/>
                <w:sz w:val="16"/>
                <w:szCs w:val="16"/>
                <w:u w:val="none"/>
              </w:rPr>
            </w:pPr>
            <w:r>
              <w:rPr>
                <w:rFonts w:hint="eastAsia" w:ascii="微软雅黑" w:hAnsi="微软雅黑" w:eastAsia="微软雅黑" w:cs="微软雅黑"/>
                <w:i w:val="0"/>
                <w:iCs w:val="0"/>
                <w:color w:val="000000"/>
                <w:kern w:val="0"/>
                <w:sz w:val="16"/>
                <w:szCs w:val="16"/>
                <w:u w:val="none"/>
                <w:lang w:val="en-US" w:eastAsia="zh-CN" w:bidi="ar"/>
              </w:rPr>
              <w:t>宝珠寺水电站、亭子口库区水风光多能互补项目已于2023年3月取得省能源局批复意见，同意项目法人优选结果及实施方案。</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080662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3C7DDA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598EB26">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4D17C4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C6D17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F6C55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36B56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65F0D6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指标6：项目竣工投产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28A4BA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49BB82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02D2BA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E2A8B36">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33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A9B49E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D58901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9C524F9">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059FA6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7CB25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82D6A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32540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88EC7B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指标1：组织开展全市重点产业发展现场拉练评比</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B4105B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EDC5ED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FB7A14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1AD4947">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180F55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15690C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F057030">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083500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4E514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2EC53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F4C01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200604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指标2：会商调度</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A621C4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9845A5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3114AB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A90E178">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2F9831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F1E410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FBDB8EF">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2CA31D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70A97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E4054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0BFCC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4B9846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指标４：项目招引</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2AB9F9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A17899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60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8302ED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98D7C9D">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142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06F77D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776923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01CDEF7">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02CC02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B6DEC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93A46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3D618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53B571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指标3：项目储备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B65561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D9CA2D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ED640F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亿元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0D846A9">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B9CD9F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315B31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4538D01">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368D85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E6B9C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4C397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B1ADD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1F5EEE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指标7：企业进规</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ED459A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BFFAA4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116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6C42E8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家</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125C73C">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1299</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FF2377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B59108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96C0DEA">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6D29AE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4BF01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8529E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EF1BD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A48076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指标5：项目开工</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4FAC91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5C7455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F23875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4410B39">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41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FDB07B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37B169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19CCDBD">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6E9F4A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8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B95B1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B662AB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5A6958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质量指标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CAAE3E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指标1：协调调度</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328225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0F6CA4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企业复工复产，企业稳产达产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94DF3D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E4B86ED">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从2022年经营状况来看，处于盈利状态的企业1103家，占重点产业企业家数的84.9%；</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C50737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D8C39B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ED4E55A">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649F9A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8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1D405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685DD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B6EC7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322A90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指标2：协助对资源开发点位进行敏感因素情况排查，取得相关主管部门审查批复意见</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1400AC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E75D9F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资源开发点位选址应避开禁止开发红线区域，敏感因素应征得相关主管部门审查皮批复意见，且不影响项目后续实际开发建设</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16E861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B74109D">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val="0"/>
                <w:iCs w:val="0"/>
                <w:color w:val="000000"/>
                <w:sz w:val="16"/>
                <w:szCs w:val="16"/>
                <w:u w:val="none"/>
              </w:rPr>
            </w:pPr>
            <w:r>
              <w:rPr>
                <w:rFonts w:hint="eastAsia" w:ascii="微软雅黑" w:hAnsi="微软雅黑" w:eastAsia="微软雅黑" w:cs="微软雅黑"/>
                <w:i w:val="0"/>
                <w:iCs w:val="0"/>
                <w:color w:val="000000"/>
                <w:kern w:val="0"/>
                <w:sz w:val="16"/>
                <w:szCs w:val="16"/>
                <w:u w:val="none"/>
                <w:lang w:val="en-US" w:eastAsia="zh-CN" w:bidi="ar"/>
              </w:rPr>
              <w:t>已完成宝珠寺水电站、亭子口库区水风光多能互补项目实施方案审查工作。</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1DD084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6431C9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EE7CB35">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305601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12130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BA1AC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D0AF60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时效指标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255CEA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指标1：完成时间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2724A4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9D7173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790726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月</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7630787">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225F7D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61A71D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5E471EB">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65486F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78"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58561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9CFEA8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效益指标</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AFC10B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经济效益指标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01C632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指标1：引进能源企业开发风能及光伏资源</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8879F4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189752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提升地方经济税收，带动地方居民就业创收</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DEF979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884BDB2">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val="0"/>
                <w:iCs w:val="0"/>
                <w:color w:val="000000"/>
                <w:sz w:val="16"/>
                <w:szCs w:val="16"/>
                <w:u w:val="none"/>
              </w:rPr>
            </w:pPr>
            <w:r>
              <w:rPr>
                <w:rFonts w:hint="eastAsia" w:ascii="微软雅黑" w:hAnsi="微软雅黑" w:eastAsia="微软雅黑" w:cs="微软雅黑"/>
                <w:i w:val="0"/>
                <w:iCs w:val="0"/>
                <w:color w:val="000000"/>
                <w:kern w:val="0"/>
                <w:sz w:val="16"/>
                <w:szCs w:val="16"/>
                <w:u w:val="none"/>
                <w:lang w:val="en-US" w:eastAsia="zh-CN" w:bidi="ar"/>
              </w:rPr>
              <w:t>宝珠寺水风光互补开发项目已开工建设。</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43FB3D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FE227A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2B0D1C8">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3A3246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339DF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13C34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4D790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C575B6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指标1：主要经济指标增速</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92937F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EC4D10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主要经济指标增速追平全省平均水平</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7BEE81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3C76D2F">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全市规上工业增加值增速和排位虽较去年底有所回升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082F81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C3DD98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DF7C97B">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5EC9DF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3EB73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7F655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AFF9B3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社会效益指标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34467A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指标1：产业发展</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C18A19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9A7CE8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指标1：产业发展</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69E2CA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CF5807C">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市重点产业工业企业总产值实现1220.38亿元，占全市工业总产值84.6%，其中铝产业、食品饮料产业、建筑建材产业、清洁能源产业产值均超百亿，分别为321.67亿元、284.22亿元、233.97亿元、109.57亿元。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45CFFE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4383D3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10CBB40">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6070DD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78"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F9ADF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0BE75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CC25A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C4D72C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指标2：增加区域电能装机总额</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FC6362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E25FEE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强化地方能源供应保障能力，带动地区居民就业</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4157F3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458E36F">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val="0"/>
                <w:iCs w:val="0"/>
                <w:color w:val="000000"/>
                <w:sz w:val="16"/>
                <w:szCs w:val="16"/>
                <w:u w:val="none"/>
              </w:rPr>
            </w:pPr>
            <w:r>
              <w:rPr>
                <w:rFonts w:hint="eastAsia" w:ascii="微软雅黑" w:hAnsi="微软雅黑" w:eastAsia="微软雅黑" w:cs="微软雅黑"/>
                <w:i w:val="0"/>
                <w:iCs w:val="0"/>
                <w:color w:val="000000"/>
                <w:kern w:val="0"/>
                <w:sz w:val="16"/>
                <w:szCs w:val="16"/>
                <w:u w:val="none"/>
                <w:lang w:val="en-US" w:eastAsia="zh-CN" w:bidi="ar"/>
              </w:rPr>
              <w:t>我市并网发电装机容量336.47万千瓦.</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318A3B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5159FC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A03F2FE">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7C0852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C094D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E09FC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D3E4E6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生态效益指标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453F17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指标1：助力双碳指标落地</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BE025C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2456B2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以清洁能源开发作为能源产业发展的基础，有效控制碳排放量。</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7DF764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7BB0A9A">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val="0"/>
                <w:iCs w:val="0"/>
                <w:color w:val="000000"/>
                <w:sz w:val="16"/>
                <w:szCs w:val="16"/>
                <w:u w:val="none"/>
              </w:rPr>
            </w:pPr>
            <w:r>
              <w:rPr>
                <w:rFonts w:hint="eastAsia" w:ascii="微软雅黑" w:hAnsi="微软雅黑" w:eastAsia="微软雅黑" w:cs="微软雅黑"/>
                <w:i w:val="0"/>
                <w:iCs w:val="0"/>
                <w:color w:val="000000"/>
                <w:kern w:val="0"/>
                <w:sz w:val="16"/>
                <w:szCs w:val="16"/>
                <w:u w:val="none"/>
                <w:lang w:val="en-US" w:eastAsia="zh-CN" w:bidi="ar"/>
              </w:rPr>
              <w:t>清洁能源占比100%。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6C6EC9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3DEC6B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13324C3">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7CA33C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78"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1C191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91ADA1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8614C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0925AF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指标1：企业技改升级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AFA2FF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AE6C1D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符合生态环保要求，推动生态环境持续优化</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11D001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C559177">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市重点产业工业企业总产值实现1220.38亿元，占全市工业总产值84.6%，其中铝产业、食品饮料产业、建筑建材产业、清洁能源产业产值均超百亿，分别为321.67亿元、284.22亿元、233.97亿元、109.57亿元。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4B58F9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7686F1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C444CD3">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16C438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09194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A0990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FA25A7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可持续影响指标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261FED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指标2：全面落实《广元市“十四五”能源发展总体规划》部署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5F14D3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6BF12B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提升“信用广元”城市品牌影响力，建成规模化能源发展基地。</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6C100C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DE4DDB2">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提升了“信用广元”城市品牌影响力，建成规模化能源发展基地。</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F3E189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F227BE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64AB7A7">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05ECF5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78"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F0131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7089B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47F30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E23933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指标1：突出产业发展可持续影响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9739AE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6CD9F2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以重点产业项目示范带动作用，推动全市经济社会发展</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E7FD21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88EBB3C">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市重点产业工业企业总产值实现1220.38亿元，占全市工业总产值84.6%，其中铝产业、食品饮料产业、建筑建材产业、清洁能源产业产值均超百亿，分别为321.67亿元、284.22亿元、233.97亿元、109.57亿元。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B77938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3AFACF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3AB7FF0">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3950BF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D8106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70B6B9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满意度指标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1C48F4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满意度指标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16A587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 公众满意度</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D6C5B3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7580EF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90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89B4CF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C1CED32">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ED56C5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3D89DE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6B6BC93">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7311DB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5495A64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合计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70AF95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D031290">
            <w:pPr>
              <w:keepNext w:val="0"/>
              <w:keepLines w:val="0"/>
              <w:widowControl/>
              <w:suppressLineNumbers w:val="0"/>
              <w:spacing w:before="0" w:beforeAutospacing="0" w:after="0" w:afterAutospacing="0"/>
              <w:ind w:left="0" w:right="0"/>
              <w:jc w:val="righ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88A375E">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280158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3"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27020E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评价结论</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0953683D">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项目评价总分100分，项目决策程序严密、项目规划论证符合国家项目建设管理要求，项目绩效目标设置科学合理、项目资金与项目总体规划、相关行业事业发展相匹配，聚焦重大任务、重点领域、重点环节和重点项目。</w:t>
            </w:r>
          </w:p>
        </w:tc>
      </w:tr>
      <w:tr w14:paraId="38CDC4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4787CF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存在问题</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15FC8409">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2CA3B6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3"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533C8C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改进措施</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4078D8C2">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16A996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58A0F900">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w:t>
            </w:r>
          </w:p>
        </w:tc>
        <w:tc>
          <w:tcPr>
            <w:tcW w:w="0" w:type="auto"/>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E3430AE">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w:t>
            </w:r>
          </w:p>
        </w:tc>
      </w:tr>
      <w:tr w14:paraId="4C32A1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tcBorders>
              <w:top w:val="nil"/>
              <w:left w:val="nil"/>
              <w:bottom w:val="nil"/>
              <w:right w:val="nil"/>
            </w:tcBorders>
            <w:shd w:val="clear" w:color="auto" w:fill="auto"/>
            <w:vAlign w:val="center"/>
          </w:tcPr>
          <w:p w14:paraId="67E424A1">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7E1930BC">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0795F75D">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53AA2A37">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70FF103B">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057B9240">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5EF47FEC">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180C2459">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629085E1">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4E94024E">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174F4BA6">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0C1E64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0" w:type="auto"/>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4D1B26ED">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部门预算项目支出绩效自评表（2023年度）</w:t>
            </w:r>
          </w:p>
        </w:tc>
      </w:tr>
      <w:tr w14:paraId="14E3E5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9A1928A">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项目名称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21188C6C">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51080023T000008230599-粮食工作经费（包含粮食省长责任制考核、行政执法、普法工作经费）</w:t>
            </w:r>
          </w:p>
        </w:tc>
      </w:tr>
      <w:tr w14:paraId="6FDB86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2"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F0E59B1">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主管部门</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7D7D37FD">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广元市发展和改革委员会部门</w:t>
            </w:r>
          </w:p>
        </w:tc>
        <w:tc>
          <w:tcPr>
            <w:tcW w:w="0" w:type="auto"/>
            <w:tcBorders>
              <w:top w:val="nil"/>
              <w:left w:val="nil"/>
              <w:bottom w:val="nil"/>
              <w:right w:val="nil"/>
            </w:tcBorders>
            <w:shd w:val="clear" w:color="auto" w:fill="auto"/>
            <w:vAlign w:val="center"/>
          </w:tcPr>
          <w:p w14:paraId="50F49A97">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B97FD5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w:t>
            </w:r>
          </w:p>
        </w:tc>
      </w:tr>
      <w:tr w14:paraId="1EF2CF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0AB71DC">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项目基本情况</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EB91205">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1.项目年度目标完成情况</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2F5A5D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项目年度目标</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1D94C913">
            <w:pPr>
              <w:keepNext w:val="0"/>
              <w:keepLines w:val="0"/>
              <w:widowControl/>
              <w:suppressLineNumbers w:val="0"/>
              <w:spacing w:before="0" w:beforeAutospacing="0" w:after="0" w:afterAutospacing="0"/>
              <w:ind w:left="0" w:right="0"/>
              <w:jc w:val="center"/>
              <w:textAlignment w:val="center"/>
              <w:rPr>
                <w:rFonts w:hint="eastAsia" w:ascii="黑体" w:hAnsi="黑体" w:eastAsia="黑体" w:cs="黑体"/>
                <w:i w:val="0"/>
                <w:iCs w:val="0"/>
                <w:color w:val="FF0000"/>
                <w:sz w:val="18"/>
                <w:szCs w:val="18"/>
                <w:u w:val="none"/>
              </w:rPr>
            </w:pPr>
            <w:r>
              <w:rPr>
                <w:rFonts w:hint="eastAsia" w:ascii="黑体" w:hAnsi="黑体" w:eastAsia="黑体" w:cs="黑体"/>
                <w:i w:val="0"/>
                <w:iCs w:val="0"/>
                <w:color w:val="FF0000"/>
                <w:kern w:val="0"/>
                <w:sz w:val="18"/>
                <w:szCs w:val="18"/>
                <w:u w:val="none"/>
                <w:lang w:val="en-US" w:eastAsia="zh-CN" w:bidi="ar"/>
              </w:rPr>
              <w:t>年度目标完成情况</w:t>
            </w:r>
          </w:p>
        </w:tc>
      </w:tr>
      <w:tr w14:paraId="0104ED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E0775C">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09A60C">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5198F4CA">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政策性储备粮油库存及轮换检查；2.小包装应急粮油监督检查；3.依据国、省、市粮食安全考核办法，牵头组织市级13个部门归集上报考核评分资料。4.大力推进粮食产业发展及项目申报，切实做好粮油价格监测预警，强化粮油统计及培训工作。5.认真做好全系统安全生产工作，抓好安全培训、宣传和预防工作。6.加强军粮供应管理，稳定军供粮油质量及监督检查，为部队官兵提供食品安全保障；7.做好处理突发事件和应对自然灾害的粮油及物资保障。8.做好应急粮油体系建设。9.全市清仓查库检查工作。10.粮食收购监督检查。</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05096F24">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加强对政策性储备粮、小包装成品粮油管理，确保储备粮油数量真实，质量良好，共开展检查4次；按照规定开展粮油统计工作，切实做好粮油价格监测预警，开展统计培训1次；认真开展军粮供应管理工作，军粮供应充足、及时，完成跨区域军粮供应应急演练；按要求做好应急粮油体系建设工作。申报中央投资项目4个，申报资金14960万元；储备省级项目11个，计划总投资831.97万元。粮食品种品质品牌提升行动工作做法被省粮食和储备局推荐到国家粮食和储备局参选经验交流材料。实施粮食“三品”提升行动项目2个，总投资4200万元，其中今年争取到位省级补助资金1000万元。巡查反馈4个县区粮油质监站不能正常运行问题整改，已完成3个县区机构编制设置和人员配备。</w:t>
            </w:r>
          </w:p>
        </w:tc>
      </w:tr>
      <w:tr w14:paraId="2F16B05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6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A5FC3D">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317CD1A">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2.项目实施内容及过程概述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70533167">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按照季度对全市政策性储备粮油库存及轮换情况进行抽查巡查，全年对全市政策性粮食储备企业全覆盖巡查。2.小包装应急粮油监督检查；（调控科）3.依据国、省、市粮食安全和耕地保护考核细则，牵头组织市级13个部门归集上报考核评分资料。2023年度粮食安全和耕地保护考核获得“良好”等级。4.大力推进粮食产业发展及项目申报，切实做好粮油价格监测预警，强化粮油统计及培训工作。（仓储科）5..认真做好全系统安全生产工作，抓好安全培训、宣传和预防工作。（仓储科）6.加强军粮供应管理，稳定军供粮油质量及监督检查，为部队官兵提供食品安全保障；（调控科）7.做好处理突发事件和应对自然灾害的粮油及物资保障。（调控科）8.做好应急粮油体系建设。（调控科）9.抽调40人左右对全市15家地方粮食企34个粮食库点14万吨粮食、11个油脂库点0.49万吨油脂进行政策性储备粮油库存检查，（监督检查科）；根据省局安排，泸州市抽调11名粮油库存检查专家，对我市5个粮食库点8.1万吨粮食、3个油脂库点0.2万吨油脂进行了逐仓（罐）逐货位交叉检查。10.牵头组织财政、市场监管、海关等部门在夏秋粮收购时节对全市粮油收购、政策性粮食销售、进口粮食等开展联合监督检查。</w:t>
            </w:r>
          </w:p>
        </w:tc>
      </w:tr>
      <w:tr w14:paraId="6327EBA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1"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13B8E2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预算执行情况（10分）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6F72D3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年度预算数（万元）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AF9BA6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年初预算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67769B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调整后预算数</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73F686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预算执行数</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ABED90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C56233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9F2715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C7B49F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原因</w:t>
            </w:r>
          </w:p>
        </w:tc>
      </w:tr>
      <w:tr w14:paraId="06D197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3F456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C2BF53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总额</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F4A296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17.76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10C45B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17.76</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90ACBC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17.76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5E4300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0D4FE2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37856C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5646BDA">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10E948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16B07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771AF4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其中：财政资金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DB8566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17.76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8EA17B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17.76</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AC1178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17.76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26991A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821848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526665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690F26">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082BF2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7"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29483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3AD784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财政专户管理资金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C7B367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AB7007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6F374C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1C8A72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B1C8EC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4E999A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69DE9E">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112E24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5A9B1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238048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单位资金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289D1B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9077D4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E1064A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2A35AC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4062F1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EE9C81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690645">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684A69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63907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EE72E5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其他资金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18CD0A4">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EDCE20F">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B9AF663">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113D0E3">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062FBF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EC9AF5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6A29EC">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49EE17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006B1E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绩效指标（90分）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5588FF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一级指标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93B0FA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二级指标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F5D3E1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三级指标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BEB1D1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指标性质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D2D362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5F2924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度量单位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76F4C0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完成值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245313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467E60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0565BE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未完成原因分析</w:t>
            </w:r>
          </w:p>
        </w:tc>
      </w:tr>
      <w:tr w14:paraId="226861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AD120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3F082B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产出指标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43F9D0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数量指标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2E53E7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1、政策性储备粮油库存及轮换检查。2、加强军粮供应管理，稳定军供粮油质量及监督检查，为部队官兵提供食品安全保障</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9918E8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C9BA69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AC56C3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500715C">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A5C0B9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F4F1DF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3A9BDB5">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55008C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5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CA7BB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03AE2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B86D59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质量指标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4F3363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1、大力推进粮食产业发展及项目申报，切实做好粮油价格监测预警，强化粮油统计及培训工作。2、军粮供应。3、做好应急粮油体系建设</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6A7587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A98FEC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按照法律法规要求开展。</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B4A1F3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949E27F">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已按照法律法规要求开展。</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F8CC21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CD6510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832746B">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41D3C3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6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4F77D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AE517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155519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时效指标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D5FEDA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按照法律法规规定全面开展粮油统计工作。2.按照规定开展军粮供应、应急网点建设工作.3、按照省、市粮食安全省长责任制考核时间要求，及时完成各项考核任务。4、按照国家、省开展政策性库存粮食检查要求，按时完成库存粮食清查任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E77B10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CA3194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393609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月</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20EDEC7">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29A657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BFFE17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267904B">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7A3CDD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DB61E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EB9867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2D9DCE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社会效益指标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4E1B8E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1、开展粮油统计工作。2、军粮供应。3、粮食安全。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7149E7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4F0305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持续发挥好的社会效益，有利于国家粮食安全和社会稳定</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550A44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5277CFD">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持续发挥好的社会效益，有利于国家粮食安全和社会稳定</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1B28DC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89638D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28C1559">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1D74D0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BC5B9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AB0B9B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满意度指标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35708B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服务对象满意度指标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4FFF97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党委、政府、官兵、社会群众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E86CEA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194546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29A584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057C3CA">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7C3870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66EA8B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B4F5368">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68E519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C4268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87A125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成本指标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D85B0B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经济成本指标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1F1CA4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1、围绕粮油统计开展相关工作。2、军粮供应、价格检测、应急网点建设开展工作。3、开展粮食安全党政同责考核工作。</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7997F9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5890B3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17.76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268F7B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5E22E04">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17.76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1ACB1B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42C02A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6CF8F3B">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72FF66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6284A32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合计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78384B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9380273">
            <w:pPr>
              <w:keepNext w:val="0"/>
              <w:keepLines w:val="0"/>
              <w:widowControl/>
              <w:suppressLineNumbers w:val="0"/>
              <w:spacing w:before="0" w:beforeAutospacing="0" w:after="0" w:afterAutospacing="0"/>
              <w:ind w:left="0" w:right="0"/>
              <w:jc w:val="righ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EE6EB2B">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710273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459402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评价结论</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2578FD72">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全市地方粮食企业政策性粮油数量真实，账账相符，账实相符；库存粮油感官质量良好，储存安全；确保政策性储备粮食数量真实，质量良好，储存安全；强化粮油统计工作和军粮供应管理，为党和政府制定粮油政策提供依据，稳定军供粮油质量，为部队官兵提供食品安全保障；建立粮油应急网点，及时有效处理和应对突发事件；日常管理规范，国家粮食收购政策执行良好，未发现重大问题线索，储粮安全风险总体较底。自评得分100分。</w:t>
            </w:r>
          </w:p>
        </w:tc>
      </w:tr>
      <w:tr w14:paraId="30489F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AA9B62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存在问题</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3335FA96">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365363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3"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DF0023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改进措施</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56F7ACAF">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72AEEC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1B67A282">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w:t>
            </w:r>
          </w:p>
        </w:tc>
        <w:tc>
          <w:tcPr>
            <w:tcW w:w="0" w:type="auto"/>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8F4C228">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w:t>
            </w:r>
          </w:p>
        </w:tc>
      </w:tr>
      <w:tr w14:paraId="24BBB6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tcBorders>
              <w:top w:val="nil"/>
              <w:left w:val="nil"/>
              <w:bottom w:val="nil"/>
              <w:right w:val="nil"/>
            </w:tcBorders>
            <w:shd w:val="clear" w:color="auto" w:fill="auto"/>
            <w:vAlign w:val="center"/>
          </w:tcPr>
          <w:p w14:paraId="2403622F">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1AE9F956">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18493BDC">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4443823D">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3F207358">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101C6F83">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32EEB598">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779925DC">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7A0AEB05">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56B5E505">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7D38EACA">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4487D5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0" w:type="auto"/>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091E99F1">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部门预算项目支出绩效自评表（2023年度）</w:t>
            </w:r>
          </w:p>
        </w:tc>
      </w:tr>
      <w:tr w14:paraId="259DD3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F71588E">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项目名称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158187B0">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51080023T000008230626-区域合作工作经费</w:t>
            </w:r>
          </w:p>
        </w:tc>
      </w:tr>
      <w:tr w14:paraId="404DFE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2"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28B10B8">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主管部门</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2D0B3CB6">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广元市发展和改革委员会部门</w:t>
            </w:r>
          </w:p>
        </w:tc>
        <w:tc>
          <w:tcPr>
            <w:tcW w:w="0" w:type="auto"/>
            <w:tcBorders>
              <w:top w:val="nil"/>
              <w:left w:val="nil"/>
              <w:bottom w:val="nil"/>
              <w:right w:val="nil"/>
            </w:tcBorders>
            <w:shd w:val="clear" w:color="auto" w:fill="auto"/>
            <w:vAlign w:val="center"/>
          </w:tcPr>
          <w:p w14:paraId="725A61B6">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0499DD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w:t>
            </w:r>
          </w:p>
        </w:tc>
      </w:tr>
      <w:tr w14:paraId="1CAABA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96D4E92">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项目基本情况</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2F66F17">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1.项目年度目标完成情况</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511AA40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项目年度目标</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086A17EF">
            <w:pPr>
              <w:keepNext w:val="0"/>
              <w:keepLines w:val="0"/>
              <w:widowControl/>
              <w:suppressLineNumbers w:val="0"/>
              <w:spacing w:before="0" w:beforeAutospacing="0" w:after="0" w:afterAutospacing="0"/>
              <w:ind w:left="0" w:right="0"/>
              <w:jc w:val="center"/>
              <w:textAlignment w:val="center"/>
              <w:rPr>
                <w:rFonts w:hint="eastAsia" w:ascii="黑体" w:hAnsi="黑体" w:eastAsia="黑体" w:cs="黑体"/>
                <w:i w:val="0"/>
                <w:iCs w:val="0"/>
                <w:color w:val="FF0000"/>
                <w:sz w:val="18"/>
                <w:szCs w:val="18"/>
                <w:u w:val="none"/>
              </w:rPr>
            </w:pPr>
            <w:r>
              <w:rPr>
                <w:rFonts w:hint="eastAsia" w:ascii="黑体" w:hAnsi="黑体" w:eastAsia="黑体" w:cs="黑体"/>
                <w:i w:val="0"/>
                <w:iCs w:val="0"/>
                <w:color w:val="FF0000"/>
                <w:kern w:val="0"/>
                <w:sz w:val="18"/>
                <w:szCs w:val="18"/>
                <w:u w:val="none"/>
                <w:lang w:val="en-US" w:eastAsia="zh-CN" w:bidi="ar"/>
              </w:rPr>
              <w:t>年度目标完成情况</w:t>
            </w:r>
          </w:p>
        </w:tc>
      </w:tr>
      <w:tr w14:paraId="59D3C6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8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C0053B">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AFEB06">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2EF810A4">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积极融入新发展格局，推进区域协调发展，深入实施大开放大合作战略，全面对接国省重大区域战略，主动融入成渝地区双城经济圈建设，加快建设成渝地区北向重要门户枢纽、成渝地区生态康养“后花园”、成渝地区绿色产品供给地和成渝地区产业协作配套基地。推动川东北经济区振兴发展，加快阆苍南一体化协同发展。深化川陕甘结合部城市合作，促进广巴汉陇协同发展。积极融入长江经济带经济发展，主动融入西部陆海新通道建设，在更大范围更高层次承接产业转移。</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10BA8055">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组织召开市推动成渝地区双城经济圈建设领导小组暨市川东北经济区对接协调小组办公室会议1次，制定广元市主动融入成渝地区双城经济圈建设2023年重点任务42项、广元市推动川东北经济区振兴发展2023年重点任务18项，系统安排全年重点任务推进、宣传、考核等工作。</w:t>
            </w:r>
          </w:p>
        </w:tc>
      </w:tr>
      <w:tr w14:paraId="1DB6F7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3"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F99F07">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C02852B">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2.项目实施内容及过程概述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1D0CBCCC">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立足新发展阶段、贯彻新发展理念、融入新发展格局，抢抓重大战略机遇，全方位主动融入成渝地区双城经济圈建设，加快协同推动川东北经济区振兴发展，深入实施大开放大合作，扎实推动区域协同发展各项工作。</w:t>
            </w:r>
          </w:p>
        </w:tc>
      </w:tr>
      <w:tr w14:paraId="3DAE27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44DF65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预算执行情况（10分）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852234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年度预算数（万元）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EC315D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年初预算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B1EBEF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调整后预算数</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40CF76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预算执行数</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733BEB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B829E2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C193B1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4ABC5E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原因</w:t>
            </w:r>
          </w:p>
        </w:tc>
      </w:tr>
      <w:tr w14:paraId="6605A5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843CE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F85AF7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总额</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EA17D4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224D27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21.00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03DFB9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D12CFE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245FE2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5931AA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243CB32">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7F09A6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D85F5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A41120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其中：财政资金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CF3B92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9B281B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21.00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03E34C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6364D7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5A36AD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780870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67672C">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2127F8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7"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50215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44A0DC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财政专户管理资金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CF1D37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58C1F2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581FEE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2A6CAD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F2F8BA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B87FE4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49BE29">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573943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EFA42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AEACCC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单位资金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16EE62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1C24C6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A6DD56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DF025F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4B9371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979DC0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25A788">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48B70C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A2D24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720CC9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其他资金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C5C2881">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67A42BE">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F936423">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CB0F1BC">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3050B7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630ACE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E0D5E7">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61899C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221EEE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绩效指标（90分）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1CB514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一级指标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6237C1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二级指标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94C17C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三级指标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2859C4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指标性质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1ECC4D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2EDD52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度量单位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6B16FF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完成值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2838FA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6D6FBC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CB8827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未完成原因分析</w:t>
            </w:r>
          </w:p>
        </w:tc>
      </w:tr>
      <w:tr w14:paraId="6AF857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BAA99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A395D4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产出指标</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65A390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数量指标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723F7F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指标1：推动主动融入成渝地区双城经济圈建设</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D0955C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8B59EA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12CFF2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08CBC57">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ABD3B8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9A0238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D3BB56C">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459C3B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39AD1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93A6A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3DEC3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0FB3AA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指标2：推动区域协同发展</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1C1939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4BC70A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3C8CC8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03E31CA">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3C033E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CC546C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3435359">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64D528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53D6E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F6C04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25EDEF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质量指标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DB3DCA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指标1：合格率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2BEA1F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98D37E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166FA8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8B1022D">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9AE226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682825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C7A40E7">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431FC5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53D30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A3F9E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8AEC7A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时效指标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E56F47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指标1：完成时间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CC76BF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1085D8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6020B7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月</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3818659">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F317C7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4FE351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AA17E7D">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4D1FDC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B1983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B3F650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B64028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社会效益指标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A9A21F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指标1：开拓区域合作新局面，吸引企业赴广投资。</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B93C73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EE19E5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持续发挥好的社会效益，有利于更好促进全市区域协同发展。</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530BD1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10B0E1B">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持续发挥好的社会效益，有利于更好促进全市区域协同发展。</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99F203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248884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2A7579B">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3E61E9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F8BC8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867CD4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满意度指标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BBB276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满意度指标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D53BE1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指标1：公众满意度</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563AC3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915A9C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90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8B8125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CD86FE0">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90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A87EC2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F12EE2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E928529">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6C4351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1FA8B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565202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成本指标</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A40F63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经济成本指标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F80CF6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指标1：对外交流合作差旅费</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0FD47D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C39111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82D07A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D72B21E">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0F0EBD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15637D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28B9F06">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07E242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11AD9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FF447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33052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CB7D1F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指标2：会议筹办</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192E9D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AFFDAC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986069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153271F">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4C1698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7611AD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9F3C127">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1548DF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370F4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CDE78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7A9FD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0CE318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指标3：调研及其他</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86650A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840CF1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2D3EB8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CE9E3F5">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250E42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A1C3EA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3E42841">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5140A8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13ECE76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合计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A2CFEA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DD5590E">
            <w:pPr>
              <w:keepNext w:val="0"/>
              <w:keepLines w:val="0"/>
              <w:widowControl/>
              <w:suppressLineNumbers w:val="0"/>
              <w:spacing w:before="0" w:beforeAutospacing="0" w:after="0" w:afterAutospacing="0"/>
              <w:ind w:left="0" w:right="0"/>
              <w:jc w:val="righ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7150E69">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49539F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7E664F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评价结论</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1B9561B8">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制作完成我市与成都、重庆渝北、西安等12个合作城市的“合作城市工作手册”，积极对接西安、宝鸡、陇南等邻近地区，争取多方面合作。省政府督查室对我市推动双城经济圈工作表示认可。我市推动双城经济圈工作案例于12月上旬在省推动双城经济圈简报印发。新签约成渝地区双城经济圈项目140个、总投资443.2亿元。大力推动川东北经济区振兴发展，广巴铁路扩能改造项目前期工作加快推进，中国西部（广元）绿色家居产业城加快建设，成功举办2023年中国（广元）女儿节、第十三届大蜀道文化旅游节。自评得分100分。</w:t>
            </w:r>
          </w:p>
        </w:tc>
      </w:tr>
      <w:tr w14:paraId="570833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DA2BBC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存在问题</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49A9E3BB">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当前存在主要困难和问题为实地调研不够，区域协同发展工作综合性强、涉及行业范围广，但较少实地开展对外交流工作，影响合作实效。</w:t>
            </w:r>
          </w:p>
        </w:tc>
      </w:tr>
      <w:tr w14:paraId="6F2104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3"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D2C2B9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改进措施</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7780C742">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深入各县区和相关市级行业主管部门开展实质性调研，了解掌握和分析研判全市区域发展形势，加强重点项目调度督办，协调落实区域发展重大事项和重大问题，加快推动我市主动融入成渝地区双城经济圈建设、川东北经济区振兴发展工作。深入研究谋划与成渝地区、川东北其他地区合作方向和重点，适时赴成都、重庆、德阳等地开展考察交流，学习借鉴区域发展先进经验。</w:t>
            </w:r>
          </w:p>
        </w:tc>
      </w:tr>
      <w:tr w14:paraId="2ED6CC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69F74FD">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w:t>
            </w:r>
          </w:p>
        </w:tc>
        <w:tc>
          <w:tcPr>
            <w:tcW w:w="0" w:type="auto"/>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07E4840">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w:t>
            </w:r>
          </w:p>
        </w:tc>
      </w:tr>
      <w:tr w14:paraId="7AA936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tcBorders>
              <w:top w:val="nil"/>
              <w:left w:val="nil"/>
              <w:bottom w:val="nil"/>
              <w:right w:val="nil"/>
            </w:tcBorders>
            <w:shd w:val="clear" w:color="auto" w:fill="auto"/>
            <w:vAlign w:val="center"/>
          </w:tcPr>
          <w:p w14:paraId="28605CED">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46ED3E64">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7BF10803">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5AE9372D">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08977629">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0A80FB5E">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70C6977A">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5F2548A0">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491F9561">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2657BB05">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7F6B25AF">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772179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0" w:type="auto"/>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37F0E1C5">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部门预算项目支出绩效自评表（2023年度）</w:t>
            </w:r>
          </w:p>
        </w:tc>
      </w:tr>
      <w:tr w14:paraId="2DDCA9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E795985">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项目名称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77F1BB7B">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51080023T000008230729-2023年重大项目推进工作经费</w:t>
            </w:r>
          </w:p>
        </w:tc>
      </w:tr>
      <w:tr w14:paraId="682643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2"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0EA4480">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主管部门</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56493F3A">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广元市发展和改革委员会部门</w:t>
            </w:r>
          </w:p>
        </w:tc>
        <w:tc>
          <w:tcPr>
            <w:tcW w:w="0" w:type="auto"/>
            <w:tcBorders>
              <w:top w:val="nil"/>
              <w:left w:val="nil"/>
              <w:bottom w:val="nil"/>
              <w:right w:val="nil"/>
            </w:tcBorders>
            <w:shd w:val="clear" w:color="auto" w:fill="auto"/>
            <w:vAlign w:val="center"/>
          </w:tcPr>
          <w:p w14:paraId="13B07B7D">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D4CAE2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w:t>
            </w:r>
          </w:p>
        </w:tc>
      </w:tr>
      <w:tr w14:paraId="7BA236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9221B40">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项目基本情况</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6E0766A">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1.项目年度目标完成情况</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5B303B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项目年度目标</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2FF1E73E">
            <w:pPr>
              <w:keepNext w:val="0"/>
              <w:keepLines w:val="0"/>
              <w:widowControl/>
              <w:suppressLineNumbers w:val="0"/>
              <w:spacing w:before="0" w:beforeAutospacing="0" w:after="0" w:afterAutospacing="0"/>
              <w:ind w:left="0" w:right="0"/>
              <w:jc w:val="center"/>
              <w:textAlignment w:val="center"/>
              <w:rPr>
                <w:rFonts w:hint="eastAsia" w:ascii="黑体" w:hAnsi="黑体" w:eastAsia="黑体" w:cs="黑体"/>
                <w:i w:val="0"/>
                <w:iCs w:val="0"/>
                <w:color w:val="FF0000"/>
                <w:sz w:val="18"/>
                <w:szCs w:val="18"/>
                <w:u w:val="none"/>
              </w:rPr>
            </w:pPr>
            <w:r>
              <w:rPr>
                <w:rFonts w:hint="eastAsia" w:ascii="黑体" w:hAnsi="黑体" w:eastAsia="黑体" w:cs="黑体"/>
                <w:i w:val="0"/>
                <w:iCs w:val="0"/>
                <w:color w:val="FF0000"/>
                <w:kern w:val="0"/>
                <w:sz w:val="18"/>
                <w:szCs w:val="18"/>
                <w:u w:val="none"/>
                <w:lang w:val="en-US" w:eastAsia="zh-CN" w:bidi="ar"/>
              </w:rPr>
              <w:t>年度目标完成情况</w:t>
            </w:r>
          </w:p>
        </w:tc>
      </w:tr>
      <w:tr w14:paraId="0F7803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BC5356">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D05AF8">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0B0D6FBA">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1.组织开展全市项目投资现场拉练评比。</w:t>
            </w:r>
            <w:r>
              <w:rPr>
                <w:rFonts w:hint="default" w:ascii="宋体" w:hAnsi="宋体" w:eastAsia="宋体" w:cs="宋体"/>
                <w:i w:val="0"/>
                <w:iCs w:val="0"/>
                <w:color w:val="000000"/>
                <w:kern w:val="0"/>
                <w:sz w:val="18"/>
                <w:szCs w:val="18"/>
                <w:u w:val="none"/>
                <w:lang w:val="en-US" w:eastAsia="zh-CN" w:bidi="ar"/>
              </w:rPr>
              <w:br w:type="textWrapping"/>
            </w:r>
            <w:r>
              <w:rPr>
                <w:rFonts w:hint="default" w:ascii="宋体" w:hAnsi="宋体" w:eastAsia="宋体" w:cs="宋体"/>
                <w:i w:val="0"/>
                <w:iCs w:val="0"/>
                <w:color w:val="000000"/>
                <w:kern w:val="0"/>
                <w:sz w:val="18"/>
                <w:szCs w:val="18"/>
                <w:u w:val="none"/>
                <w:lang w:val="en-US" w:eastAsia="zh-CN" w:bidi="ar"/>
              </w:rPr>
              <w:t>2.开展中省预算内投资项目资金争取。</w:t>
            </w:r>
            <w:r>
              <w:rPr>
                <w:rFonts w:hint="default" w:ascii="宋体" w:hAnsi="宋体" w:eastAsia="宋体" w:cs="宋体"/>
                <w:i w:val="0"/>
                <w:iCs w:val="0"/>
                <w:color w:val="000000"/>
                <w:kern w:val="0"/>
                <w:sz w:val="18"/>
                <w:szCs w:val="18"/>
                <w:u w:val="none"/>
                <w:lang w:val="en-US" w:eastAsia="zh-CN" w:bidi="ar"/>
              </w:rPr>
              <w:br w:type="textWrapping"/>
            </w:r>
            <w:r>
              <w:rPr>
                <w:rFonts w:hint="default" w:ascii="宋体" w:hAnsi="宋体" w:eastAsia="宋体" w:cs="宋体"/>
                <w:i w:val="0"/>
                <w:iCs w:val="0"/>
                <w:color w:val="000000"/>
                <w:kern w:val="0"/>
                <w:sz w:val="18"/>
                <w:szCs w:val="18"/>
                <w:u w:val="none"/>
                <w:lang w:val="en-US" w:eastAsia="zh-CN" w:bidi="ar"/>
              </w:rPr>
              <w:t>3.谋划储备全市重大项目，开展重大项目前期咨询论证等前期工作。</w:t>
            </w:r>
            <w:r>
              <w:rPr>
                <w:rFonts w:hint="default" w:ascii="宋体" w:hAnsi="宋体" w:eastAsia="宋体" w:cs="宋体"/>
                <w:i w:val="0"/>
                <w:iCs w:val="0"/>
                <w:color w:val="000000"/>
                <w:kern w:val="0"/>
                <w:sz w:val="18"/>
                <w:szCs w:val="18"/>
                <w:u w:val="none"/>
                <w:lang w:val="en-US" w:eastAsia="zh-CN" w:bidi="ar"/>
              </w:rPr>
              <w:br w:type="textWrapping"/>
            </w:r>
            <w:r>
              <w:rPr>
                <w:rFonts w:hint="default" w:ascii="宋体" w:hAnsi="宋体" w:eastAsia="宋体" w:cs="宋体"/>
                <w:i w:val="0"/>
                <w:iCs w:val="0"/>
                <w:color w:val="000000"/>
                <w:kern w:val="0"/>
                <w:sz w:val="18"/>
                <w:szCs w:val="18"/>
                <w:u w:val="none"/>
                <w:lang w:val="en-US" w:eastAsia="zh-CN" w:bidi="ar"/>
              </w:rPr>
              <w:t>4.编制2023年投资计划以及2023年省、市重点项目年度计划。</w:t>
            </w:r>
            <w:r>
              <w:rPr>
                <w:rFonts w:hint="default" w:ascii="宋体" w:hAnsi="宋体" w:eastAsia="宋体" w:cs="宋体"/>
                <w:i w:val="0"/>
                <w:iCs w:val="0"/>
                <w:color w:val="000000"/>
                <w:kern w:val="0"/>
                <w:sz w:val="18"/>
                <w:szCs w:val="18"/>
                <w:u w:val="none"/>
                <w:lang w:val="en-US" w:eastAsia="zh-CN" w:bidi="ar"/>
              </w:rPr>
              <w:br w:type="textWrapping"/>
            </w:r>
            <w:r>
              <w:rPr>
                <w:rFonts w:hint="default" w:ascii="宋体" w:hAnsi="宋体" w:eastAsia="宋体" w:cs="宋体"/>
                <w:i w:val="0"/>
                <w:iCs w:val="0"/>
                <w:color w:val="000000"/>
                <w:kern w:val="0"/>
                <w:sz w:val="18"/>
                <w:szCs w:val="18"/>
                <w:u w:val="none"/>
                <w:lang w:val="en-US" w:eastAsia="zh-CN" w:bidi="ar"/>
              </w:rPr>
              <w:t>5.组织开展全市重大项目现场推进活动6批次以上。</w:t>
            </w:r>
            <w:r>
              <w:rPr>
                <w:rFonts w:hint="default" w:ascii="宋体" w:hAnsi="宋体" w:eastAsia="宋体" w:cs="宋体"/>
                <w:i w:val="0"/>
                <w:iCs w:val="0"/>
                <w:color w:val="000000"/>
                <w:kern w:val="0"/>
                <w:sz w:val="18"/>
                <w:szCs w:val="18"/>
                <w:u w:val="none"/>
                <w:lang w:val="en-US" w:eastAsia="zh-CN" w:bidi="ar"/>
              </w:rPr>
              <w:br w:type="textWrapping"/>
            </w:r>
            <w:r>
              <w:rPr>
                <w:rFonts w:hint="default" w:ascii="宋体" w:hAnsi="宋体" w:eastAsia="宋体" w:cs="宋体"/>
                <w:i w:val="0"/>
                <w:iCs w:val="0"/>
                <w:color w:val="000000"/>
                <w:kern w:val="0"/>
                <w:sz w:val="18"/>
                <w:szCs w:val="18"/>
                <w:u w:val="none"/>
                <w:lang w:val="en-US" w:eastAsia="zh-CN" w:bidi="ar"/>
              </w:rPr>
              <w:t>6.监督检查省市重点项目、集中开工项目、中省预算内投资项目、地方政府专项债券项目、政策性开发行金融工具项目等计划执行情况。</w:t>
            </w:r>
            <w:r>
              <w:rPr>
                <w:rFonts w:hint="default" w:ascii="宋体" w:hAnsi="宋体" w:eastAsia="宋体" w:cs="宋体"/>
                <w:i w:val="0"/>
                <w:iCs w:val="0"/>
                <w:color w:val="000000"/>
                <w:kern w:val="0"/>
                <w:sz w:val="18"/>
                <w:szCs w:val="18"/>
                <w:u w:val="none"/>
                <w:lang w:val="en-US" w:eastAsia="zh-CN" w:bidi="ar"/>
              </w:rPr>
              <w:br w:type="textWrapping"/>
            </w:r>
            <w:r>
              <w:rPr>
                <w:rFonts w:hint="default" w:ascii="宋体" w:hAnsi="宋体" w:eastAsia="宋体" w:cs="宋体"/>
                <w:i w:val="0"/>
                <w:iCs w:val="0"/>
                <w:color w:val="000000"/>
                <w:kern w:val="0"/>
                <w:sz w:val="18"/>
                <w:szCs w:val="18"/>
                <w:u w:val="none"/>
                <w:lang w:val="en-US" w:eastAsia="zh-CN" w:bidi="ar"/>
              </w:rPr>
              <w:t>7.组织项目会商调度工作，协调解决项目推进中的具体困难和问题。</w:t>
            </w:r>
            <w:r>
              <w:rPr>
                <w:rFonts w:hint="default" w:ascii="宋体" w:hAnsi="宋体" w:eastAsia="宋体" w:cs="宋体"/>
                <w:i w:val="0"/>
                <w:iCs w:val="0"/>
                <w:color w:val="000000"/>
                <w:kern w:val="0"/>
                <w:sz w:val="18"/>
                <w:szCs w:val="18"/>
                <w:u w:val="none"/>
                <w:lang w:val="en-US" w:eastAsia="zh-CN" w:bidi="ar"/>
              </w:rPr>
              <w:br w:type="textWrapping"/>
            </w:r>
            <w:r>
              <w:rPr>
                <w:rFonts w:hint="default" w:ascii="宋体" w:hAnsi="宋体" w:eastAsia="宋体" w:cs="宋体"/>
                <w:i w:val="0"/>
                <w:iCs w:val="0"/>
                <w:color w:val="000000"/>
                <w:kern w:val="0"/>
                <w:sz w:val="18"/>
                <w:szCs w:val="18"/>
                <w:u w:val="none"/>
                <w:lang w:val="en-US" w:eastAsia="zh-CN" w:bidi="ar"/>
              </w:rPr>
              <w:t>8.分析、研判全市项目投资运行情况。</w:t>
            </w:r>
            <w:r>
              <w:rPr>
                <w:rFonts w:hint="default" w:ascii="宋体" w:hAnsi="宋体" w:eastAsia="宋体" w:cs="宋体"/>
                <w:i w:val="0"/>
                <w:iCs w:val="0"/>
                <w:color w:val="000000"/>
                <w:kern w:val="0"/>
                <w:sz w:val="18"/>
                <w:szCs w:val="18"/>
                <w:u w:val="none"/>
                <w:lang w:val="en-US" w:eastAsia="zh-CN" w:bidi="ar"/>
              </w:rPr>
              <w:br w:type="textWrapping"/>
            </w:r>
            <w:r>
              <w:rPr>
                <w:rFonts w:hint="default" w:ascii="宋体" w:hAnsi="宋体" w:eastAsia="宋体" w:cs="宋体"/>
                <w:i w:val="0"/>
                <w:iCs w:val="0"/>
                <w:color w:val="000000"/>
                <w:kern w:val="0"/>
                <w:sz w:val="18"/>
                <w:szCs w:val="18"/>
                <w:u w:val="none"/>
                <w:lang w:val="en-US" w:eastAsia="zh-CN" w:bidi="ar"/>
              </w:rPr>
              <w:t>9.组织开展项目储备谋划、推进、入库培训；指导县区项目投资工作。</w:t>
            </w:r>
            <w:r>
              <w:rPr>
                <w:rFonts w:hint="default" w:ascii="宋体" w:hAnsi="宋体" w:eastAsia="宋体" w:cs="宋体"/>
                <w:i w:val="0"/>
                <w:iCs w:val="0"/>
                <w:color w:val="000000"/>
                <w:kern w:val="0"/>
                <w:sz w:val="18"/>
                <w:szCs w:val="18"/>
                <w:u w:val="none"/>
                <w:lang w:val="en-US" w:eastAsia="zh-CN" w:bidi="ar"/>
              </w:rPr>
              <w:br w:type="textWrapping"/>
            </w:r>
            <w:r>
              <w:rPr>
                <w:rFonts w:hint="default" w:ascii="宋体" w:hAnsi="宋体" w:eastAsia="宋体" w:cs="宋体"/>
                <w:i w:val="0"/>
                <w:iCs w:val="0"/>
                <w:color w:val="000000"/>
                <w:kern w:val="0"/>
                <w:sz w:val="18"/>
                <w:szCs w:val="18"/>
                <w:u w:val="none"/>
                <w:lang w:val="en-US" w:eastAsia="zh-CN" w:bidi="ar"/>
              </w:rPr>
              <w:t>10.完成全市项目投资年度目标任务的考核。</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00B449F2">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2023年，组织开展全市项目投资现场拉练评比4次。争取中省预算内投资项目资金80.88亿元。谋划储备全市重大项目项目3190个、前期工作开展率43.3%，计划总投资达1.74万亿元，近两年内拟实施项目1673个、开工入统转化率50.7%，项目总投资达7296亿元。提前编制2023年投资计划以及2023年省、市重点项目年度计划。组织开展全市重大项目现场推进活动6批次，开工项目945个、总投资1390.54亿元。</w:t>
            </w:r>
            <w:r>
              <w:rPr>
                <w:rFonts w:hint="eastAsia" w:ascii="黑体" w:hAnsi="黑体" w:eastAsia="黑体" w:cs="黑体"/>
                <w:i w:val="0"/>
                <w:iCs w:val="0"/>
                <w:color w:val="000000"/>
                <w:kern w:val="0"/>
                <w:sz w:val="18"/>
                <w:szCs w:val="18"/>
                <w:u w:val="none"/>
                <w:lang w:val="en-US" w:eastAsia="zh-CN" w:bidi="ar"/>
              </w:rPr>
              <w:br w:type="textWrapping"/>
            </w:r>
            <w:r>
              <w:rPr>
                <w:rFonts w:hint="eastAsia" w:ascii="黑体" w:hAnsi="黑体" w:eastAsia="黑体" w:cs="黑体"/>
                <w:i w:val="0"/>
                <w:iCs w:val="0"/>
                <w:color w:val="000000"/>
                <w:kern w:val="0"/>
                <w:sz w:val="18"/>
                <w:szCs w:val="18"/>
                <w:u w:val="none"/>
                <w:lang w:val="en-US" w:eastAsia="zh-CN" w:bidi="ar"/>
              </w:rPr>
              <w:t>现场督查省市重点项目、集中开工项目、中省预算内投资项目、地方政府专项债券项目、政策性开发行金融工具项目等计划执行情况4次。组织开展项目会商调度工作4次，协调解决项目推进中的具体困难和问题，分析、研判全市项目投资运行情况。组织全市800余名干部开展为期3天的项目包装与策划专题培训，出台《广元市项目储备管理指导意见》，指导全市谋划储备项目。完成全市项目投资年度目标任务的考核。</w:t>
            </w:r>
          </w:p>
        </w:tc>
      </w:tr>
      <w:tr w14:paraId="78409F5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2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3138A1">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893BED7">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2.项目实施内容及过程概述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38B7C36A">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坚持以习近平新时代中国特色社会主义思想为指引，全面贯彻党的二十大精神、省第十二次党代会、省委十二届四次全会和市第八次党代会、市委八届七次全会精神，认真落实党中央国务院、省委省政府和市委市政府决策部署，增强“四个意识”、坚定“四个自信”、做到“两个维护”，深入贯彻习近平总书记来川视察重要指示精神，聚焦“1345”发展战略，按照全委统一工作安排，坚持“拼”字当头，产业为先，环境为要。一是持续开展项目投资“拉练评比”活动和重点项目推进“红黑榜”通报工作机制，季度评定“明星项目”和“蜗牛项目”。坚持不断优化完善项目投资“拉练评比”和重点项目推进“红黑榜”考评规则，压紧落实项目推进工作责任。二是加强项目推进，进一步优化完善会商调度、预警提醒、监测分析、督查督办等工作制度，按需开展市领导项目投资专题调度会，及时向推进滞后项目责任单位发送预警提醒函，强化项目资金、用地、用工、用料以及水电油气运协调保障，动态收集项目推进过程中需省、市级层面协调解决的困难问题，灵活对接协商、归并处理，统筹推进产业、基础设施、生态环保、社会民生等领域项目建设，加快补齐工作短板，确保重点项目入统完成投资400亿元以上。三是强化重大项目开工。依托全市投资支撑项目名单和储备加快前期项目名单，分阶段提前梳理开工项目，指导各县区、有关部门做好项目前期工作推进，全年组织重大项目现场推进活动4批次。四是从严加强作风建设。始终坚持把党风廉政建设责任与具体业务工作同安排、同落实。严格执行中央八项规定、省委省政府十项规定及其实施细则和市委六个带头规定要求。切实加强理论学习，努力把握和应用习近平新时代中国特色社会主义思想和党的二十大精神，主动作为，进一步提高工作质量和效率。</w:t>
            </w:r>
          </w:p>
        </w:tc>
      </w:tr>
      <w:tr w14:paraId="5654AAF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1"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16082B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预算执行情况（10分）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B3A6A1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年度预算数（万元）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A36E2B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年初预算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B73F0F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调整后预算数</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6723C7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预算执行数</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37A236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00C251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057114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E24E91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原因</w:t>
            </w:r>
          </w:p>
        </w:tc>
      </w:tr>
      <w:tr w14:paraId="7BFC58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824A5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9B1BB4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总额</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24C973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8CC41D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DC8D06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99.47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97DF87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99.47%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443D7B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84AB8D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9.95</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161C2E2">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279382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A274C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EF98D9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其中：财政资金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99ECF4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CC640F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306EC3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99.47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022CC4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99.47%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0231D6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B1706B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8520EB">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531F5E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7"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25490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E799EC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财政专户管理资金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A6F784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A72305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784E86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8D9396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27DAE3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5BFB27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7969E6">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627D8D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9F967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8BD79E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单位资金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8D82C4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4760EF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DA6E56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BA5397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C995DF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EC1CED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002A32">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5EEE39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D81E7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7AD64B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其他资金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C4AD202">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8B55BB7">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F7F1191">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7CE3320">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889B9E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D50C59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5C6253">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567944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A670AA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绩效指标（90分）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3F3657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一级指标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3777D3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二级指标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8C257C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三级指标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D8F8A5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指标性质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1BCAB9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816B9B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度量单位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63255C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完成值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58BF41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7CFC11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DEC6A5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未完成原因分析</w:t>
            </w:r>
          </w:p>
        </w:tc>
      </w:tr>
      <w:tr w14:paraId="3CFF15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629C5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833E2E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产出指标</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F90BF6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数量指标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009483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指标6：重大项目现场推进活动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584D62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CC16FA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481D3A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批次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73FCD1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6CFEF6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259D4F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1.67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9DC9A70">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18"/>
                <w:szCs w:val="18"/>
                <w:u w:val="none"/>
              </w:rPr>
            </w:pPr>
          </w:p>
        </w:tc>
      </w:tr>
      <w:tr w14:paraId="5234C1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FC732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F46FC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6B85C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EBF02C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指标４：重点项目完成投资</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E5D630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A0D5AF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600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CF986F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亿元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CDE5AB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720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AF8062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DBF71F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549D45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r>
      <w:tr w14:paraId="078E92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81D2C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A3ABF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CEBA9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072EAA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指标2：向上争取资金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E47054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1175C6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790E6D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亿元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B61104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80.88亿元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EAC552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298B91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7F9382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r>
      <w:tr w14:paraId="5C7BC6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05F5C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4B1A5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2171D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DCFE75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指标3：项目储备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9F5865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641CC5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13000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E90D4D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亿元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0DF01A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1.74亿元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FAB2B6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2B9027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5E69F9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r>
      <w:tr w14:paraId="362A8E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2A9D7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2C7FA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99286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FE106C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指标1：组织开展全市项目投资现场拉练评比</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66AF33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B4D62C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9952EA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E75F6D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F770DE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541FB5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F9A63A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r>
      <w:tr w14:paraId="0D3AD1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5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968F0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B08CA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34C5B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CF52C9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指标7：监督检查省市重点项目、集中开工项目、中省预算内投资项目、地方政府专项债券项目、政策性开发行金融工具项目等计划执行情况</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F63E6A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609DE5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46B068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14F4D5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68600F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4BC250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A97A3D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r>
      <w:tr w14:paraId="50FE55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8276A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3532E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39526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E2130A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指标8：组织项目会商调度工作</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CE4B8A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4ECC99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EB6DB2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2F3A6A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ED8931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B9DEF0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A917A2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r>
      <w:tr w14:paraId="74DADA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39633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5D3AE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1584E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55FC4A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指标5：全市投资运行分析研判</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F05044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4D6E26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9E0A66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CDFE6C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6474ED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CBE1D8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445574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r>
      <w:tr w14:paraId="241E17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78"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B8906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CFEFF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7CC80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BF5C81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指标9：组织开展项目储备谋划、推进、入库指导、培训</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C2A09F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AFC3AE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562398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3A0F21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DF08F4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D2FAF4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29C09E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r>
      <w:tr w14:paraId="3E5F83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DF348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2044B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21C29E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质量指标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318BAB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指标2：项目推进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2A23BF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98D4EF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组织项目会商调度工作，协调解决项目资金争取过程中的具体困难和问题。</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89E106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E0140C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坚持月调度工作机制，相关市领导先后召开专题调度会议10余次，印发工作通报20期。按季度对重点项目推进情况开展现场督查核实、精准督办，对推进滞后的项目“点对点”发出提醒敦促函70余份。</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702445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F2469C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D6B40A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r>
      <w:tr w14:paraId="474EEE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3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677E3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E1B40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D20DE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5AFAEF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指标1：资金争取</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3788B9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C1C6E7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加快推进省市重点项目、集中开工项目、中省预算内投资项目、地方政府专项债券项目、政策性开发行金融工具项目等的建设进度，推动形成实物工作量。</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032137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4B2547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2023年，全市争取并成功发行地方政府专项债券项目95个（不含亭子口灌区一期），开工率100%，到位债券资金66.7亿元，同比增长31.3%，增幅居全省市（州）第9位，专项债券资金使用率100%；谋划申报增发国债项目243个，增发国债资金17.28亿元，资金规模居全省市（州）第10位；累计争取到位中省预算内投资14.17亿元，67个中央预算内投资项目、13个省预算内投资项目开工率100%；6个中长期贷款项目签约资金11.4亿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AFD396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B55DCB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879A417">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67AD3B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95138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0E090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C58571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时效指标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335323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指标1：完成2022年项目投资工作考核</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BBF514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2704E5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2CDEE2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月</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05C1ED4">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6月</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49390B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39E3AC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B193913">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41ED83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78"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EABFB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D545D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21224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1A664D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指标2：编制完成2023年投资计划以及2023年省、市重点项目年度计划</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88DDBD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8D00F6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21344F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月</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6609F16">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3月</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279291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7DEF3A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83586FA">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3E1477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78"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E2B9E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90FB60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963E1E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经济效益指标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0ECB6A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指标1：固定资产投资</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F7D06A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D7991B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以项目投资带动全市经济社会高质量发展</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1B8A59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32B5EBB">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2023年，省反馈我市固定资产投资同比增长4.2%，增速排全省第14位。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859F76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C5FC9D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5190C15">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3B9BDD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991B3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41421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0F45DB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社会效益指标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359E5B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指标1：加快项目推进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49E520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691692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谋划储备推进一批态环保项目，促进全市生态环境持续优化</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0C94E7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AC5720C">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奋力保障项目落地。加快推动规划许可、环评、能评、水资源、用地等前期要件办理，尽早达成项目征地拆迁、供电、供水等建设条件，推动项目早开工早建设。按季度开展重大项目现场推进活动，全年开展4批次，开工项目945个、总投资1390.54亿元，分别增长37%和12%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FE1DEC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E1845A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5425E59">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74DCE2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1EABA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166D2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2D3516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生态效益指标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7BCF56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指标1：推进一批生态环保项目</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4A16FB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3597C1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谋划储备推进一批态环保项目，促进全市生态环境持续优化</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EF8BDB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6FE48DF">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2023年重点项目中，生态环保项目10个、总投资45.6亿元，年度计划投资21.8亿元。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6AADDE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731A7D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FB9D6F6">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047CF0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A7F4C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325B2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99BA2F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可持续影响指标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EF07BD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指标1：加快项目推进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01D6E4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3513DE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以重点项目示范带动作用，推动全市投资持续增长、经济社会高质量发展</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D903EC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8B5004D">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坚持月调度工作机制，相关市领导先后召开专题调度会议10余次，印发工作通报20期。按季度对重点项目推进情况开展现场督查核实、精准督办，对推进滞后的项目“点对点”发出提醒敦促函70余份。</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803E14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E107BE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60053A2">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658435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B825D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F4634C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满意度指标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368A45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服务对象满意度指标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770561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指标1：项目协调调度</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DD971E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943469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95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871C44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9293F26">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98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7B5B50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B2919C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2377267">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15F846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458C6CB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合计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23AD2C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7B5CB47">
            <w:pPr>
              <w:keepNext w:val="0"/>
              <w:keepLines w:val="0"/>
              <w:widowControl/>
              <w:suppressLineNumbers w:val="0"/>
              <w:spacing w:before="0" w:beforeAutospacing="0" w:after="0" w:afterAutospacing="0"/>
              <w:ind w:left="0" w:right="0"/>
              <w:jc w:val="righ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99.95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F1B1F8B">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4DD6A7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6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94D4DF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评价结论</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48DE109C">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2023年，我市认真贯彻落实党中央国务院和省委省政府各项决策部署，全力以赴拼经济比发展、抓项目促投资，坚持以项目建设为总抓手，深入开展项目储备、项目争取、项目招引、项目开工、项目建设、项目投产“六大”攻坚行动，持续开展项目投资“拉练评比”和推进“红黑榜”通报机制，推动300个市重点项目提前2个月完成全年目标任务，20个省重点项目提前4个月完成全年目标任务，完成投资205.9亿元，超年度目标任务33.2个百分点，推动实现固定资产投资增速“V”型反转，有力促进全市经济跑出逐季回升、追赶奋进的昂扬曲线。自评得分99.95分.</w:t>
            </w:r>
          </w:p>
        </w:tc>
      </w:tr>
      <w:tr w14:paraId="211624D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21CE76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存在问题</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11C26C10">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18"/>
                <w:szCs w:val="18"/>
                <w:u w:val="none"/>
              </w:rPr>
            </w:pPr>
          </w:p>
        </w:tc>
      </w:tr>
      <w:tr w14:paraId="0349E3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3"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316BDE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改进措施</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18F6AC04">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举一反三，精准计划全年目标任务。</w:t>
            </w:r>
          </w:p>
        </w:tc>
      </w:tr>
      <w:tr w14:paraId="4F08AF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F924A3A">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w:t>
            </w:r>
          </w:p>
        </w:tc>
        <w:tc>
          <w:tcPr>
            <w:tcW w:w="0" w:type="auto"/>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1268F54">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w:t>
            </w:r>
          </w:p>
        </w:tc>
      </w:tr>
      <w:tr w14:paraId="09F07A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tcBorders>
              <w:top w:val="nil"/>
              <w:left w:val="nil"/>
              <w:bottom w:val="nil"/>
              <w:right w:val="nil"/>
            </w:tcBorders>
            <w:shd w:val="clear" w:color="auto" w:fill="auto"/>
            <w:vAlign w:val="center"/>
          </w:tcPr>
          <w:p w14:paraId="44008263">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515222A6">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57347E6B">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4691E03F">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0FE815A1">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676D03AA">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4ACA9FA1">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43777D7B">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4376F884">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42F20C3B">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243E241D">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65B9CA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0" w:type="auto"/>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48A941ED">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部门预算项目支出绩效自评表（2023年度）</w:t>
            </w:r>
          </w:p>
        </w:tc>
      </w:tr>
      <w:tr w14:paraId="283BF3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E57FB13">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项目名称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5F066EFB">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51080023T000008230878-派驻纪检组经费</w:t>
            </w:r>
          </w:p>
        </w:tc>
      </w:tr>
      <w:tr w14:paraId="490B7B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2"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056C57C">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主管部门</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266B8DA0">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广元市发展和改革委员会部门</w:t>
            </w:r>
          </w:p>
        </w:tc>
        <w:tc>
          <w:tcPr>
            <w:tcW w:w="0" w:type="auto"/>
            <w:tcBorders>
              <w:top w:val="nil"/>
              <w:left w:val="nil"/>
              <w:bottom w:val="nil"/>
              <w:right w:val="nil"/>
            </w:tcBorders>
            <w:shd w:val="clear" w:color="auto" w:fill="auto"/>
            <w:vAlign w:val="center"/>
          </w:tcPr>
          <w:p w14:paraId="46920717">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5A79E4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w:t>
            </w:r>
          </w:p>
        </w:tc>
      </w:tr>
      <w:tr w14:paraId="318000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5B998CC">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项目基本情况</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32F883A">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1.项目年度目标完成情况</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09C17EB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项目年度目标</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7BD73632">
            <w:pPr>
              <w:keepNext w:val="0"/>
              <w:keepLines w:val="0"/>
              <w:widowControl/>
              <w:suppressLineNumbers w:val="0"/>
              <w:spacing w:before="0" w:beforeAutospacing="0" w:after="0" w:afterAutospacing="0"/>
              <w:ind w:left="0" w:right="0"/>
              <w:jc w:val="center"/>
              <w:textAlignment w:val="center"/>
              <w:rPr>
                <w:rFonts w:hint="eastAsia" w:ascii="黑体" w:hAnsi="黑体" w:eastAsia="黑体" w:cs="黑体"/>
                <w:i w:val="0"/>
                <w:iCs w:val="0"/>
                <w:color w:val="FF0000"/>
                <w:sz w:val="18"/>
                <w:szCs w:val="18"/>
                <w:u w:val="none"/>
              </w:rPr>
            </w:pPr>
            <w:r>
              <w:rPr>
                <w:rFonts w:hint="eastAsia" w:ascii="黑体" w:hAnsi="黑体" w:eastAsia="黑体" w:cs="黑体"/>
                <w:i w:val="0"/>
                <w:iCs w:val="0"/>
                <w:color w:val="FF0000"/>
                <w:kern w:val="0"/>
                <w:sz w:val="18"/>
                <w:szCs w:val="18"/>
                <w:u w:val="none"/>
                <w:lang w:val="en-US" w:eastAsia="zh-CN" w:bidi="ar"/>
              </w:rPr>
              <w:t>年度目标完成情况</w:t>
            </w:r>
          </w:p>
        </w:tc>
      </w:tr>
      <w:tr w14:paraId="7FC97E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8"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DD8030">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A375B3">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04D0978C">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 xml:space="preserve"> 进一步巩固发展综合监督单位良好政治生态，为加快建设川陕甘结合部现代化中心城市提供坚强的政治保证、纪律保证和作风保证。</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688E6C98">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对照年度目标，说明相关任务目标的完成情况（100字以内）</w:t>
            </w:r>
          </w:p>
        </w:tc>
      </w:tr>
      <w:tr w14:paraId="70C742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2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9B7E2E">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1E51BD2">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2.项目实施内容及过程概述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595A390B">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2023年工作开展情况。一是推动重大决策部署落实。全年开展综合监督单位党组开展各类集中学习52次 ；开展中央、省、市重大决策部署开展监督检查22次，督促整改问题12个；开展监督检查、座谈调研、企业回访、召开专题会 等共计15次，推动整改问题128个，出台规范性政策3个，警示约谈23人、国企1家，处罚违法违规评标专家11人、企业13家、罚款303.67万元。二是着眼群众实事纾困解难。组织市住建局逐一梳理困难症结，细化实化任务清单，定期督促，积极衔接市自然资源局等相关单位派驻纪检监察组，协调解决部门间的争议问题，提高化解质效，推动“问题楼盘”有序化解；开展振兴领域监督检查8次，反馈问题4个乡村；化解驾校收费不合理、道路质量隐患、惠民政策不落实、住房安全不解决、项目审批推诿扯皮 等问题信访13件；三是扎紧全面从严治党制度笼子。细化监督责任清单明确34项监督任务每季度召开联络员会议督促落实，现场督导10 次，制发工作提醒函2份；列席综合监督部门“三重一大”事项决策会 52次，为综合监督单位干部选拔任用等出具党风廉政建设意见203人次，全程监督相关职称评审、招录考试7次；开展监督检查14次，督促整改问题5个春节、“五一”、端午、国庆等重要节点；开展市交通局及市住建局巡察反馈问题整改成效评查，反馈问题5个；推进粮食购销领域腐败问题、统计造假、交通运输执法领域及乡村振兴领域不正之风和腐败问题等4项专项治理工作 ，开展专项检查28次，现场调研5次，反馈问题20个，移送问题线索1件，形成调研文章2篇，推动完善制度 19项；扎实推进蜀道纪律作风行专项行动，督促指导综合监督单位查处工作作风漂浮等8个问 题，问责48人。四是规范精准用好问责利器。通过监督发现有效问题线索 22件，其中被《阳光问政（廉）》采用曝光4件；全年处置线索15件，转立案5件，结案5件（含去年立案1件），党纪政务处分5人（党内警告1人、严重警告1人，政务警告2人，“双开”1人），第一种形态处置5人；教育回访受处分干部4人，帮助其放下包袱、轻装上阵。五是推动党风廉政宣传提质增效。，上稿各类党风廉政信息42条，其中，中央级媒体2条，省级媒体1条，市级媒体8条，办公室信息4条，联播星期五27条；组织开展旁听庭审、集体谈话、家风教育、参观警示教育基地等活动13次，督促各综合监督单位开展各类警示教育活动63次，高质量开展学纪学法月活动。六是扎实推进“三化”建设。严格对标对表各项要求，集中学习38次，形成心得体会57篇，谈心谈话5次，赴川北家风馆等教育基地开展政德教育5次，查摆整改问题66个；积极抽调2人参与省市纪委审查调查工作，全面提升业务水平；后完善了内务、会议、学习、考勤、经费管理、保密、工作纪律等7项管理制度，全面夯实制度建设，提升组内规范化运行水平。</w:t>
            </w:r>
          </w:p>
        </w:tc>
      </w:tr>
      <w:tr w14:paraId="7C4C8A5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1"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55419D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预算执行情况（10分）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EFB130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年度预算数（万元）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9064DA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年初预算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E4E51A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调整后预算数</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AF9E2E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预算执行数</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51C103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C386A1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3189F7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26252D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原因</w:t>
            </w:r>
          </w:p>
        </w:tc>
      </w:tr>
      <w:tr w14:paraId="7D3EA8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4F580E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62EFA6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总额</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5DEA6E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5B6312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01709F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E729F4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B73E00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C7DB4F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FFEF6C7">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1138ED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24BAF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0ABE38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其中：财政资金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716D26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C28108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D844B9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DB4688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586CFF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66D206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D6E823">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31EB1C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7"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46C42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184EE9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财政专户管理资金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CED584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9FC742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50C0AF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1B3880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D7FB86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7B830F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A513CB">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356E92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78B74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07529B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单位资金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45F01C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FD23EC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30CD80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98C1E5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A06972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ADA470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5DFAA0">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3B5FAC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075D6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4F303E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其他资金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87E01E2">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CCE8BC2">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7977CA0">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313E246">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9DB3E1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745547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0B10F8">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24A680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EB7C3A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绩效指标（90分）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BC493E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一级指标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16D6A2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二级指标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4B6021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三级指标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4472A2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指标性质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A6566A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45EAE3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度量单位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413F4D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完成值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4DE6DA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6C163B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112672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未完成原因分析</w:t>
            </w:r>
          </w:p>
        </w:tc>
      </w:tr>
      <w:tr w14:paraId="0D4754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E5CA7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69C806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产出指标</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7DA37D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数量指标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43DFF9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指标2：开展日常监督</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7559C5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CFA052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662374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C0A0C54">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开展监督检查50余次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100DC8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5E0730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0CC5600">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79637D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20EE3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4F07F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F841B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83A73F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指标3：开展政治生态评价</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35ADD5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70F0AD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0D165F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A0349A2">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开展1次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901E5D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607E7D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47E99B0">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052EDB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2D638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8C993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7AA77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DE8564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指标1：查办案件</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B27839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58C2BF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6AA6F0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E3BD1BA">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ABC401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3F120C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2C28E84">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58488B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2BA0F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71431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C59584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质量指标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3E8168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指标2：确保办案安全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1ED6F3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3BABD9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严格谈话安全工作规定要求，开展谈话，杜绝安全事故发生，确保办案安全。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64F427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C3DD612">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坚持安全首课和领导首谈制度，严格落实一岗双责，提升安全防范意识，保障办案依纪依法，全年未发生审查调查安全事故。</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70FA6F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78CACD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59BFE0C">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23D188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1B483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E8239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344D6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7D46ED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指标1：提高案件质量</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6A29AC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18DF97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严格按照监督执纪工作规则和监督执法工作规定，强化内部审理，提高办案质量。</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A33E21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DDAF2D1">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加强内部审理，办案质量高。</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8AC916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B874AC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CD3F8B1">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6A087B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C49F3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0091B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0251C0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时效指标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CB6BF2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指标1：完成时间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14B309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3FC3A2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4C3D90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月</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39DBABC">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634D5C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98D886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E99FF1B">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0A1C3D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5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7425F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3A3D1B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效益指标</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C2AEF6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社会效益指标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F15DCE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指标1：巩固政治生态</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C53FD7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AF2FF2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进一步巩固发展综合监督单位良好政治生态，严肃党内政治生活，严明政治纪律和政治规矩。</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BE0CBF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9FC54EE">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结合日常会议监督、专项检查、驻点监督、群众评价、巡察问题反馈等情况，有针对性地、与时俱进地加强政治生态建设。</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288DBE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7F0796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A49E908">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7F9E7B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00258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21178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BC717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564367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指标2：增强法纪意识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9AA34C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97DCD6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促进综合监督单位干部职工不断强化底线思维，增强法纪意识。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2394B5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E918AB8">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督促监督单位深入开展干部纪律作风整顿、招投标领域营商环境、粮食购销领域腐败问题、统计造假、交通运输执法领域及乡村振兴领域不正之风和腐败问题等专项治理工作 各类专项治理。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F3F39C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1518C5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32D1CCE">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53C684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A7604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85A3B5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成本指标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7FD7DA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经济成本指标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4CE900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监督执纪</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4C5F71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D379A9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9CFD0A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567B8C8">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CDD9B3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BD59A4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3372756">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1644FC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75CA88E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合计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F4FB48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61933A0">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0DF90CB">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564152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4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077C1D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评价结论</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0C204243">
            <w:pPr>
              <w:keepNext w:val="0"/>
              <w:keepLines w:val="0"/>
              <w:widowControl/>
              <w:suppressLineNumbers w:val="0"/>
              <w:spacing w:before="0" w:beforeAutospacing="0" w:after="0" w:afterAutospacing="0"/>
              <w:ind w:left="0" w:right="0"/>
              <w:jc w:val="left"/>
              <w:textAlignment w:val="center"/>
              <w:rPr>
                <w:rFonts w:hint="default" w:ascii="方正公文仿宋" w:hAnsi="方正公文仿宋" w:eastAsia="方正公文仿宋" w:cs="方正公文仿宋"/>
                <w:i w:val="0"/>
                <w:iCs w:val="0"/>
                <w:color w:val="000000"/>
                <w:sz w:val="18"/>
                <w:szCs w:val="18"/>
                <w:u w:val="none"/>
              </w:rPr>
            </w:pPr>
            <w:r>
              <w:rPr>
                <w:rFonts w:hint="default" w:ascii="方正公文仿宋" w:hAnsi="方正公文仿宋" w:eastAsia="方正公文仿宋" w:cs="方正公文仿宋"/>
                <w:i w:val="0"/>
                <w:iCs w:val="0"/>
                <w:color w:val="000000"/>
                <w:kern w:val="0"/>
                <w:sz w:val="18"/>
                <w:szCs w:val="18"/>
                <w:u w:val="none"/>
                <w:lang w:val="en-US" w:eastAsia="zh-CN" w:bidi="ar"/>
              </w:rPr>
              <w:t>根据广财绩〔2024〕6号文件要求部署安排，我组成立了自评工作组，对工作经费项目开展了自评工作。一、项目基本概况。工作经费资金共计20万元。二、效果及评价结论。（一）效果。监督推动重大决策部署落实，扎实督推从严治党主体责任落实，务实督促加快巡察反馈问题整改，全覆盖嵌入式抓实做细日常监督，强化了审查调查用好追责问责利器，推动党风廉政建设和反腐败工作取得明显成效。（二）评价结果和评价结论。本项目自评分为100分，评价等级为优秀，达到预期绩效目标。</w:t>
            </w:r>
          </w:p>
        </w:tc>
      </w:tr>
      <w:tr w14:paraId="43F353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A0CB1D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存在问题</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623095D5">
            <w:pPr>
              <w:keepNext w:val="0"/>
              <w:keepLines w:val="0"/>
              <w:widowControl/>
              <w:suppressLineNumbers w:val="0"/>
              <w:spacing w:before="0" w:beforeAutospacing="0" w:after="0" w:afterAutospacing="0"/>
              <w:ind w:left="0" w:right="0"/>
              <w:jc w:val="left"/>
              <w:textAlignment w:val="center"/>
              <w:rPr>
                <w:rFonts w:hint="default" w:ascii="方正公文仿宋" w:hAnsi="方正公文仿宋" w:eastAsia="方正公文仿宋" w:cs="方正公文仿宋"/>
                <w:i w:val="0"/>
                <w:iCs w:val="0"/>
                <w:color w:val="000000"/>
                <w:sz w:val="18"/>
                <w:szCs w:val="18"/>
                <w:u w:val="none"/>
              </w:rPr>
            </w:pPr>
            <w:r>
              <w:rPr>
                <w:rFonts w:hint="default" w:ascii="方正公文仿宋" w:hAnsi="方正公文仿宋" w:eastAsia="方正公文仿宋" w:cs="方正公文仿宋"/>
                <w:i w:val="0"/>
                <w:iCs w:val="0"/>
                <w:color w:val="000000"/>
                <w:kern w:val="0"/>
                <w:sz w:val="18"/>
                <w:szCs w:val="18"/>
                <w:u w:val="none"/>
                <w:lang w:val="en-US" w:eastAsia="zh-CN" w:bidi="ar"/>
              </w:rPr>
              <w:t>在预算编制环节，预期支出项目金额和实际支出的存在差异，这是由于预算编制经验不足导致。</w:t>
            </w:r>
          </w:p>
        </w:tc>
      </w:tr>
      <w:tr w14:paraId="030F59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3"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87C41E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改进措施</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3BB39C50">
            <w:pPr>
              <w:keepNext w:val="0"/>
              <w:keepLines w:val="0"/>
              <w:widowControl/>
              <w:suppressLineNumbers w:val="0"/>
              <w:spacing w:before="0" w:beforeAutospacing="0" w:after="0" w:afterAutospacing="0"/>
              <w:ind w:left="0" w:right="0"/>
              <w:jc w:val="left"/>
              <w:textAlignment w:val="center"/>
              <w:rPr>
                <w:rFonts w:hint="default" w:ascii="方正公文仿宋" w:hAnsi="方正公文仿宋" w:eastAsia="方正公文仿宋" w:cs="方正公文仿宋"/>
                <w:i w:val="0"/>
                <w:iCs w:val="0"/>
                <w:color w:val="000000"/>
                <w:sz w:val="18"/>
                <w:szCs w:val="18"/>
                <w:u w:val="none"/>
              </w:rPr>
            </w:pPr>
            <w:r>
              <w:rPr>
                <w:rFonts w:hint="default" w:ascii="方正公文仿宋" w:hAnsi="方正公文仿宋" w:eastAsia="方正公文仿宋" w:cs="方正公文仿宋"/>
                <w:i w:val="0"/>
                <w:iCs w:val="0"/>
                <w:color w:val="000000"/>
                <w:kern w:val="0"/>
                <w:sz w:val="18"/>
                <w:szCs w:val="18"/>
                <w:u w:val="none"/>
                <w:lang w:val="en-US" w:eastAsia="zh-CN" w:bidi="ar"/>
              </w:rPr>
              <w:t>进一步加强对单位编制预算绩效目标项目设计的科学性、合理性，加大对绩效项目的管理力度，实施进度跟踪，合理支出预算资金，使其最大效益化。</w:t>
            </w:r>
          </w:p>
        </w:tc>
      </w:tr>
      <w:tr w14:paraId="203611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5A32CD2">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w:t>
            </w:r>
          </w:p>
        </w:tc>
        <w:tc>
          <w:tcPr>
            <w:tcW w:w="0" w:type="auto"/>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F5F5E2D">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w:t>
            </w:r>
          </w:p>
        </w:tc>
      </w:tr>
      <w:tr w14:paraId="08CDC4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tcBorders>
              <w:top w:val="nil"/>
              <w:left w:val="nil"/>
              <w:bottom w:val="nil"/>
              <w:right w:val="nil"/>
            </w:tcBorders>
            <w:shd w:val="clear" w:color="auto" w:fill="auto"/>
            <w:vAlign w:val="center"/>
          </w:tcPr>
          <w:p w14:paraId="01790E3A">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06AA7411">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43C8885A">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010525E5">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1CDFD21C">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7805B470">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26E0D95C">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47445DD1">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4CA8DA03">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00182508">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24AC5475">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2CD06B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0" w:type="auto"/>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2DA18DAF">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部门预算项目支出绩效自评表（2023年度）</w:t>
            </w:r>
          </w:p>
        </w:tc>
      </w:tr>
      <w:tr w14:paraId="5C45F5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0FDC365">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项目名称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0E7FF2E7">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51080023T000008230901-乡村振兴帮扶工作经费</w:t>
            </w:r>
          </w:p>
        </w:tc>
      </w:tr>
      <w:tr w14:paraId="58654B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2"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592BF33">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主管部门</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1B7B2AEB">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广元市发展和改革委员会部门</w:t>
            </w:r>
          </w:p>
        </w:tc>
        <w:tc>
          <w:tcPr>
            <w:tcW w:w="0" w:type="auto"/>
            <w:tcBorders>
              <w:top w:val="nil"/>
              <w:left w:val="nil"/>
              <w:bottom w:val="nil"/>
              <w:right w:val="nil"/>
            </w:tcBorders>
            <w:shd w:val="clear" w:color="auto" w:fill="auto"/>
            <w:vAlign w:val="center"/>
          </w:tcPr>
          <w:p w14:paraId="5C71D155">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B36BFA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w:t>
            </w:r>
          </w:p>
        </w:tc>
      </w:tr>
      <w:tr w14:paraId="353DB8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E5548B6">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项目基本情况</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B54DEC5">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1.项目年度目标完成情况</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19206D0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项目年度目标</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330E982A">
            <w:pPr>
              <w:keepNext w:val="0"/>
              <w:keepLines w:val="0"/>
              <w:widowControl/>
              <w:suppressLineNumbers w:val="0"/>
              <w:spacing w:before="0" w:beforeAutospacing="0" w:after="0" w:afterAutospacing="0"/>
              <w:ind w:left="0" w:right="0"/>
              <w:jc w:val="center"/>
              <w:textAlignment w:val="center"/>
              <w:rPr>
                <w:rFonts w:hint="eastAsia" w:ascii="黑体" w:hAnsi="黑体" w:eastAsia="黑体" w:cs="黑体"/>
                <w:i w:val="0"/>
                <w:iCs w:val="0"/>
                <w:color w:val="FF0000"/>
                <w:sz w:val="18"/>
                <w:szCs w:val="18"/>
                <w:u w:val="none"/>
              </w:rPr>
            </w:pPr>
            <w:r>
              <w:rPr>
                <w:rFonts w:hint="eastAsia" w:ascii="黑体" w:hAnsi="黑体" w:eastAsia="黑体" w:cs="黑体"/>
                <w:i w:val="0"/>
                <w:iCs w:val="0"/>
                <w:color w:val="FF0000"/>
                <w:kern w:val="0"/>
                <w:sz w:val="18"/>
                <w:szCs w:val="18"/>
                <w:u w:val="none"/>
                <w:lang w:val="en-US" w:eastAsia="zh-CN" w:bidi="ar"/>
              </w:rPr>
              <w:t>年度目标完成情况</w:t>
            </w:r>
          </w:p>
        </w:tc>
      </w:tr>
      <w:tr w14:paraId="676C92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8"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0439F5">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75DB87">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5F29BB09">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持续巩固朝天区羊木镇新山村和曾家镇毛坝村“脱贫攻坚”成果，保障工作力量，着力以夯实基础、发展产业、丰富文化为主要目标，培育造血功能，提高居民收入，整体提升生活水平。有效实现脱贫攻坚与乡村振兴的有效衔接。</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43B0E278">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市发改委按照市委组织部、市乡村振兴局要求选派驻村工作队2支分赴毛坝村、新山村开展帮扶工作，帮扶期间，市发改委发挥组织优势，带领驻村工作队积极对接协调，扎实开展防止返贫监测、促进产业发展、农户增收，关爱特殊困难群体等各项工作，取得了较好的成效帮扶村各项事业发展稳中有提升。</w:t>
            </w:r>
          </w:p>
        </w:tc>
      </w:tr>
      <w:tr w14:paraId="55F6EA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3"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FB28BB">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3C148F3">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2.项目实施内容及过程概述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0235ACC0">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组织选派6名干部组建2个工作队在朝天区羊木镇新山村、曾家镇毛坝村开展乡村振兴帮扶工作。2023年，我委着力巩固脱贫攻坚成果，开展定期走访扎实开展防止返贫监测工作，2个村无新增检测户；着力培育和壮大集体经济，新山村充分发挥专业合作社作用，开展企业+专合社+农户多形式合作，拓宽了种植、养殖和销售渠道，争取落实到位基础设施建设资金100余万元，用于村内道路垮塌清理维修和道路硬化，积极发展油茶产业，争取油茶种植600余亩；毛坝村结合曾家山旅游产业发展，着力从承接服务与种养本职两方面入手，引进农业公司建成500余亩的蔬菜种植基地，全村蔬菜种植规模达1200亩以上，积极参与旅游旺季服务工作；抓好基础设施巩固建设，协调市区两级部门单位和企业以高标准农田建设、村道整治建设、落水洞整治等为重点，进一步建设“宜居宜业、和美乡村”；关爱关注特殊群体，在六一、七一、春节前后开展留守儿童、困难党员群众等慰问活动3次；深化开展消费扶贫活动，协调宝珠寺电厂等单位在新山村、毛坝村购买农产品18万左右。</w:t>
            </w:r>
          </w:p>
        </w:tc>
      </w:tr>
      <w:tr w14:paraId="73065F6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1"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F32845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预算执行情况（10分）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F7A60F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年度预算数（万元）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C6AF6D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年初预算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DB24D7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调整后预算数</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94DD9E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预算执行数</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34DEF8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403487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4D2CDD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8FB41D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原因</w:t>
            </w:r>
          </w:p>
        </w:tc>
      </w:tr>
      <w:tr w14:paraId="799E9E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DD485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829A03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总额</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0D3261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10.92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10CBC0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10.92</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553A97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10.92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EBD132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E0EB8B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8C92BD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43D23EC">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49EC84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8330C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6B2525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其中：财政资金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25B372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10.92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459090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10.92</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EDC665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10.92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C578FF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A13D18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D79036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53C0BC">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6727F6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7"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56331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599347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财政专户管理资金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C69D02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FB9FC9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EFFD10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3FAAD3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34E576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E9768D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9DC6DEC">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71DD1B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D47B7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5232C3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单位资金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0383B0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4CAB7D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BF9580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8D94B1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961655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DA41F8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426B9E">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4F845A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10DC5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8FFA77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其他资金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2F3D2A6">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BD0422E">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AE01DD5">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7BB2918">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2BA1B9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522DAA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608025">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6A83FB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17F457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绩效指标（90分）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690984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一级指标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58A100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二级指标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63D52E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三级指标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17FAA8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指标性质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FF47B4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10450E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度量单位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FE08FD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完成值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F27EAB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93E314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219314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未完成原因分析</w:t>
            </w:r>
          </w:p>
        </w:tc>
      </w:tr>
      <w:tr w14:paraId="354417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0A97B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5EABD5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产出指标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6AAFDA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数量指标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1FA490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居民人均收入有提升，脱贫人口脱贫成果进一步巩固。脱贫户人均收入提升9%</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D65C1F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23052C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9</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62626B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4230EE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新山村脱贫户人均收入提升17%，毛坝村脱贫户人均收入提升19%。</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0A7AF7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F819B8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187AA4D">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042FBD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6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A7B96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9507D8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4F7BF5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质量指标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FE3B32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公共基础和服务设施进一步完善，提升居民生活质量。</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C8A6BC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3D965C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全村交通更加便利，生态环境持续好转，精神文化生活更加丰富。村道入户、农田基础设施齐全、有相对丰富地文化体育活动。道入户、农田基础设施齐全、有相对丰富地文化体育活动。道入户、农田基础设施齐全、有相对丰富地文化体育活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88F379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0DCE7E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新山村争取落实到位洪涝灾害灾后恢复重建项目资金20万元，用于村内道路垮塌清理维修，争取落实到位建制村畅通工程项目资金56万元和农村公路建设资金20万元，同时积极争取2024年中央预算内以工代赈资金，用于村内道路硬化。毛坝村申请2024年以工代赈中央财政补助资金，用于毛坝村旅游环线村道改阔，同时加快从两河口下来的自来水管道安装，让农户尽快喝到干净的自来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A2F2C2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1A06F7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52C46E0">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3E2F98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54E74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CF070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5CB37A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时效指标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D9E8C8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完成时间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A53E12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EC71E0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2BA04E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月</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84F751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894AB4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6DA1F5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8686272">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23AA7A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3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F491C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DE2384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98192F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经济效益指标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BFB07A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持续发展产业，培育主导产业，集体经济持续巩固，提升造血功能。</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2B2D64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BB9B18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根据帮扶村实际，持续推进产业发展，培育一项主导产业；巩固村集体经济。脱贫户有增收产业项目、村有集体经济收入，环境，培育一项主导产业。</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561CF4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C94E5D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新山村协助发展壮大种养殖业，拓展收入渠道，收取管理费及设备租赁、入股分红2023年度集体经济收入比上年增加5万元，毛坝村以高山露地蔬菜种植和乡村名宿发展为重点发展方向，通过出租休闲垂钓鱼塘、入股滑雪场等方式，集体经济收入翻番。</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067BEC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03E121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F905673">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4D45A6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78"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18B14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5A17B7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满意度指标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57C2E6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满意度指标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4F8917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指标1：帮扶村村民满意度；指标2：县区政府满意度</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64177C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D43B87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E843C0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27BEB2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帮扶村村民满意度100%，县区政府满意度100%。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0359CB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74DCFB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4E88528">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5119A7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905C9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5064C1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成本指标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330DC3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经济成本指标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EE5DA6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驻村帮扶2个村6个人</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CBF57B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E3DDB1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10.92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B1CB07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5B17E7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10.92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E15235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98F0BD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539DAC7">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5B4006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02E0C5C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合计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0673E5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2C491C9">
            <w:pPr>
              <w:keepNext w:val="0"/>
              <w:keepLines w:val="0"/>
              <w:widowControl/>
              <w:suppressLineNumbers w:val="0"/>
              <w:spacing w:before="0" w:beforeAutospacing="0" w:after="0" w:afterAutospacing="0"/>
              <w:ind w:left="0" w:right="0"/>
              <w:jc w:val="righ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8F6DE5C">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256825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2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830AD2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评价结论</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59671BB5">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组织选派6名干部组建2个工作队在朝天区羊木镇新山村、曾家镇毛坝村开展乡村振兴帮扶工作。2023年，我委着力巩固脱贫攻坚成果，开展定期走访扎实开展防止返贫监测工作，2个村无新增检测户；着力培育和壮大集体经济，新山村充分发挥专业合作社作用，开展企业+专合社+农户多形式合作，拓宽了种植、养殖和销售渠道，争取落实到位基础设施建设资金100余万元，用于村内道路垮塌清理维修和道路硬化，积极发展油茶产业，争取油茶种植600余亩；毛坝村结合曾家山旅游产业发展，着力从承接服务与种养本职两方面入手，引进农业公司建成500余亩的蔬菜种植基地，全村蔬菜种植规模达1200亩以上，积极参与旅游旺季服务工作；抓好基础设施巩固建设，协调市区两级部门单位和企业以高标准农田建设、村道整治建设、落水洞整治等为重点，进一步建设“宜居宜业、和美乡村”；关爱关注特殊群体，在六一、七一、春节前后开展留守儿童、困难党员群众等慰问活动3次；深化开展消费扶贫活动，协调宝珠寺电厂等单位在新山村、毛坝村购买农产品18万左右。自评得分100分。</w:t>
            </w:r>
          </w:p>
        </w:tc>
      </w:tr>
      <w:tr w14:paraId="684C9E0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B27213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存在问题</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71AA5DDF">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一是驻村工作队工作方式需要进一步改进；二是驻村工作缺乏长远规划和产业布局。</w:t>
            </w:r>
          </w:p>
        </w:tc>
      </w:tr>
      <w:tr w14:paraId="6FDA21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3"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4CEB18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改进措施</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1DC1494E">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一是驻村工作队要以服务群众为核心理念，多了解农村群众的生活、思维方式，与村干部多交流沟通，学习与群众的交流技巧，以确保找准群众的问题和困难并帮助解决；二是根据实际情况制定完善新山村、毛坝村长期发展规划，逐步完善村内产业链，并确保长期规划落到实处。</w:t>
            </w:r>
          </w:p>
        </w:tc>
      </w:tr>
      <w:tr w14:paraId="3C4DF1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0E9F9BE">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w:t>
            </w:r>
          </w:p>
        </w:tc>
        <w:tc>
          <w:tcPr>
            <w:tcW w:w="0" w:type="auto"/>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0DC03D5">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w:t>
            </w:r>
          </w:p>
        </w:tc>
      </w:tr>
      <w:tr w14:paraId="560BE3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tcBorders>
              <w:top w:val="nil"/>
              <w:left w:val="nil"/>
              <w:bottom w:val="nil"/>
              <w:right w:val="nil"/>
            </w:tcBorders>
            <w:shd w:val="clear" w:color="auto" w:fill="auto"/>
            <w:vAlign w:val="center"/>
          </w:tcPr>
          <w:p w14:paraId="503D9118">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2B7CB070">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0F2C6A7E">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5F088AA1">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58E83021">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20D27236">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1F30A2E7">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322A4608">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3638E444">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47038978">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6EA2AA0A">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02B173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0" w:type="auto"/>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4649A01C">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部门预算项目支出绩效自评表（2023年度）</w:t>
            </w:r>
          </w:p>
        </w:tc>
      </w:tr>
      <w:tr w14:paraId="03EBD1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3FC122E">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项目名称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0C631960">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51080023T000008454993-低碳工作经费</w:t>
            </w:r>
          </w:p>
        </w:tc>
      </w:tr>
      <w:tr w14:paraId="1791DE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2"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FC33933">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主管部门</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13A3704F">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广元市发展和改革委员会部门</w:t>
            </w:r>
          </w:p>
        </w:tc>
        <w:tc>
          <w:tcPr>
            <w:tcW w:w="0" w:type="auto"/>
            <w:tcBorders>
              <w:top w:val="nil"/>
              <w:left w:val="nil"/>
              <w:bottom w:val="nil"/>
              <w:right w:val="nil"/>
            </w:tcBorders>
            <w:shd w:val="clear" w:color="auto" w:fill="auto"/>
            <w:vAlign w:val="center"/>
          </w:tcPr>
          <w:p w14:paraId="7D4C11EF">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11CA48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w:t>
            </w:r>
          </w:p>
        </w:tc>
      </w:tr>
      <w:tr w14:paraId="2C0A9B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17B8D5D">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项目基本情况</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192C23D">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1.项目年度目标完成情况</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5C0E9A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项目年度目标</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02F914E3">
            <w:pPr>
              <w:keepNext w:val="0"/>
              <w:keepLines w:val="0"/>
              <w:widowControl/>
              <w:suppressLineNumbers w:val="0"/>
              <w:spacing w:before="0" w:beforeAutospacing="0" w:after="0" w:afterAutospacing="0"/>
              <w:ind w:left="0" w:right="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已完成</w:t>
            </w:r>
          </w:p>
        </w:tc>
      </w:tr>
      <w:tr w14:paraId="3069CE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8"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90C0F6B">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15360C">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10D1A3FC">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编印《广元低碳》刊物2期；低碳日活动；开展调查研究。</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622043B1">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对照年度目标，说明相关任务目标的完成情况（100字以内）</w:t>
            </w:r>
          </w:p>
        </w:tc>
      </w:tr>
      <w:tr w14:paraId="753279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3"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974BDB">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FE89EA3">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2.项目实施内容及过程概述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418A8C37">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2023年，市低碳经济发展研究会认真落实市委决策部署，紧紧围绕“1345”发展战略，突出研究职能，加强研究成果转化，不断强化自身建设，健全管理制度，积极组织开展调查研究，为市委市政府科学决策提供有力参考，为加快建设践行绿水青山就是金山银山理念典范城市及建设成渝地区生态产品价值实现典范贡献更多力量。强化平台建设，营造宣传氛围，持续编印《广元低碳》内刊2期；维护营运《广元低碳》网站；协助参与举办广元六五环境日、全国低碳日、全国生态日等活动。</w:t>
            </w:r>
          </w:p>
        </w:tc>
      </w:tr>
      <w:tr w14:paraId="3E02B2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956E06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预算执行情况（10分）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1CB979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年度预算数（万元）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ECA75A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年初预算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EB4460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调整后预算数</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366548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预算执行数</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EAD72B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E07C41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03A3D0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E43856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原因</w:t>
            </w:r>
          </w:p>
        </w:tc>
      </w:tr>
      <w:tr w14:paraId="346055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0F285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CF69C6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总额</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EBB477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3.00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45BD14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3.00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FF2213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3.00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E6CA56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7FBDDE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C97F33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582E728">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7969ED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CB801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EBCD05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其中：财政资金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C5A97F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3.00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2ABC6A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3.00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792F00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3.00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48144C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9EB232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07C4E0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ADAD8F">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498D8C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7"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DCD41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3C1A96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财政专户管理资金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67A5D6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E3F879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98EDFD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502CA8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8B775C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B2A117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2E30698">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4214D2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DC7F7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DEE034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单位资金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0A0719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31F533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1912DC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140D16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06A252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9838CC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0EB48C">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51B84A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100BB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EF6983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其他资金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81377DE">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20DF33C">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4DCFFD1">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E52ACD8">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A22D74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8D056F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16C673">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44E180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08CFBE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绩效指标（90分）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D24C51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一级指标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AD2E0F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二级指标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6D5B6E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三级指标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223B04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指标性质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587588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67F728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度量单位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EF9A02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完成值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54765A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6230CA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42480D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未完成原因分析</w:t>
            </w:r>
          </w:p>
        </w:tc>
      </w:tr>
      <w:tr w14:paraId="3CB931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6A954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175816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产出指标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F19642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数量指标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1A4B3D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期刊数</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802B92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775EBA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E2FEB8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期</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86809E4">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B9466B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F4F368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592DDEA">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45EAD0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3A8C2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D4CB7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41DB87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质量指标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4E2549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编印合格率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A73DAE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1B9419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D417F3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2C06A20">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B39368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774F5B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8DA3974">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109DF8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4CE0F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B3EA7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B3080C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时效指标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110957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完成时间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D02CA9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D955F5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BEE960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月</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4D4B107">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140529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03ED4F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231837B">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4CB905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FA543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E070AF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7D9AA8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社会效益指标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709424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低碳宣传经验交流</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2BD8B9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61C4FC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推动我市双碳工作和绿色生态发展</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B050F9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C82F05C">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推动我市双碳工作和绿色生态发展</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DC19FD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E6C6E6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8D5D6D2">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0A6B2E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95255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0E43C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EFB904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生态效益指标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B24DC9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生态效益指标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50152A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4FDA9C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加强生态效益指标的提升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A94AFF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130D7A9">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加强生态效益指标的提升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F1DEF7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E5C69E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82CC6CF">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5385C7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08E2C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1D75C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471647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可持续影响指标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F71A50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可持续影响指标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AA5F58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8E3376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力促进绿色生态发展指标提升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00A4D9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6B07D9B">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力促进绿色生态发展指标提升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DBD3B9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AA1DCE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8177644">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18F60C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8C87B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FD0920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满意度指标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41D82E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满意度指标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196AA8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社会公众对低碳宣传工作的满意度</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DB4FB7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F8790B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95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11D121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4184ED7">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95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5684E0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7EDCFB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415C216">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674E47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0E52C49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合计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C9BB42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4E50B79">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1F32D3F">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12A619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02AE14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评价结论</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5A593B80">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val="0"/>
                <w:iCs w:val="0"/>
                <w:color w:val="000000"/>
                <w:sz w:val="16"/>
                <w:szCs w:val="16"/>
                <w:u w:val="none"/>
              </w:rPr>
            </w:pPr>
            <w:r>
              <w:rPr>
                <w:rFonts w:hint="eastAsia" w:ascii="微软雅黑" w:hAnsi="微软雅黑" w:eastAsia="微软雅黑" w:cs="微软雅黑"/>
                <w:i w:val="0"/>
                <w:iCs w:val="0"/>
                <w:color w:val="000000"/>
                <w:kern w:val="0"/>
                <w:sz w:val="16"/>
                <w:szCs w:val="16"/>
                <w:u w:val="none"/>
                <w:lang w:val="en-US" w:eastAsia="zh-CN" w:bidi="ar"/>
              </w:rPr>
              <w:t>2023年，市低碳经济发展研究会认真落实市委决策部署，紧紧围绕“1345”发展战略，突出研究职能，加强研究成果转化，不断强化自身建设，健全管理制度，积极组织开展调查研究，为市委市政府科学决策提供有力参考，为加快建设践行绿水青山就是金山银山理念典范城市及建设成渝地区生态产品价值实现典范贡献更多力量。强化平台建设，营造宣传氛围，持续编印《广元低碳》内刊2期；维护营运《广元低碳》网站；协助参与举办广元六五环境日、全国低碳日、全国生态日等活动。自评得分100分。</w:t>
            </w:r>
          </w:p>
        </w:tc>
      </w:tr>
      <w:tr w14:paraId="1D4C40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C5B425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存在问题</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03388B1B">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val="0"/>
                <w:iCs w:val="0"/>
                <w:color w:val="000000"/>
                <w:sz w:val="16"/>
                <w:szCs w:val="16"/>
                <w:u w:val="none"/>
              </w:rPr>
            </w:pPr>
            <w:r>
              <w:rPr>
                <w:rFonts w:hint="eastAsia" w:ascii="微软雅黑" w:hAnsi="微软雅黑" w:eastAsia="微软雅黑" w:cs="微软雅黑"/>
                <w:i w:val="0"/>
                <w:iCs w:val="0"/>
                <w:color w:val="000000"/>
                <w:kern w:val="0"/>
                <w:sz w:val="16"/>
                <w:szCs w:val="16"/>
                <w:u w:val="none"/>
                <w:lang w:val="en-US" w:eastAsia="zh-CN" w:bidi="ar"/>
              </w:rPr>
              <w:t>会费未完全收取，财政经费投入不足，影响研究会工作正常开展。</w:t>
            </w:r>
          </w:p>
        </w:tc>
      </w:tr>
      <w:tr w14:paraId="563A95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3"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E74A7E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改进措施</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055655B0">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val="0"/>
                <w:iCs w:val="0"/>
                <w:color w:val="000000"/>
                <w:sz w:val="16"/>
                <w:szCs w:val="16"/>
                <w:u w:val="none"/>
              </w:rPr>
            </w:pPr>
            <w:r>
              <w:rPr>
                <w:rFonts w:hint="eastAsia" w:ascii="微软雅黑" w:hAnsi="微软雅黑" w:eastAsia="微软雅黑" w:cs="微软雅黑"/>
                <w:i w:val="0"/>
                <w:iCs w:val="0"/>
                <w:color w:val="000000"/>
                <w:kern w:val="0"/>
                <w:sz w:val="16"/>
                <w:szCs w:val="16"/>
                <w:u w:val="none"/>
                <w:lang w:val="en-US" w:eastAsia="zh-CN" w:bidi="ar"/>
              </w:rPr>
              <w:t>一是增加财政预算；二是建议通过收取会员单位会费，弥补因经费不足影响研究会工作开展。</w:t>
            </w:r>
          </w:p>
        </w:tc>
      </w:tr>
      <w:tr w14:paraId="0D23E8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073BF38B">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项目负责人：郭仕国</w:t>
            </w:r>
          </w:p>
        </w:tc>
        <w:tc>
          <w:tcPr>
            <w:tcW w:w="0" w:type="auto"/>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2D09044">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w:t>
            </w:r>
          </w:p>
        </w:tc>
      </w:tr>
      <w:tr w14:paraId="75C8FD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tcBorders>
              <w:top w:val="nil"/>
              <w:left w:val="nil"/>
              <w:bottom w:val="nil"/>
              <w:right w:val="nil"/>
            </w:tcBorders>
            <w:shd w:val="clear" w:color="auto" w:fill="auto"/>
            <w:vAlign w:val="center"/>
          </w:tcPr>
          <w:p w14:paraId="6CA5D1AF">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75C1B897">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3171C7B0">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29F5AF5B">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633B9E27">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06ADD412">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7CDD85C7">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3CFEA5D1">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2125FD5A">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53B302AE">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6035662C">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68E61A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0" w:type="auto"/>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6C227665">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部门预算项目支出绩效自评表（2023年度）</w:t>
            </w:r>
          </w:p>
        </w:tc>
      </w:tr>
      <w:tr w14:paraId="4DC228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C069D68">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项目名称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524C05C5">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51080023T000008618947-高层次人才安家补助和工作补助</w:t>
            </w:r>
          </w:p>
        </w:tc>
      </w:tr>
      <w:tr w14:paraId="516F5E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2"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3789411">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主管部门</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1FF7CDCF">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广元市发展和改革委员会部门</w:t>
            </w:r>
          </w:p>
        </w:tc>
        <w:tc>
          <w:tcPr>
            <w:tcW w:w="0" w:type="auto"/>
            <w:tcBorders>
              <w:top w:val="nil"/>
              <w:left w:val="nil"/>
              <w:bottom w:val="nil"/>
              <w:right w:val="nil"/>
            </w:tcBorders>
            <w:shd w:val="clear" w:color="auto" w:fill="auto"/>
            <w:vAlign w:val="center"/>
          </w:tcPr>
          <w:p w14:paraId="68B0D5F5">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0F51EC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w:t>
            </w:r>
          </w:p>
        </w:tc>
      </w:tr>
      <w:tr w14:paraId="07604C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C0D0471">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项目基本情况</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44D5C20">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1.项目年度目标完成情况</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9C19B3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项目年度目标</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18792FAE">
            <w:pPr>
              <w:keepNext w:val="0"/>
              <w:keepLines w:val="0"/>
              <w:widowControl/>
              <w:suppressLineNumbers w:val="0"/>
              <w:spacing w:before="0" w:beforeAutospacing="0" w:after="0" w:afterAutospacing="0"/>
              <w:ind w:left="0" w:right="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14:paraId="6EBCAE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8"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42307F">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D2FA7B">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0300FC45">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高层次人才引进补助和工作补助。</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68E6DC57">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完成了高层次人才引进补助和工作补助。</w:t>
            </w:r>
          </w:p>
        </w:tc>
      </w:tr>
      <w:tr w14:paraId="089F2A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3"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3B7358">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E96F767">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2.项目实施内容及过程概述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452BA882">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严格按照资金下达文件及支付流程进行支付。</w:t>
            </w:r>
          </w:p>
        </w:tc>
      </w:tr>
      <w:tr w14:paraId="341DDC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3793B2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预算执行情况（10分）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2EE0DA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年度预算数（万元）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1D5106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年初预算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FE8033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调整后预算数</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4B713E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预算执行数</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601590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7ACBF8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12D45D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D8EE53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原因</w:t>
            </w:r>
          </w:p>
        </w:tc>
      </w:tr>
      <w:tr w14:paraId="66101B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0D60F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62DAD5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总额</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3329B9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16.60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8FAD99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16.60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124051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16.60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6B4B46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846354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189D0B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18F0050">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6FCAF7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B3DDE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2A26E8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其中：财政资金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223137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16.60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62DABF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16.60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1EBEF8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16.60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EEBD86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E5271C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EFFA7A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2DA7D5">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337A50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7"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1A743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9E0B73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财政专户管理资金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2E1C47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59A75F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043770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C9DB69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EC1176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1E1998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AC16BC">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4D6A73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28C76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2033EA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单位资金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486872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D22755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6EF25D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E51A9B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D5DD13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8BEECA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790BB1">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5332CF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85A11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19D3AB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其他资金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15DDAD1">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46C40D0">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526E577">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A898977">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E7A2C6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D8A0A6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1481B1">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1FD7A2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7661BC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绩效指标（90分）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C0EA07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一级指标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BA0DE7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二级指标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A01FF7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三级指标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2282F1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指标性质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71F8F2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61544D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度量单位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454F51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完成值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D73D27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94F757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7CEE11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未完成原因分析</w:t>
            </w:r>
          </w:p>
        </w:tc>
      </w:tr>
      <w:tr w14:paraId="0D18A8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E9E76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9E5ACA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产出指标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C15FFA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数量指标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50FB10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高层次人才引进安家补助和工作补助人数</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F9A0A5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42296A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A62050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人</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0F9D69F">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A8B1D5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E2E841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7D221E7">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0E15B2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FDFCF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54600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94B46E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质量指标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574E10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保障高层次人才引进补助和工作补助足额发放。</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4F9561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DB8247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3CEDD8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4DAF325">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97ED9B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A5FDFA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0DB3C1B">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286669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2F477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2A781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BA5E3F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时效指标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EB6703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完成时间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2CA85F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E5A4F1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8081B6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月</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0AB20B6">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D1BCBB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56AC3D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9B276C3">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364E6C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93C62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726900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008C0E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社会效益指标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5BC5A4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提升广元地区高层次人才结构</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2A3845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1CF6E9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7F10D4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278240A">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D01900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1A3BB7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7180324">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39832C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69DF8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60EBC3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满意度指标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3814FF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满意度指标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FE9B38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高层次人才满意度</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1F6287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078A0E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57D92D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2EE3353">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9F7B9F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177530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00E5214">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0937C3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DE850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A76538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成本指标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A8F039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经济成本指标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3A6720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高层次人才引进补助和工作补助</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9129E2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138EC2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16.6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E28918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900549D">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16.6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8718A3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48A643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E1916F0">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36FB94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5A82BD7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合计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065F0B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FE42F26">
            <w:pPr>
              <w:keepNext w:val="0"/>
              <w:keepLines w:val="0"/>
              <w:widowControl/>
              <w:suppressLineNumbers w:val="0"/>
              <w:spacing w:before="0" w:beforeAutospacing="0" w:after="0" w:afterAutospacing="0"/>
              <w:ind w:left="0" w:right="0"/>
              <w:jc w:val="righ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85F8B3F">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5616B7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3"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8E98AC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评价结论</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52A4892B">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自评得分100分，完成了预期绩效目标，达到了资金使用效益。</w:t>
            </w:r>
          </w:p>
        </w:tc>
      </w:tr>
      <w:tr w14:paraId="3C739E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E55E06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存在问题</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149B3E1D">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24BF00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3"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C5AF38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改进措施</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4EAABF12">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518557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2B03204">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w:t>
            </w:r>
          </w:p>
        </w:tc>
        <w:tc>
          <w:tcPr>
            <w:tcW w:w="0" w:type="auto"/>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5406186">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w:t>
            </w:r>
          </w:p>
        </w:tc>
      </w:tr>
      <w:tr w14:paraId="080971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tcBorders>
              <w:top w:val="nil"/>
              <w:left w:val="nil"/>
              <w:bottom w:val="nil"/>
              <w:right w:val="nil"/>
            </w:tcBorders>
            <w:shd w:val="clear" w:color="auto" w:fill="auto"/>
            <w:vAlign w:val="center"/>
          </w:tcPr>
          <w:p w14:paraId="47827529">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361BD348">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2B0AF666">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78ECA420">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277B172A">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6510A13B">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33BB0A7F">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26EE28AB">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3607F4DA">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2D1CDA85">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2581C6E4">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458760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0" w:type="auto"/>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1B170610">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部门预算项目支出绩效自评表（2023年度）</w:t>
            </w:r>
          </w:p>
        </w:tc>
      </w:tr>
      <w:tr w14:paraId="7EB845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86FD916">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项目名称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4DD6F9EC">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51080023T000008949296-年度考核奖</w:t>
            </w:r>
          </w:p>
        </w:tc>
      </w:tr>
      <w:tr w14:paraId="518445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2"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FAB8B57">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主管部门</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3251E2C">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广元市发展和改革委员会部门</w:t>
            </w:r>
          </w:p>
        </w:tc>
        <w:tc>
          <w:tcPr>
            <w:tcW w:w="0" w:type="auto"/>
            <w:tcBorders>
              <w:top w:val="nil"/>
              <w:left w:val="nil"/>
              <w:bottom w:val="nil"/>
              <w:right w:val="nil"/>
            </w:tcBorders>
            <w:shd w:val="clear" w:color="auto" w:fill="auto"/>
            <w:vAlign w:val="center"/>
          </w:tcPr>
          <w:p w14:paraId="6E634157">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34A5AA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w:t>
            </w:r>
          </w:p>
        </w:tc>
      </w:tr>
      <w:tr w14:paraId="29834C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9FA49B8">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项目基本情况</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8994DFE">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1.项目年度目标完成情况</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19E7A8A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项目年度目标</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4A21C23A">
            <w:pPr>
              <w:keepNext w:val="0"/>
              <w:keepLines w:val="0"/>
              <w:widowControl/>
              <w:suppressLineNumbers w:val="0"/>
              <w:spacing w:before="0" w:beforeAutospacing="0" w:after="0" w:afterAutospacing="0"/>
              <w:ind w:left="0" w:right="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14:paraId="3E6D85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8"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C99BFE">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D1A8F6">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1C837F72">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保障年度考核奖足额及时发放。</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0EF310D0">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保障了年度考核奖足额及时的发放。</w:t>
            </w:r>
          </w:p>
        </w:tc>
      </w:tr>
      <w:tr w14:paraId="240547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3"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F336A4">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90858AA">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2.项目实施内容及过程概述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0DD9A547">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严格按照资金下达文件及支付流程进行支付。</w:t>
            </w:r>
          </w:p>
        </w:tc>
      </w:tr>
      <w:tr w14:paraId="3E8D89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3A5934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预算执行情况（10分）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4810AF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年度预算数（万元）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DCBF8C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年初预算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4694B8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调整后预算数</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5A112C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预算执行数</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FBB941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CE699B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E54F22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8983A8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原因</w:t>
            </w:r>
          </w:p>
        </w:tc>
      </w:tr>
      <w:tr w14:paraId="27532B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8310E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A16D4F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总额</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E7F5EB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81.20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71395B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81.20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6C4E1B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81.20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B92B3F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7D15C7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A6A78F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6495567">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6AFFEE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32ABA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723FB8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其中：财政资金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9182AB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81.20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F31D58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81.20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23CFBF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81.20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E1BF7D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BEFED1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EEFAA3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9CC5C1">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01F55B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7"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85FDF7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3ADED4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财政专户管理资金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D418EB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E9909B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A92728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E0B849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D0B4F2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F63BE4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4BACCA">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5F6005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3B83A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DB592B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单位资金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31F4CD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66A1AC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85F992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2DD62D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1D3FD9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6E43F3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6DEADF">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59EF05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F4DD8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97B553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其他资金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6B92DA3">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BA4F841">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0EAB20B">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99FDEDC">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782D80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528466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C5D167">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6274AB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A9209D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绩效指标（90分）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0A6819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一级指标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C2A461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二级指标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ABB0CB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三级指标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D32F69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指标性质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21C8D6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8E6FDA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度量单位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4553DC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完成值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DAA443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1E02FD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DB0FBA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未完成原因分析</w:t>
            </w:r>
          </w:p>
        </w:tc>
      </w:tr>
      <w:tr w14:paraId="4C1925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997C3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ABD96F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产出指标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4DDB5F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数量指标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09B62D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目标奖发放金额</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CF39F4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2A9916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116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88C01E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人</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2EDDF33">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116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E43110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CFFDCA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3139CB4">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6DE074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A7A73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A72C6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03B039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质量指标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B0C37D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保障年度考核奖发放率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D686BA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F42D70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0C4E6D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1EBB2D2">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0293E5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5F3638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88EE978">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395BAA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897F5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90324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077714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时效指标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AA8CDE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完成时间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8AF5F1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60D187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013AB7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月</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D8965B8">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12CE24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BD3BD2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7EC917B">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70637E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21D4F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B5F374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15E5F3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社会效益指标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3FD20E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为在职职工提供生活保障</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AD762C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89691C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拉动人均收入，提升职工生存质量。</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1B0B11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95F166D">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拉动人均收入，提升职工生存质量。</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0A86A9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6E0DB7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0E83C64">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4EA10F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7B283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7EA544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满意度指标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248A1E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满意度指标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FCEA8D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考核奖发放对象满意度</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5BB4AD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8415EC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92D4A7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311E3E4">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E4A1EF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DEC41A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E9ADEEF">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6C0937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1B30A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E0B4A4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成本指标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C46724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经济成本指标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9F63A6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发放金额</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DEC485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F1944E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81.2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692CF6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A1090B5">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81.2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33ECB3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C23919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41D5262">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374C51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541ABB3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合计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9259A2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6E2BFB4">
            <w:pPr>
              <w:keepNext w:val="0"/>
              <w:keepLines w:val="0"/>
              <w:widowControl/>
              <w:suppressLineNumbers w:val="0"/>
              <w:spacing w:before="0" w:beforeAutospacing="0" w:after="0" w:afterAutospacing="0"/>
              <w:ind w:left="0" w:right="0"/>
              <w:jc w:val="righ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2C8E622">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05E05D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3"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1B7FD4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评价结论</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67A7F6AC">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自评得分100分，完成了预期绩效目标，达到了资金使用效益。</w:t>
            </w:r>
          </w:p>
        </w:tc>
      </w:tr>
      <w:tr w14:paraId="4D2CD3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D4F4C0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存在问题</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2B191A1F">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4E367B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3"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513130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改进措施</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7C3D3A6A">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606423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0900D2C">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w:t>
            </w:r>
          </w:p>
        </w:tc>
        <w:tc>
          <w:tcPr>
            <w:tcW w:w="0" w:type="auto"/>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C3EB8E7">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w:t>
            </w:r>
          </w:p>
        </w:tc>
      </w:tr>
      <w:tr w14:paraId="26E817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tcBorders>
              <w:top w:val="nil"/>
              <w:left w:val="nil"/>
              <w:bottom w:val="nil"/>
              <w:right w:val="nil"/>
            </w:tcBorders>
            <w:shd w:val="clear" w:color="auto" w:fill="auto"/>
            <w:vAlign w:val="center"/>
          </w:tcPr>
          <w:p w14:paraId="3E282F6C">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5DFD48BD">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5E2A28F9">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2753E041">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249FC196">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0340CBD1">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79627B80">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615BDEEC">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486EC065">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2157694F">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28C1D6CA">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7FA4AE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0" w:type="auto"/>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1CFFD0B6">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部门预算项目支出绩效自评表（2023年度）</w:t>
            </w:r>
          </w:p>
        </w:tc>
      </w:tr>
      <w:tr w14:paraId="1FFA89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0715628">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项目名称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005E9013">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51080023T000009130659-机关事业单位退休人员（中人）一次性待遇资金</w:t>
            </w:r>
          </w:p>
        </w:tc>
      </w:tr>
      <w:tr w14:paraId="4E5BB6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2"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88837CD">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主管部门</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CFB5FE7">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广元市发展和改革委员会部门</w:t>
            </w:r>
          </w:p>
        </w:tc>
        <w:tc>
          <w:tcPr>
            <w:tcW w:w="0" w:type="auto"/>
            <w:tcBorders>
              <w:top w:val="nil"/>
              <w:left w:val="nil"/>
              <w:bottom w:val="nil"/>
              <w:right w:val="nil"/>
            </w:tcBorders>
            <w:shd w:val="clear" w:color="auto" w:fill="auto"/>
            <w:vAlign w:val="center"/>
          </w:tcPr>
          <w:p w14:paraId="5500DB7C">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5ACFE3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w:t>
            </w:r>
          </w:p>
        </w:tc>
      </w:tr>
      <w:tr w14:paraId="409B0C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21F19F0">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项目基本情况</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B4D27A3">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1.项目年度目标完成情况</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5C587D2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项目年度目标</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23319B0B">
            <w:pPr>
              <w:keepNext w:val="0"/>
              <w:keepLines w:val="0"/>
              <w:widowControl/>
              <w:suppressLineNumbers w:val="0"/>
              <w:spacing w:before="0" w:beforeAutospacing="0" w:after="0" w:afterAutospacing="0"/>
              <w:ind w:left="0" w:right="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14:paraId="18196B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8"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20ABC0">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EC8635">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11CD1003">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保障退休人员（中人）一次性待遇资金足额发放。</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7E7903B3">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保障了退休人员（中人）一次性待遇资金的及时足额发放。</w:t>
            </w:r>
          </w:p>
        </w:tc>
      </w:tr>
      <w:tr w14:paraId="730E83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3"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B30E9E">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322829F">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2.项目实施内容及过程概述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6FA42C1B">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严格按照资金下达文件及支付流程进行支付。</w:t>
            </w:r>
          </w:p>
        </w:tc>
      </w:tr>
      <w:tr w14:paraId="11C40E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6D7F78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预算执行情况（10分）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916E6F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年度预算数（万元）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2E01BD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年初预算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F342AD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调整后预算数</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049CCB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预算执行数</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AF3EB9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23ADC3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43E9AC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C5DE57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原因</w:t>
            </w:r>
          </w:p>
        </w:tc>
      </w:tr>
      <w:tr w14:paraId="219303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5372A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7A39D7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总额</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3149A3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16.74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614B95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16.74</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632AAA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16.74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3C1782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432684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F98DA9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0F1DFBD">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684320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80352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14C6E9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其中：财政资金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047B16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16.74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9CB36C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16.74</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F873AE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16.74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974C6D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D72846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3FA7EF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C746BB">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0B8653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7"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F7943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8512F7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财政专户管理资金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F32CC3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576CF8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8DCF31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119210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57BF92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CB5F97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F9E5156">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06D848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C6E38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AD4905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单位资金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99C35D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495819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E0FB28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B29BC2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AE52D2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869A40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D56CCB">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27E0BB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98472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737F56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其他资金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1D23CF2">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4F16707">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0DDA2DE">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0D369F0">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B552D9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3EB32E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9FA9B0">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16DA57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D905B7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绩效指标（90分）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BDFD3A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一级指标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29955E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二级指标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5484A1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三级指标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07BA49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指标性质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919DCD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EA91C5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度量单位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61986D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完成值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486872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236383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1779E4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未完成原因分析</w:t>
            </w:r>
          </w:p>
        </w:tc>
      </w:tr>
      <w:tr w14:paraId="662158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709F2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87BC59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产出指标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14700F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数量指标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1E13A2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发放人数</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C0AB5D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25AF2E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B6EF77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人</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3CF3900">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9C7FF6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9FBB84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64E11F5">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01901C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6EE51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86049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1C5570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质量指标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E0CC8C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经费保障</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D6761E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5A10B8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AFC58B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D148DD8">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781947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3FA35A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7C32DDE">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649EDD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3ACC3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32BBD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9D30C5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时效指标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450D42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完成时间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45DC37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972A2E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92140E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月</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7F1208B">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F5F61A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8D7A68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CA4F46C">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0CF79E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DD082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130F89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EFCC29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社会效益指标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22BF22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为退休中人提供生活保障</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D88A66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8F8221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保障退休人员（中人）一次性待遇资金足额发放，维护社会稳定。</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30E558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90AF934">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保障了退休人员（中人）一次性待遇资金足额发放，维护社会稳定。</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DE1399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DC257D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B3C102A">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2CD491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D7A96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D2B71C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满意度指标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4324BA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满意度指标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578971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退休中人满意度</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B8E777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244B5D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0D04CE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BA02CCE">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499C75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6773E3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CE1A8D1">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7874D3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5778E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BF6F18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成本指标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9CCAC8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经济成本指标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2DEB7F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发放金额</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D3DDCE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E207D6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16.7388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4C6CCB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66D3703">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16.7388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B5D986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15D547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725BC0D">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371EF7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391709F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合计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2FEE68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B50EF6C">
            <w:pPr>
              <w:keepNext w:val="0"/>
              <w:keepLines w:val="0"/>
              <w:widowControl/>
              <w:suppressLineNumbers w:val="0"/>
              <w:spacing w:before="0" w:beforeAutospacing="0" w:after="0" w:afterAutospacing="0"/>
              <w:ind w:left="0" w:right="0"/>
              <w:jc w:val="righ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C46E7EB">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4DC2C2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3"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62B31C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评价结论</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0D112BF4">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自评得分100分，完成了预期绩效目标，达到了资金使用效益。</w:t>
            </w:r>
          </w:p>
        </w:tc>
      </w:tr>
      <w:tr w14:paraId="49812C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7BEA6B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存在问题</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34D64D49">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120486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3"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C99EA5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改进措施</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5C13E966">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759704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EB15D37">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w:t>
            </w:r>
          </w:p>
        </w:tc>
        <w:tc>
          <w:tcPr>
            <w:tcW w:w="0" w:type="auto"/>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85B620A">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w:t>
            </w:r>
          </w:p>
        </w:tc>
      </w:tr>
      <w:tr w14:paraId="37B412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tcBorders>
              <w:top w:val="nil"/>
              <w:left w:val="nil"/>
              <w:bottom w:val="nil"/>
              <w:right w:val="nil"/>
            </w:tcBorders>
            <w:shd w:val="clear" w:color="auto" w:fill="auto"/>
            <w:vAlign w:val="center"/>
          </w:tcPr>
          <w:p w14:paraId="1C6EDDE4">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21FEDBE5">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633BB886">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5E0D3DE4">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4F1FED54">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70D7DB15">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157CE23E">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29E92297">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63DCF280">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3E04090C">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1B2F0D03">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70822C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0" w:type="auto"/>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155193A7">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部门预算项目支出绩效自评表（2023年度）</w:t>
            </w:r>
          </w:p>
        </w:tc>
      </w:tr>
      <w:tr w14:paraId="3E4B88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34A75E7">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项目名称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2A4E542A">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51080023T000009130888-机关事业单位职业年金记实资金</w:t>
            </w:r>
          </w:p>
        </w:tc>
      </w:tr>
      <w:tr w14:paraId="3B0913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2"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8EB4A17">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主管部门</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21DA82CC">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广元市发展和改革委员会部门</w:t>
            </w:r>
          </w:p>
        </w:tc>
        <w:tc>
          <w:tcPr>
            <w:tcW w:w="0" w:type="auto"/>
            <w:tcBorders>
              <w:top w:val="nil"/>
              <w:left w:val="nil"/>
              <w:bottom w:val="nil"/>
              <w:right w:val="nil"/>
            </w:tcBorders>
            <w:shd w:val="clear" w:color="auto" w:fill="auto"/>
            <w:vAlign w:val="center"/>
          </w:tcPr>
          <w:p w14:paraId="3233DF91">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652C3F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w:t>
            </w:r>
          </w:p>
        </w:tc>
      </w:tr>
      <w:tr w14:paraId="673C1C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5C1B9BA">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项目基本情况</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52E38E8">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1.项目年度目标完成情况</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E80D5E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项目年度目标</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1270C34C">
            <w:pPr>
              <w:keepNext w:val="0"/>
              <w:keepLines w:val="0"/>
              <w:widowControl/>
              <w:suppressLineNumbers w:val="0"/>
              <w:spacing w:before="0" w:beforeAutospacing="0" w:after="0" w:afterAutospacing="0"/>
              <w:ind w:left="0" w:right="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14:paraId="5DAD83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8"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C94E51">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07167E">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046D65CF">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机关事业单位职业年金记实资金缴费</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61AE379D">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完成了机关2023年事业单位职业年金记实资金缴费</w:t>
            </w:r>
          </w:p>
        </w:tc>
      </w:tr>
      <w:tr w14:paraId="0A8BFA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3"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0F39D2">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E7ADB9E">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2.项目实施内容及过程概述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5B36905C">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严格按照资金下达文件及支付流程进行支付。</w:t>
            </w:r>
          </w:p>
        </w:tc>
      </w:tr>
      <w:tr w14:paraId="46045E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2BE15E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预算执行情况（10分）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573DF5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年度预算数（万元）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B1AE25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年初预算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B76C09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调整后预算数</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5B681C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预算执行数</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70D16E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826CD7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74B361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AA6A0E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原因</w:t>
            </w:r>
          </w:p>
        </w:tc>
      </w:tr>
      <w:tr w14:paraId="27D11F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C8F32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74F7DE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总额</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E56F24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19.41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7F5139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19.41</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4B5D36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19.41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022078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2C726D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59AF10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3856B8E">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2E170E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BEF73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27AB65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其中：财政资金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8C7252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19.41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D1FABD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19.41</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4824EF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19.41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DC6290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75AED4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8F4EAF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C733ED">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428720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7"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918E5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C49BC2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财政专户管理资金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B0E9D8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563487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5C247A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1B5999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1275CF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B6D915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86D7A6">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324509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21445F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B5FC4A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单位资金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FADE6B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9AEF07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683BD6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80779A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83B001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2CB462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1EBBA6">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60CBF4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E9463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C85DE4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其他资金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4F4C5DF">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B831B0E">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CF24845">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49FCC2B">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979426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B7C670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586CCE">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14AA6B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2B4A20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绩效指标（90分）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904EDC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一级指标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A1E99E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二级指标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D5C430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三级指标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015B24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指标性质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6B919E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4E4AA3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度量单位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D9B60D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完成值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F02123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406F56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0606AE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未完成原因分析</w:t>
            </w:r>
          </w:p>
        </w:tc>
      </w:tr>
      <w:tr w14:paraId="19F02F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E07AA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CC7638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产出指标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812E29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数量指标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EE3D31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发放缴纳覆盖率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132664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6AB18C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C2028C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8439439">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02C094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60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0995A3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60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3B6CC9C">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7E4AC5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1681D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73BC7F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032DFA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社会效益指标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1DFCF3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足额保障率（参保率））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19F481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75F5AD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3F0DE0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A5372C2">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5E7B4D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0829F0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86BFE74">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23500C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491A3EF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合计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4D87E1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CE30507">
            <w:pPr>
              <w:keepNext w:val="0"/>
              <w:keepLines w:val="0"/>
              <w:widowControl/>
              <w:suppressLineNumbers w:val="0"/>
              <w:spacing w:before="0" w:beforeAutospacing="0" w:after="0" w:afterAutospacing="0"/>
              <w:ind w:left="0" w:right="0"/>
              <w:jc w:val="righ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B6968AE">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29ACAB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3"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36B9DC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评价结论</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16EADBD1">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自评得分100分，完成了预期绩效目标，达到了资金使用效益。</w:t>
            </w:r>
          </w:p>
        </w:tc>
      </w:tr>
      <w:tr w14:paraId="666052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55444A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存在问题</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0B4DB791">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602FAB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3"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4530E8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改进措施</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4052F9C8">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37CBC4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AB0BC80">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w:t>
            </w:r>
          </w:p>
        </w:tc>
        <w:tc>
          <w:tcPr>
            <w:tcW w:w="0" w:type="auto"/>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83AC544">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w:t>
            </w:r>
          </w:p>
        </w:tc>
      </w:tr>
      <w:tr w14:paraId="5D3350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tcBorders>
              <w:top w:val="nil"/>
              <w:left w:val="nil"/>
              <w:bottom w:val="nil"/>
              <w:right w:val="nil"/>
            </w:tcBorders>
            <w:shd w:val="clear" w:color="auto" w:fill="auto"/>
            <w:vAlign w:val="center"/>
          </w:tcPr>
          <w:p w14:paraId="52D48F66">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60F50592">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1F05B357">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38100161">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3FC3BEFD">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6CCFE865">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1111657E">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79A986E8">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79BF8108">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39BA12C5">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34E0C499">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113EEE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0" w:type="auto"/>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03CC3682">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部门预算项目支出绩效自评表（2023年度）</w:t>
            </w:r>
          </w:p>
        </w:tc>
      </w:tr>
      <w:tr w14:paraId="551BB1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E12F083">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项目名称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2F0D51AB">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51080023T000009301133-2023年度公共信用平台建设项目</w:t>
            </w:r>
          </w:p>
        </w:tc>
      </w:tr>
      <w:tr w14:paraId="10FBA8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2"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ECABBAC">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主管部门</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79566CE0">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广元市发展和改革委员会部门</w:t>
            </w:r>
          </w:p>
        </w:tc>
        <w:tc>
          <w:tcPr>
            <w:tcW w:w="0" w:type="auto"/>
            <w:tcBorders>
              <w:top w:val="nil"/>
              <w:left w:val="nil"/>
              <w:bottom w:val="nil"/>
              <w:right w:val="nil"/>
            </w:tcBorders>
            <w:shd w:val="clear" w:color="auto" w:fill="auto"/>
            <w:vAlign w:val="center"/>
          </w:tcPr>
          <w:p w14:paraId="29F2AE36">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22BCAD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w:t>
            </w:r>
          </w:p>
        </w:tc>
      </w:tr>
      <w:tr w14:paraId="736308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BED545B">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项目基本情况</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C6E3187">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1.项目年度目标完成情况</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1873CDF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项目年度目标</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3B27A75F">
            <w:pPr>
              <w:keepNext w:val="0"/>
              <w:keepLines w:val="0"/>
              <w:widowControl/>
              <w:suppressLineNumbers w:val="0"/>
              <w:spacing w:before="0" w:beforeAutospacing="0" w:after="0" w:afterAutospacing="0"/>
              <w:ind w:left="0" w:right="0"/>
              <w:jc w:val="center"/>
              <w:textAlignment w:val="center"/>
              <w:rPr>
                <w:rFonts w:hint="eastAsia" w:ascii="黑体" w:hAnsi="黑体" w:eastAsia="黑体" w:cs="黑体"/>
                <w:i w:val="0"/>
                <w:iCs w:val="0"/>
                <w:color w:val="FF0000"/>
                <w:sz w:val="18"/>
                <w:szCs w:val="18"/>
                <w:u w:val="none"/>
              </w:rPr>
            </w:pPr>
            <w:r>
              <w:rPr>
                <w:rFonts w:hint="eastAsia" w:ascii="黑体" w:hAnsi="黑体" w:eastAsia="黑体" w:cs="黑体"/>
                <w:i w:val="0"/>
                <w:iCs w:val="0"/>
                <w:color w:val="FF0000"/>
                <w:kern w:val="0"/>
                <w:sz w:val="18"/>
                <w:szCs w:val="18"/>
                <w:u w:val="none"/>
                <w:lang w:val="en-US" w:eastAsia="zh-CN" w:bidi="ar"/>
              </w:rPr>
              <w:t>年度目标完成情况</w:t>
            </w:r>
          </w:p>
        </w:tc>
      </w:tr>
      <w:tr w14:paraId="507600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B94B9F">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1778C7">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024D792B">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 xml:space="preserve">指标1：完成广元市公共信用平台2023年度驻场运维服务；                                                                   </w:t>
            </w:r>
            <w:r>
              <w:rPr>
                <w:rFonts w:hint="default" w:ascii="宋体" w:hAnsi="宋体" w:eastAsia="宋体" w:cs="宋体"/>
                <w:i w:val="0"/>
                <w:iCs w:val="0"/>
                <w:color w:val="000000"/>
                <w:kern w:val="0"/>
                <w:sz w:val="18"/>
                <w:szCs w:val="18"/>
                <w:u w:val="none"/>
                <w:lang w:val="en-US" w:eastAsia="zh-CN" w:bidi="ar"/>
              </w:rPr>
              <w:br w:type="textWrapping"/>
            </w:r>
            <w:r>
              <w:rPr>
                <w:rFonts w:hint="default" w:ascii="宋体" w:hAnsi="宋体" w:eastAsia="宋体" w:cs="宋体"/>
                <w:i w:val="0"/>
                <w:iCs w:val="0"/>
                <w:color w:val="000000"/>
                <w:kern w:val="0"/>
                <w:sz w:val="18"/>
                <w:szCs w:val="18"/>
                <w:u w:val="none"/>
                <w:lang w:val="en-US" w:eastAsia="zh-CN" w:bidi="ar"/>
              </w:rPr>
              <w:t>指标2：完成广元市公共信用平台建设项目</w:t>
            </w:r>
            <w:r>
              <w:rPr>
                <w:rFonts w:hint="eastAsia" w:ascii="宋体" w:hAnsi="宋体" w:cs="宋体"/>
                <w:i w:val="0"/>
                <w:iCs w:val="0"/>
                <w:color w:val="000000"/>
                <w:kern w:val="0"/>
                <w:sz w:val="18"/>
                <w:szCs w:val="18"/>
                <w:u w:val="none"/>
                <w:lang w:val="en-US" w:eastAsia="zh-CN" w:bidi="ar"/>
              </w:rPr>
              <w:t>（</w:t>
            </w:r>
            <w:r>
              <w:rPr>
                <w:rFonts w:hint="default" w:ascii="宋体" w:hAnsi="宋体" w:eastAsia="宋体" w:cs="宋体"/>
                <w:i w:val="0"/>
                <w:iCs w:val="0"/>
                <w:color w:val="000000"/>
                <w:kern w:val="0"/>
                <w:sz w:val="18"/>
                <w:szCs w:val="18"/>
                <w:u w:val="none"/>
                <w:lang w:val="en-US" w:eastAsia="zh-CN" w:bidi="ar"/>
              </w:rPr>
              <w:t>一期)专项审计鉴证服务；</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4A798790">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完成广元市公共信用平台2023年度驻场运维服务，完成广元市公共信用平台建设项目（一期)专项审计，并取得审计报告。</w:t>
            </w:r>
          </w:p>
        </w:tc>
      </w:tr>
      <w:tr w14:paraId="650FF2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3"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E850A6">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7192394">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2.项目实施内容及过程概述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6E2585B8">
            <w:pPr>
              <w:keepNext w:val="0"/>
              <w:keepLines w:val="0"/>
              <w:widowControl/>
              <w:suppressLineNumbers w:val="0"/>
              <w:spacing w:before="0" w:beforeAutospacing="0" w:after="0" w:afterAutospacing="0"/>
              <w:ind w:left="0" w:right="0"/>
              <w:jc w:val="left"/>
              <w:textAlignment w:val="center"/>
              <w:rPr>
                <w:rFonts w:hint="eastAsia" w:ascii="黑体" w:hAnsi="宋体" w:eastAsia="黑体" w:cs="黑体"/>
                <w:i w:val="0"/>
                <w:iCs w:val="0"/>
                <w:color w:val="000000"/>
                <w:sz w:val="18"/>
                <w:szCs w:val="18"/>
                <w:u w:val="none"/>
              </w:rPr>
            </w:pPr>
            <w:r>
              <w:rPr>
                <w:rFonts w:hint="eastAsia" w:ascii="黑体" w:hAnsi="宋体" w:eastAsia="黑体" w:cs="黑体"/>
                <w:i w:val="0"/>
                <w:iCs w:val="0"/>
                <w:color w:val="000000"/>
                <w:kern w:val="0"/>
                <w:sz w:val="18"/>
                <w:szCs w:val="18"/>
                <w:u w:val="none"/>
                <w:lang w:val="en-US" w:eastAsia="zh-CN" w:bidi="ar"/>
              </w:rPr>
              <w:t>1通过派遣三人驻场运维服务，从2022年9月至2023年12月，城市信用监测排名最长连续15个月位列全省第一，并于2023年8月，成功获评全国第4批社会信用体系建设示范区。2.2023年10月取得财务审计决算报告</w:t>
            </w:r>
          </w:p>
        </w:tc>
      </w:tr>
      <w:tr w14:paraId="0558D8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ED3E47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预算执行情况（10分）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FE149C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年度预算数（万元）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938BC6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年初预算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C2687D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调整后预算数</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9F7F7C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预算执行数</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FD6CC9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F4FF8C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8D7CFE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93C09D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原因</w:t>
            </w:r>
          </w:p>
        </w:tc>
      </w:tr>
      <w:tr w14:paraId="29EF20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6D8AD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FDB8BE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总额</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F3AF72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7D4315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31.33</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4E1FA5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31.33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817AED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74A783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033FA3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319E2A0">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7E11FF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29FCB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205E25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其中：财政资金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FC15CC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4886DA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31.33</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16193C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31.33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41D80D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860E71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D47104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7B002A">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186E93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7"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FF29A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1D19AF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财政专户管理资金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19D99E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FBC88C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FD49DF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2461A9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357E28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3BA0DE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085C17">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081147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54772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A3DCA2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单位资金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51579F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A3FAF8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37CAB2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37DACF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FF93FB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BB0B17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3634D2">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5197B1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A30FE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C5D7DD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其他资金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1FA2D72">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42D6BB9">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C8F0721">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9919E8F">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4070FE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9EB178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507A12">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1F1ABF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DA589B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绩效指标（90分）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C7CCE4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一级指标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66293F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二级指标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10FB54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三级指标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13BB5A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指标性质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BB014E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9CDA47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度量单位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395E07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完成值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A6B999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15ADE9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060B6E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未完成原因分析</w:t>
            </w:r>
          </w:p>
        </w:tc>
      </w:tr>
      <w:tr w14:paraId="2C02BA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78"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7B4AF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ECC267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产出指标</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A6E067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数量指标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A765AA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指标2：完成广元市公共信用平台建设项目</w:t>
            </w:r>
            <w:r>
              <w:rPr>
                <w:rFonts w:hint="eastAsia" w:ascii="宋体" w:hAnsi="宋体" w:cs="宋体"/>
                <w:i w:val="0"/>
                <w:iCs w:val="0"/>
                <w:color w:val="000000"/>
                <w:kern w:val="0"/>
                <w:sz w:val="18"/>
                <w:szCs w:val="18"/>
                <w:u w:val="none"/>
                <w:lang w:val="en-US" w:eastAsia="zh-CN" w:bidi="ar"/>
              </w:rPr>
              <w:t>（</w:t>
            </w:r>
            <w:r>
              <w:rPr>
                <w:rFonts w:hint="default" w:ascii="宋体" w:hAnsi="宋体" w:eastAsia="宋体" w:cs="宋体"/>
                <w:i w:val="0"/>
                <w:iCs w:val="0"/>
                <w:color w:val="000000"/>
                <w:kern w:val="0"/>
                <w:sz w:val="18"/>
                <w:szCs w:val="18"/>
                <w:u w:val="none"/>
                <w:lang w:val="en-US" w:eastAsia="zh-CN" w:bidi="ar"/>
              </w:rPr>
              <w:t>一期)专项审计鉴证服务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8BEB75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6B36F1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2F0EAA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076387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C6EBB5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D70763D">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i w:val="0"/>
                <w:iCs w:val="0"/>
                <w:color w:val="000000"/>
                <w:sz w:val="18"/>
                <w:szCs w:val="18"/>
                <w:u w:val="none"/>
              </w:rPr>
            </w:pPr>
            <w:r>
              <w:rPr>
                <w:rFonts w:hint="eastAsia" w:ascii="黑体" w:hAnsi="宋体" w:eastAsia="黑体" w:cs="黑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ACB8CDF">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451763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78"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FA2AC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6F413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1AA34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33D02C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指标1：广元市公共信用平台2023年度驻场运维服务人员</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41BDA6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0B57A8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044A24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人</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0DDB99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9F636F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42A5632">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i w:val="0"/>
                <w:iCs w:val="0"/>
                <w:color w:val="000000"/>
                <w:sz w:val="18"/>
                <w:szCs w:val="18"/>
                <w:u w:val="none"/>
              </w:rPr>
            </w:pPr>
            <w:r>
              <w:rPr>
                <w:rFonts w:hint="eastAsia" w:ascii="黑体" w:hAnsi="宋体" w:eastAsia="黑体" w:cs="黑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CCFBC98">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6A542C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31F33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671F5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AD2A32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质量指标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24089C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指标1：保障平台和网站正常运行。</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58CEC1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067905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4385C6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2823A3F">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6201F0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65C49E3">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i w:val="0"/>
                <w:iCs w:val="0"/>
                <w:color w:val="000000"/>
                <w:sz w:val="18"/>
                <w:szCs w:val="18"/>
                <w:u w:val="none"/>
              </w:rPr>
            </w:pPr>
            <w:r>
              <w:rPr>
                <w:rFonts w:hint="eastAsia" w:ascii="黑体" w:hAnsi="宋体" w:eastAsia="黑体" w:cs="黑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1345A8B">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4DF608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083C6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9FB88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EF489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6334F1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指标2：完成专项财务审计及鉴证服务。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999057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486060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AAA1FA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D6B7257">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F96D53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636D81E">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i w:val="0"/>
                <w:iCs w:val="0"/>
                <w:color w:val="000000"/>
                <w:sz w:val="18"/>
                <w:szCs w:val="18"/>
                <w:u w:val="none"/>
              </w:rPr>
            </w:pPr>
            <w:r>
              <w:rPr>
                <w:rFonts w:hint="eastAsia" w:ascii="黑体" w:hAnsi="宋体" w:eastAsia="黑体" w:cs="黑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D08D6D9">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41EBB4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7E9CA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51DE7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C1D6AE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时效指标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1D11C0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指标2：完成时间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6EF75D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7D1D47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9</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F2EF08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月</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7CE2F70">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C438D6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4735336">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i w:val="0"/>
                <w:iCs w:val="0"/>
                <w:color w:val="000000"/>
                <w:sz w:val="18"/>
                <w:szCs w:val="18"/>
                <w:u w:val="none"/>
              </w:rPr>
            </w:pPr>
            <w:r>
              <w:rPr>
                <w:rFonts w:hint="eastAsia" w:ascii="黑体" w:hAnsi="宋体" w:eastAsia="黑体" w:cs="黑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3255BF6">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0D2798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46BEA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AA4BBB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效益指标</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49D209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社会效益指标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1CED37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指标1：全国城市信用排名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1A5A5B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E6627C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6172F2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76620E5">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从2022年9月至2023年12月，最长连续15个月位列全省第一</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AAD704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0F39DA1">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i w:val="0"/>
                <w:iCs w:val="0"/>
                <w:color w:val="000000"/>
                <w:sz w:val="18"/>
                <w:szCs w:val="18"/>
                <w:u w:val="none"/>
              </w:rPr>
            </w:pPr>
            <w:r>
              <w:rPr>
                <w:rFonts w:hint="eastAsia" w:ascii="黑体" w:hAnsi="宋体" w:eastAsia="黑体" w:cs="黑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1DFFE7F">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7046D2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C6DC6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2FCE3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91787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CCD9E6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指标2：完成专项财务审计及鉴证服务。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E168C6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8F7A3D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取得审计报告</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3EEA8E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D9D7FB8">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取得审计报告</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126A8C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C8EDF79">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i w:val="0"/>
                <w:iCs w:val="0"/>
                <w:color w:val="000000"/>
                <w:sz w:val="18"/>
                <w:szCs w:val="18"/>
                <w:u w:val="none"/>
              </w:rPr>
            </w:pPr>
            <w:r>
              <w:rPr>
                <w:rFonts w:hint="eastAsia" w:ascii="黑体" w:hAnsi="宋体" w:eastAsia="黑体" w:cs="黑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B14C56F">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13D05C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F29CF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3BAC1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A405BA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可持续影响指标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BA46F8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指标1：促进全社会诚实守信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26816E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41B42F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促进全社会诚实守信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689A09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0DDAEF4">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促进全社会诚实守信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3810C3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1B0E68A">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i w:val="0"/>
                <w:iCs w:val="0"/>
                <w:color w:val="000000"/>
                <w:sz w:val="18"/>
                <w:szCs w:val="18"/>
                <w:u w:val="none"/>
              </w:rPr>
            </w:pPr>
            <w:r>
              <w:rPr>
                <w:rFonts w:hint="eastAsia" w:ascii="黑体" w:hAnsi="宋体" w:eastAsia="黑体" w:cs="黑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95D4C7A">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5C7E04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8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3C190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04C34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CC71C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638166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指标2：确保专项资金的安全完整和合理使用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3AA6ED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17CC7A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监督项目单位严格遵守有关制度，保证专项资产的安全完整和合理使用，从而不断提高建设单位对专项资产的使用效果。</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13665D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E092C75">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监督项目单位严格遵守有关制度，保证专项资产的安全完整和合理使用，从而不断提高建设单位对专项资产的使用效果。</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5B506E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B3DCE07">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i w:val="0"/>
                <w:iCs w:val="0"/>
                <w:color w:val="000000"/>
                <w:sz w:val="18"/>
                <w:szCs w:val="18"/>
                <w:u w:val="none"/>
              </w:rPr>
            </w:pPr>
            <w:r>
              <w:rPr>
                <w:rFonts w:hint="eastAsia" w:ascii="黑体" w:hAnsi="宋体" w:eastAsia="黑体" w:cs="黑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D045A10">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6760D8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E13D4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34354A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满意度指标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375E8A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满意度指标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F73B27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指标1：公众满意度</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595EC0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539B7B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95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27E7A1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0BEC29A">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95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E45E68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A03F036">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i w:val="0"/>
                <w:iCs w:val="0"/>
                <w:color w:val="000000"/>
                <w:sz w:val="18"/>
                <w:szCs w:val="18"/>
                <w:u w:val="none"/>
              </w:rPr>
            </w:pPr>
            <w:r>
              <w:rPr>
                <w:rFonts w:hint="eastAsia" w:ascii="黑体" w:hAnsi="宋体" w:eastAsia="黑体" w:cs="黑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3EED8BB">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153507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07C5F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059261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成本指标</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A7826D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经济成本指标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8F3F67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指标2：完成专项财务审计及鉴证服务。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0C8DDE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F1C218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1.927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0F0524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742F74D">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1.927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A810C1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F870334">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i w:val="0"/>
                <w:iCs w:val="0"/>
                <w:color w:val="000000"/>
                <w:sz w:val="18"/>
                <w:szCs w:val="18"/>
                <w:u w:val="none"/>
              </w:rPr>
            </w:pPr>
            <w:r>
              <w:rPr>
                <w:rFonts w:hint="eastAsia" w:ascii="黑体" w:hAnsi="宋体" w:eastAsia="黑体" w:cs="黑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3AFF1C3">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66BED5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827504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6F54F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EC2F1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1EEE28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指标1：公共信用平台2022年度驻场运维服务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903955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CBD2D5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29.4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DB137A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D5D06D3">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29.4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4EAF0E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25A541C">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i w:val="0"/>
                <w:iCs w:val="0"/>
                <w:color w:val="000000"/>
                <w:sz w:val="18"/>
                <w:szCs w:val="18"/>
                <w:u w:val="none"/>
              </w:rPr>
            </w:pPr>
            <w:r>
              <w:rPr>
                <w:rFonts w:hint="eastAsia" w:ascii="黑体" w:hAnsi="宋体" w:eastAsia="黑体" w:cs="黑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EF9D2B5">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5B4482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6C1E12E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合计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1E2CA2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A57E46C">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i w:val="0"/>
                <w:iCs w:val="0"/>
                <w:color w:val="000000"/>
                <w:sz w:val="18"/>
                <w:szCs w:val="18"/>
                <w:u w:val="none"/>
              </w:rPr>
            </w:pPr>
            <w:r>
              <w:rPr>
                <w:rFonts w:hint="eastAsia" w:ascii="黑体" w:hAnsi="宋体" w:eastAsia="黑体" w:cs="黑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5BFA469">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443242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7C5092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评价结论</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1054D604">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通过实施该项目，派遣三人驻场运维服务，从2022年9月至2023年12月，城市信用监测排名最长连续15个月位列全省第一，并于2023年8月，成功获评全国第4批社会信用体系建设示范区。2.2023年10月取得财务审计决算报告。自评得分100分。</w:t>
            </w:r>
          </w:p>
        </w:tc>
      </w:tr>
      <w:tr w14:paraId="5819F3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E020BC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存在问题</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3D5E3DEA">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6703AA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3"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5C7C64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改进措施</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0C7075FB">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4A38DD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2E4C8F95">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w:t>
            </w:r>
          </w:p>
        </w:tc>
        <w:tc>
          <w:tcPr>
            <w:tcW w:w="0" w:type="auto"/>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6E273BA">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w:t>
            </w:r>
          </w:p>
        </w:tc>
      </w:tr>
      <w:tr w14:paraId="4DCE8D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tcBorders>
              <w:top w:val="nil"/>
              <w:left w:val="nil"/>
              <w:bottom w:val="nil"/>
              <w:right w:val="nil"/>
            </w:tcBorders>
            <w:shd w:val="clear" w:color="auto" w:fill="auto"/>
            <w:vAlign w:val="center"/>
          </w:tcPr>
          <w:p w14:paraId="05282EAC">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672399C6">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69215DCA">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5590763A">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1639C87E">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5141C906">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064E9702">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570FAB8F">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2E156A89">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5E793FA7">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53370D2D">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584D27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0" w:type="auto"/>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72F3D39D">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部门预算项目支出绩效自评表（2023年度）</w:t>
            </w:r>
          </w:p>
        </w:tc>
      </w:tr>
      <w:tr w14:paraId="644459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BEA3323">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项目名称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531E8A92">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51080023T000009456740-丧葬抚恤金</w:t>
            </w:r>
          </w:p>
        </w:tc>
      </w:tr>
      <w:tr w14:paraId="627F1D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2"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AED72BA">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主管部门</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1367BE4A">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广元市发展和改革委员会部门</w:t>
            </w:r>
          </w:p>
        </w:tc>
        <w:tc>
          <w:tcPr>
            <w:tcW w:w="0" w:type="auto"/>
            <w:tcBorders>
              <w:top w:val="nil"/>
              <w:left w:val="nil"/>
              <w:bottom w:val="nil"/>
              <w:right w:val="nil"/>
            </w:tcBorders>
            <w:shd w:val="clear" w:color="auto" w:fill="auto"/>
            <w:vAlign w:val="center"/>
          </w:tcPr>
          <w:p w14:paraId="294A4E69">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0F2347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w:t>
            </w:r>
          </w:p>
        </w:tc>
      </w:tr>
      <w:tr w14:paraId="12CAC8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0AE5983">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项目基本情况</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0AB5480">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1.项目年度目标完成情况</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6213DB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项目年度目标</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3A2BB95B">
            <w:pPr>
              <w:keepNext w:val="0"/>
              <w:keepLines w:val="0"/>
              <w:widowControl/>
              <w:suppressLineNumbers w:val="0"/>
              <w:spacing w:before="0" w:beforeAutospacing="0" w:after="0" w:afterAutospacing="0"/>
              <w:ind w:left="0" w:right="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14:paraId="3CA88D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8"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20F84A">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E04AAA">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10315865">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保障丧葬抚恤金发放。</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6556ABA8">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保障了丧葬抚恤金足额及时的发放。</w:t>
            </w:r>
          </w:p>
        </w:tc>
      </w:tr>
      <w:tr w14:paraId="316AF5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3"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6D9E09">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9D2108D">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2.项目实施内容及过程概述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6D6F1425">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严格按照资金下达文件及支付流程进行支付。</w:t>
            </w:r>
          </w:p>
        </w:tc>
      </w:tr>
      <w:tr w14:paraId="533E3C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B16EA5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预算执行情况（10分）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5F6FC8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年度预算数（万元）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0445AF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年初预算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ED9036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调整后预算数</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E563A5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预算执行数</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F23866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F169E9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1EC123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723960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原因</w:t>
            </w:r>
          </w:p>
        </w:tc>
      </w:tr>
      <w:tr w14:paraId="0B58E2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B7949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7500F8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总额</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08953F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25.65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310BF2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25.65</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B11610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25.65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4F46AF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5739C7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5A1548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8025FC7">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1C3847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B9336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5C4C0F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其中：财政资金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00EF47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25.65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CF51C3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25.65</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C2208F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25.65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88B2BE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76AB7C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6687CA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A8DC2B">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46A75B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7"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461F7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648CF9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财政专户管理资金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17FBF3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8F2904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A2361F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5F4548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AE3145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88BE91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DE6DEB">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2EC807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ABB30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AE2D83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单位资金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D67B4F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33308D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F51330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EB4456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C7BEBD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E3930B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A7CF42">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700F70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AF547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F8656A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其他资金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36D71C8">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FEEB7D7">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8D25306">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5DD44E1">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F7C016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67258A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B18B35">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7DF89C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347194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绩效指标（90分）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7EFDB6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一级指标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B424E3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二级指标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AF09D1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三级指标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1A0824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指标性质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6D29E4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F45DF7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度量单位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67F713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完成值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89DEC9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84C87C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115793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未完成原因分析</w:t>
            </w:r>
          </w:p>
        </w:tc>
      </w:tr>
      <w:tr w14:paraId="5B98CA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764DA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690815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产出指标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65C70B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数量指标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D25F6B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发放人数</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B5638A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32DA87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C297CD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人</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49562F8">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29C09B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758FC8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2224597">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5140E6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E2FE2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2A9E5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89C50D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质量指标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C89E48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抚恤金发放保障</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EE05CF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C32EDE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D43487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002515D">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873AD4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2EA329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DC766C1">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437CC8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2DE35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F5F66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31F7DB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时效指标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77FBF0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完成时间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82BFAF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20A7B7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CEAFF9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月</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4AA8834">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918AD5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E79C17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B7C5932">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7C1069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7EECC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F5FF7F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29FBB8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社会效益指标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F50330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保障丧葬抚恤金足额及时发放。</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AFE0FC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623E1D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维护社会稳定。</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4598C5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B83DDD6">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维护社会稳定。</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0900F6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F82D33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29497BF">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03E3D2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51345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122CFC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满意度指标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B2C6E9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满意度指标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E64B9B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领取抚恤金对象满意度</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12048A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AE20AD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D8E7D7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E624FBC">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BE3D3F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6F6CD8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30FA6ED">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21A8C0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87CB7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CA660A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成本指标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454882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经济成本指标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D06AC8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抚恤金发放金额</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846C34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6D65EB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25.6484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07762A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B298A6B">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25.6484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C8A8C3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A13672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79B848A">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60F43E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20A5433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合计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F11F85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4C5C212">
            <w:pPr>
              <w:keepNext w:val="0"/>
              <w:keepLines w:val="0"/>
              <w:widowControl/>
              <w:suppressLineNumbers w:val="0"/>
              <w:spacing w:before="0" w:beforeAutospacing="0" w:after="0" w:afterAutospacing="0"/>
              <w:ind w:left="0" w:right="0"/>
              <w:jc w:val="righ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AA45781">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123341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3"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AB8A3D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评价结论</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2F9ED371">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自评得分100分，完成了预期绩效目标，达到了资金使用效益。</w:t>
            </w:r>
          </w:p>
        </w:tc>
      </w:tr>
      <w:tr w14:paraId="32093C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B98AA8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存在问题</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743D02BC">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480680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3"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5A91D3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改进措施</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3C374E7A">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15526B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867231E">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w:t>
            </w:r>
          </w:p>
        </w:tc>
        <w:tc>
          <w:tcPr>
            <w:tcW w:w="0" w:type="auto"/>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B5D811D">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w:t>
            </w:r>
          </w:p>
        </w:tc>
      </w:tr>
      <w:tr w14:paraId="5AC3A4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tcBorders>
              <w:top w:val="nil"/>
              <w:left w:val="nil"/>
              <w:bottom w:val="nil"/>
              <w:right w:val="nil"/>
            </w:tcBorders>
            <w:shd w:val="clear" w:color="auto" w:fill="auto"/>
            <w:vAlign w:val="center"/>
          </w:tcPr>
          <w:p w14:paraId="5BF15379">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372F8A84">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1FB98C86">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1D43C5DD">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4949F838">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0CCE1833">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21161F84">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7F63C404">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53A08457">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37A46EAB">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3F64B4DC">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5F8A78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0" w:type="auto"/>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1BB15C8A">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部门预算项目支出绩效自评表（2023年度）</w:t>
            </w:r>
          </w:p>
        </w:tc>
      </w:tr>
      <w:tr w14:paraId="20FBCC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A2BFF04">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项目名称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2C22FC67">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51080023T000009589412-成渝地区粮食安全保障基地实施方案编制费用</w:t>
            </w:r>
          </w:p>
        </w:tc>
      </w:tr>
      <w:tr w14:paraId="61497C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2"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8C94742">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主管部门</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05112B7">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广元市发展和改革委员会部门</w:t>
            </w:r>
          </w:p>
        </w:tc>
        <w:tc>
          <w:tcPr>
            <w:tcW w:w="0" w:type="auto"/>
            <w:tcBorders>
              <w:top w:val="nil"/>
              <w:left w:val="nil"/>
              <w:bottom w:val="nil"/>
              <w:right w:val="nil"/>
            </w:tcBorders>
            <w:shd w:val="clear" w:color="auto" w:fill="auto"/>
            <w:vAlign w:val="center"/>
          </w:tcPr>
          <w:p w14:paraId="41755FEC">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4ABE9E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w:t>
            </w:r>
          </w:p>
        </w:tc>
      </w:tr>
      <w:tr w14:paraId="579987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3E5A6FE">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项目基本情况</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3E42C8C">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1.项目年度目标完成情况</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79E176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项目年度目标</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1F01F936">
            <w:pPr>
              <w:keepNext w:val="0"/>
              <w:keepLines w:val="0"/>
              <w:widowControl/>
              <w:suppressLineNumbers w:val="0"/>
              <w:spacing w:before="0" w:beforeAutospacing="0" w:after="0" w:afterAutospacing="0"/>
              <w:ind w:left="0" w:right="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14:paraId="5564FD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B44BCD0">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3811EA">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1E3714BD">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以推动高质量发展为主题，聚焦增强我市粮食仓储流通、收储调控、产业支撑、协同保障和现代化治理能力，围绕国省规划布局，根据市政府工作要求，立足区位优势，开展成渝地区粮食安全保障基地项目实施方案编制，打造产业基地、提升加工能力、建强仓储物流基础，打造成为成渝地区优质粮油产业基地、区域粮食仓储物流集散中心。</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15D04303">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Style w:val="56"/>
                <w:lang w:val="en-US" w:eastAsia="zh-CN" w:bidi="ar"/>
              </w:rPr>
              <w:t>项目的主要任务是编制实施方案，已于2024年</w:t>
            </w:r>
            <w:r>
              <w:rPr>
                <w:rFonts w:hint="eastAsia" w:ascii="黑体" w:hAnsi="黑体" w:eastAsia="黑体" w:cs="黑体"/>
                <w:i w:val="0"/>
                <w:iCs w:val="0"/>
                <w:color w:val="000000"/>
                <w:kern w:val="0"/>
                <w:sz w:val="18"/>
                <w:szCs w:val="18"/>
                <w:u w:val="none"/>
                <w:lang w:val="en-US" w:eastAsia="zh-CN" w:bidi="ar"/>
              </w:rPr>
              <w:t>2</w:t>
            </w:r>
            <w:r>
              <w:rPr>
                <w:rStyle w:val="56"/>
                <w:lang w:val="en-US" w:eastAsia="zh-CN" w:bidi="ar"/>
              </w:rPr>
              <w:t>月完成。</w:t>
            </w:r>
          </w:p>
        </w:tc>
      </w:tr>
      <w:tr w14:paraId="615F1D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3"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67A641">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A053BAB">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2.项目实施内容及过程概述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32E19B4A">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向委党组申请采购方案编制服务商，再按照会议意见组织采购，拟采购服务商报经委党组审议同意，签订服务合同，开展方案编制，征求市级相关部门和县区政府意见建议，组织专家评审方案，开展社会风险稳定性评估和合法性审查，</w:t>
            </w:r>
          </w:p>
        </w:tc>
      </w:tr>
      <w:tr w14:paraId="531DA7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E3732D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预算执行情况（10分）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68EE8E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年度预算数（万元）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9A7AA4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年初预算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A38ED3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调整后预算数</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1A6F3F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预算执行数</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99643E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F701B8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8343C6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D0B56D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原因</w:t>
            </w:r>
          </w:p>
        </w:tc>
      </w:tr>
      <w:tr w14:paraId="0410CF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AC448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859DFE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总额</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FA996E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29.00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CE8D57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29.00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0B9599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29.00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A58D82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4089AC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A0BFD1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27683AF">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6BED39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BCAA6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C66A37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其中：财政资金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CB589A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29.00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7D9BF9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29.00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3A7D3C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29.00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379636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F21414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2AF7CC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662DCB">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08954F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7"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3BCA2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3482D4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财政专户管理资金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2D5A88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661D91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C58937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D3777C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C81382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2D17C9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859B54">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5C719A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89E14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2C012D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单位资金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415565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FB66F4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9C5F61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B3B7BD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8081D9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EC85DC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F2EBD1">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72D3B9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954A02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1EC258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其他资金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6C4D02C">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DF22405">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46843D2">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CF964FA">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FD8785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CB37C6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CC99CB">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2342DA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5B8676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绩效指标（90分）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74B084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一级指标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A6857D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二级指标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EC6064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三级指标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88F5A0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指标性质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F4E0E6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A90722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度量单位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E8FC22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完成值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B1CD55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55E161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388F5E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未完成原因分析</w:t>
            </w:r>
          </w:p>
        </w:tc>
      </w:tr>
      <w:tr w14:paraId="21D689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603EF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F0AB14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产出指标</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27ECBF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数量指标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B850BC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编制实施方案</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56B242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3581CB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ECC82C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本</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E4A9E64">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1891A1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D5179A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CC43738">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0A2150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B9D3F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7A30C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4BAEB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D28731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选定粮食行业专业编制机构</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B44DB4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96EF22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67023E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家</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998E5EE">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2BFB73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F76553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3FCC769">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03D242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B68B0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D2943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DA0DBD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时效指标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5A2ADF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实施方案完成编制时限</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FDA55B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23F64F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227A7F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月</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31ECF35">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128B7E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6DEA05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A4801C7">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627D1C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78"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002D5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0ADF80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效益指标</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75A45F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经济效益指标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8174EB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指标2：推进央省预算内补助、基金、专项债等投入项目</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2C9CC1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BEA7CD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DF1929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亿元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92D04AB">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5.84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12516B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9E517B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1DDAD9D">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564EC1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C993E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02199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0D4E3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6B01A2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指标1：固定资产投资</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21273B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396EEE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344679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亿元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C31A822">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764AC8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B8E992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FB367C1">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8个重大项目的投资计划</w:t>
            </w:r>
          </w:p>
        </w:tc>
      </w:tr>
      <w:tr w14:paraId="180236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2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EB271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B9B11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7A00AE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社会效益指标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9F5274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推进粮食产业持续发展</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0A5590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05D9FE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补齐粮食仓储、加工能力短板</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2A1668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67BDC77">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Style w:val="55"/>
                <w:lang w:val="en-US" w:eastAsia="zh-CN" w:bidi="ar"/>
              </w:rPr>
              <w:t>改变了过去粮食仓储、加工“散、小、弱”现状</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B91C6D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176834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2556530">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4004B8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3FC86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7791F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6C0211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生态效益指标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1D479A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推进绿色仓储设施建设</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180DC5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2C42E9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提升粮食存储质量、品质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3067FF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15DFDF6">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新建项目均按国家出台的高标准粮食建设标准建设。</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4E77AE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A68C3C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ACBAE18">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414F9C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B1040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AF5A3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BEE62E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可持续影响指标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796D4F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推动粮食仓储物流设施提档升级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DF2C50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301ED4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推动全市投资持续增长</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9277DA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3D744A5">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以启动重大建设项目5个，推动投资9亿元以上。</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136B07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2E7C33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91A0AC3">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2C001B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77429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01A6F2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满意度指标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848CF4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满意度指标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ABE993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粮食仓储企业满意度</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5B2F58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F075F1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90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52273F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CB73792">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98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85904D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D33024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3B5CDDE">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50CF76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80672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59A066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成本指标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E9F347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经济成本指标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663489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实施方案编制费</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9AF776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2F4F9A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29</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8DCD6E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6F59745">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29</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12E8EF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6D312E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616C50E">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50E7A7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3966B03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合计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566363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03336FB">
            <w:pPr>
              <w:keepNext w:val="0"/>
              <w:keepLines w:val="0"/>
              <w:widowControl/>
              <w:suppressLineNumbers w:val="0"/>
              <w:spacing w:before="0" w:beforeAutospacing="0" w:after="0" w:afterAutospacing="0"/>
              <w:ind w:left="0" w:right="0"/>
              <w:jc w:val="righ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0C468F0">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674FF7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3"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8FD81F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评价结论</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2BE630AB">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结合自评情况，项目实施程序合规，按时完成项目建设内容，资金使用专款专用，无挤占挪用截留等现象发生。自评得分100分。</w:t>
            </w:r>
          </w:p>
        </w:tc>
      </w:tr>
      <w:tr w14:paraId="72649B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1DEA12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存在问题</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58C68F15">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Style w:val="55"/>
                <w:lang w:val="en-US" w:eastAsia="zh-CN" w:bidi="ar"/>
              </w:rPr>
              <w:t>因《广元粮食物流节点建设方案》编制涉及部分内容修改，未提交市政府审定印发。</w:t>
            </w:r>
          </w:p>
        </w:tc>
      </w:tr>
      <w:tr w14:paraId="7C60EA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3"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FF12E6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改进措施</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3B5E15EB">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加快推进送市政府审定印发程序。</w:t>
            </w:r>
          </w:p>
        </w:tc>
      </w:tr>
      <w:tr w14:paraId="557F06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249F197C">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Style w:val="56"/>
                <w:lang w:val="en-US" w:eastAsia="zh-CN" w:bidi="ar"/>
              </w:rPr>
              <w:t>项目负责人：陈林</w:t>
            </w:r>
          </w:p>
        </w:tc>
        <w:tc>
          <w:tcPr>
            <w:tcW w:w="0" w:type="auto"/>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7837A62">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财务负责人：赵静</w:t>
            </w:r>
          </w:p>
        </w:tc>
      </w:tr>
      <w:tr w14:paraId="641D7E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tcBorders>
              <w:top w:val="nil"/>
              <w:left w:val="nil"/>
              <w:bottom w:val="nil"/>
              <w:right w:val="nil"/>
            </w:tcBorders>
            <w:shd w:val="clear" w:color="auto" w:fill="auto"/>
            <w:vAlign w:val="center"/>
          </w:tcPr>
          <w:p w14:paraId="0CF4FFDF">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62EF283F">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53DBAB64">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5774BDE0">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6F6A50A2">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5FF7EAA6">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6E35A51E">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3C2905AC">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22522D79">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484E554E">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12F30E81">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6C06B9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0" w:type="auto"/>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50107673">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部门预算项目支出绩效自评表（2023年度）</w:t>
            </w:r>
          </w:p>
        </w:tc>
      </w:tr>
      <w:tr w14:paraId="217AAA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B5AA16D">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项目名称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37383A88">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51080023T000009654148-四川省生态产品价值实现机制试点经验交流现场会及调研</w:t>
            </w:r>
          </w:p>
        </w:tc>
      </w:tr>
      <w:tr w14:paraId="0F894C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2"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2AC9D8E">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主管部门</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6BE43F9">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广元市发展和改革委员会部门</w:t>
            </w:r>
          </w:p>
        </w:tc>
        <w:tc>
          <w:tcPr>
            <w:tcW w:w="0" w:type="auto"/>
            <w:tcBorders>
              <w:top w:val="nil"/>
              <w:left w:val="nil"/>
              <w:bottom w:val="nil"/>
              <w:right w:val="nil"/>
            </w:tcBorders>
            <w:shd w:val="clear" w:color="auto" w:fill="auto"/>
            <w:vAlign w:val="center"/>
          </w:tcPr>
          <w:p w14:paraId="7EC34734">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D14D1C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w:t>
            </w:r>
          </w:p>
        </w:tc>
      </w:tr>
      <w:tr w14:paraId="4DCC67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F821F56">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项目基本情况</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D8A34FE">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1.项目年度目标完成情况</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6FD9C2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项目年度目标</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0C35636E">
            <w:pPr>
              <w:keepNext w:val="0"/>
              <w:keepLines w:val="0"/>
              <w:widowControl/>
              <w:suppressLineNumbers w:val="0"/>
              <w:spacing w:before="0" w:beforeAutospacing="0" w:after="0" w:afterAutospacing="0"/>
              <w:ind w:left="0" w:right="0"/>
              <w:jc w:val="center"/>
              <w:textAlignment w:val="center"/>
              <w:rPr>
                <w:rFonts w:hint="eastAsia" w:ascii="黑体" w:hAnsi="黑体" w:eastAsia="黑体" w:cs="黑体"/>
                <w:i w:val="0"/>
                <w:iCs w:val="0"/>
                <w:color w:val="FF0000"/>
                <w:sz w:val="18"/>
                <w:szCs w:val="18"/>
                <w:u w:val="none"/>
              </w:rPr>
            </w:pPr>
            <w:r>
              <w:rPr>
                <w:rFonts w:hint="eastAsia" w:ascii="黑体" w:hAnsi="黑体" w:eastAsia="黑体" w:cs="黑体"/>
                <w:i w:val="0"/>
                <w:iCs w:val="0"/>
                <w:color w:val="FF0000"/>
                <w:kern w:val="0"/>
                <w:sz w:val="18"/>
                <w:szCs w:val="18"/>
                <w:u w:val="none"/>
                <w:lang w:val="en-US" w:eastAsia="zh-CN" w:bidi="ar"/>
              </w:rPr>
              <w:t>年度目标完成情况</w:t>
            </w:r>
          </w:p>
        </w:tc>
      </w:tr>
      <w:tr w14:paraId="0A16C1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8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A6CBE8">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BC6925">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2333B1A6">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2023年3月15日至3月16日</w:t>
            </w:r>
            <w:r>
              <w:rPr>
                <w:rFonts w:hint="eastAsia" w:ascii="宋体" w:hAnsi="宋体" w:cs="宋体"/>
                <w:i w:val="0"/>
                <w:iCs w:val="0"/>
                <w:color w:val="000000"/>
                <w:kern w:val="0"/>
                <w:sz w:val="18"/>
                <w:szCs w:val="18"/>
                <w:u w:val="none"/>
                <w:lang w:val="en-US" w:eastAsia="zh-CN" w:bidi="ar"/>
              </w:rPr>
              <w:t>，</w:t>
            </w:r>
            <w:r>
              <w:rPr>
                <w:rFonts w:hint="default" w:ascii="宋体" w:hAnsi="宋体" w:eastAsia="宋体" w:cs="宋体"/>
                <w:i w:val="0"/>
                <w:iCs w:val="0"/>
                <w:color w:val="000000"/>
                <w:kern w:val="0"/>
                <w:sz w:val="18"/>
                <w:szCs w:val="18"/>
                <w:u w:val="none"/>
                <w:lang w:val="en-US" w:eastAsia="zh-CN" w:bidi="ar"/>
              </w:rPr>
              <w:t>四川省发展和改革委员会、广元市人民政府主办，广元市发展和改革委员会承办的全省生态产品价值实现机制试点经验交流现场会在广元召开，省发展改革委、省级有关部门，省内各市州及部分县区政府和有关部门，我市各县区政府及有关部门，市级有关部门等160余人参会。国家发改委基础设施发展司领导参会并作讲话，调研我市相关工作推进情况。通过会议召开提升广元生态产品和生态产品价值实现机制试点工作知名度，扩大影响力。</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4C6F1BA9">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1.全省生态产品价值实现机制试点经验交流现场会于3月15日至16日（2天）在广元如期顺利举行。</w:t>
            </w:r>
            <w:r>
              <w:rPr>
                <w:rFonts w:hint="eastAsia" w:ascii="黑体" w:hAnsi="黑体" w:eastAsia="黑体" w:cs="黑体"/>
                <w:i w:val="0"/>
                <w:iCs w:val="0"/>
                <w:color w:val="000000"/>
                <w:kern w:val="0"/>
                <w:sz w:val="18"/>
                <w:szCs w:val="18"/>
                <w:u w:val="none"/>
                <w:lang w:val="en-US" w:eastAsia="zh-CN" w:bidi="ar"/>
              </w:rPr>
              <w:br w:type="textWrapping"/>
            </w:r>
            <w:r>
              <w:rPr>
                <w:rFonts w:hint="eastAsia" w:ascii="黑体" w:hAnsi="黑体" w:eastAsia="黑体" w:cs="黑体"/>
                <w:i w:val="0"/>
                <w:iCs w:val="0"/>
                <w:color w:val="000000"/>
                <w:kern w:val="0"/>
                <w:sz w:val="18"/>
                <w:szCs w:val="18"/>
                <w:u w:val="none"/>
                <w:lang w:val="en-US" w:eastAsia="zh-CN" w:bidi="ar"/>
              </w:rPr>
              <w:t>2.国家、省发展改革委，省级其他有关部门，省内各市州及部分县区政府和有关部门及我市共160余人参会。</w:t>
            </w:r>
            <w:r>
              <w:rPr>
                <w:rFonts w:hint="eastAsia" w:ascii="黑体" w:hAnsi="黑体" w:eastAsia="黑体" w:cs="黑体"/>
                <w:i w:val="0"/>
                <w:iCs w:val="0"/>
                <w:color w:val="000000"/>
                <w:kern w:val="0"/>
                <w:sz w:val="18"/>
                <w:szCs w:val="18"/>
                <w:u w:val="none"/>
                <w:lang w:val="en-US" w:eastAsia="zh-CN" w:bidi="ar"/>
              </w:rPr>
              <w:br w:type="textWrapping"/>
            </w:r>
            <w:r>
              <w:rPr>
                <w:rFonts w:hint="eastAsia" w:ascii="黑体" w:hAnsi="黑体" w:eastAsia="黑体" w:cs="黑体"/>
                <w:i w:val="0"/>
                <w:iCs w:val="0"/>
                <w:color w:val="000000"/>
                <w:kern w:val="0"/>
                <w:sz w:val="18"/>
                <w:szCs w:val="18"/>
                <w:u w:val="none"/>
                <w:lang w:val="en-US" w:eastAsia="zh-CN" w:bidi="ar"/>
              </w:rPr>
              <w:t>3.国家发改委基础设施发展司领导实地调研我市生态产品价值实现相关工作推进情况并参会作讲话。</w:t>
            </w:r>
          </w:p>
        </w:tc>
      </w:tr>
      <w:tr w14:paraId="0E75E6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3"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DD7DF5">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427B71C">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2.项目实施内容及过程概述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58A510A0">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2023年3月15日至3月16日</w:t>
            </w:r>
            <w:r>
              <w:rPr>
                <w:rFonts w:hint="eastAsia" w:ascii="宋体" w:hAnsi="宋体" w:cs="宋体"/>
                <w:i w:val="0"/>
                <w:iCs w:val="0"/>
                <w:color w:val="000000"/>
                <w:kern w:val="0"/>
                <w:sz w:val="18"/>
                <w:szCs w:val="18"/>
                <w:u w:val="none"/>
                <w:lang w:val="en-US" w:eastAsia="zh-CN" w:bidi="ar"/>
              </w:rPr>
              <w:t>，</w:t>
            </w:r>
            <w:r>
              <w:rPr>
                <w:rFonts w:hint="default" w:ascii="宋体" w:hAnsi="宋体" w:eastAsia="宋体" w:cs="宋体"/>
                <w:i w:val="0"/>
                <w:iCs w:val="0"/>
                <w:color w:val="000000"/>
                <w:kern w:val="0"/>
                <w:sz w:val="18"/>
                <w:szCs w:val="18"/>
                <w:u w:val="none"/>
                <w:lang w:val="en-US" w:eastAsia="zh-CN" w:bidi="ar"/>
              </w:rPr>
              <w:t>四川省生态产品价值实现机制试点经验交流现场会在广元召开。3月15日19:00前参会人员报道，3月16日上午分两组开展实地调研考察，下午召开全省生态产品价值实现机制试点经验交流会。国家发改委基础设施发展司领导到会指导，并实地调研我市相关工作推进情况。</w:t>
            </w:r>
          </w:p>
        </w:tc>
      </w:tr>
      <w:tr w14:paraId="242681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624ED6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预算执行情况（10分）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F64BFB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年度预算数（万元）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4E1F6A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年初预算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D01326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调整后预算数</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78C245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预算执行数</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13671F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8F0145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3C2925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D8E9F3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原因</w:t>
            </w:r>
          </w:p>
        </w:tc>
      </w:tr>
      <w:tr w14:paraId="555793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AB577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F8436D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总额</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F7FC18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8B20CD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23.19</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AAD82D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23.19</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4695ED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AFA56B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836737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542D2E3">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4D28BA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9CA90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DE3503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其中：财政资金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11EFB2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7B3F8B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23.19</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5769A7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23.19</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50A370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1B9B66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44F6E7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9D84C4">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324F6D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7"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B0A3B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BA85DE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财政专户管理资金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A70C99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B32C53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DDCE27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05A4C6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3E723B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CC6072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0AF14C">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6FC98D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08AED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99AF6B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单位资金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1A0020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786883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B0A97A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2318F4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1E86D6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9DF761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C67F14">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7336F2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14FBF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0B18FD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其他资金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22C1752">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CFCCBCC">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D5A3F5A">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95A5035">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46F833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AD0475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A05EDC">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613776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CD16F7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绩效指标（90分）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831CBE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一级指标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343EAF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二级指标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C36C2E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三级指标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DCCD95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指标性质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2AFBA3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28DE5E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度量单位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14F212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完成值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0A94A0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1EE1CD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0F3D6C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未完成原因分析</w:t>
            </w:r>
          </w:p>
        </w:tc>
      </w:tr>
      <w:tr w14:paraId="03CCBF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14523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3E1C6A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产出指标</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DD020C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数量指标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E58AB7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指标2：组织参加现场点位调研</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961B04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E3AE23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FFC924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FCF8790">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3E3782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A57915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BBA2E1C">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3C1F43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78"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FC68A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D6A61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D30B5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24DBF2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指标4：会议材料（包含宣传画册、文件资料、学习读本等）</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563231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47276E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160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7CBE1F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份</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9882E2B">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160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9F5AC9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21A87D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40F3597">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001BF7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CF893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A8292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29C5D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1BE895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指标3：调研展板</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76623E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A71B7D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B121FF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张</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7856DDF">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25E9F6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DAAED2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771C4C9">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013AF0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78"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B3D11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2BD71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0CEC0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C6B99D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指标1：组织全省生态产品  价值实现机制试点经验交流 现场会</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C2406B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674B15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1AEBD7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场</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02BC33E">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F2B50A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81793F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AF611BE">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72398B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BD71F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9BB88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BE1594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质量指标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182864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指标1：会议质量</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15229F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257FD0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成功召开现场会和组织调研。</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7EDE5C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E6B772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成功召开现场会和组织调研。</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480105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E604FF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00C4868">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467818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9BC16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4D3DE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921FD8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时效指标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96DA49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指标1：完成时间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F1FB60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EFE2F9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9BCDDB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月</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22B4C94">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333C5D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6A060A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50F79AB">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0C418F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3B7BC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1060C7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1AFA6C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经济效益指标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E55520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指标1：提升广元生态产品  知名度</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29B040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5EC4C0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通过画册宣传、现场推介及新闻报道等，提升广元生态产品知名度，扩大市场影响力。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52C953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2558E0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通过多角度全方位系列宣传，我市生态产品知名度逐步提升，市场影响力逐步扩大。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EBB879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12206A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BD53F82">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653E91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27"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1493F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ADF65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6112BB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社会效益指标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5292CE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指标1：提高广元试点工作知名度</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F8FDFC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42C982E">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我市在现场会作经验交流发言。现场会情况和广元推进生态产品价值实现经验被人民网、中国改革报、中国经济导报、中宏网、川观新闻等媒体报道。国家推动长江经济带发展领导小组办公室以《推动长江经济带发展工作简报》印发《四川省广元市多元探索生态产品价值实现路径》，推广我市相关工作经验。国家发展改革委、省发展改革委领导对我市生态产品价值实现机制试点工作提出建议和指导，为下步工作指明方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327A2F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C2CA11E">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我市在现场会作经验交流发言。现场会情况和广元推进生态产品价值实现经验被人民网、中国改革报、中宏网、川观新闻等各大媒体宣传报道。国家推长办印发工作简报推广《四川省广元市多元探索生态产品价值实现路径》。国家、省发展改革委领导对我市生态产品价值实现机制试点工作提出建议和指导，为我市下步工作指明方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412E2F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A156C9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82CB4AD">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35125F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B17E9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F08AF6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满意度指标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D05EDF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满意度指标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D4557A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指标1：参会人员满意度</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C688C1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F9CC6C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95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8BA1B2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6E3D25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98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AB4534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53B69A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2DEDABF">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5B5C15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5A56B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3EB241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成本指标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BD5009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经济成本指标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830C4D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指标1：会议及调研费</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976698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464020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23.1945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0D107D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D49F06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23.1945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F782D9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CD6B9C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ED81613">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39F383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4781726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合计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A2130B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25511D8">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75DE35B">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0581FF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2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CB8673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评价结论</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35C75F84">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val="0"/>
                <w:iCs w:val="0"/>
                <w:color w:val="000000"/>
                <w:sz w:val="16"/>
                <w:szCs w:val="16"/>
                <w:u w:val="none"/>
              </w:rPr>
            </w:pPr>
            <w:r>
              <w:rPr>
                <w:rFonts w:hint="eastAsia" w:ascii="微软雅黑" w:hAnsi="微软雅黑" w:eastAsia="微软雅黑" w:cs="微软雅黑"/>
                <w:i w:val="0"/>
                <w:iCs w:val="0"/>
                <w:color w:val="000000"/>
                <w:kern w:val="0"/>
                <w:sz w:val="16"/>
                <w:szCs w:val="16"/>
                <w:u w:val="none"/>
                <w:lang w:val="en-US" w:eastAsia="zh-CN" w:bidi="ar"/>
              </w:rPr>
              <w:t>四川省首次生态产品价值实现机制试点经验交流现场会在广元市成功召开。作为全省两个生态产品价值实现机制试点地级市之一，我市作典型经验交流。同步组织与会嘉宾前往广元经济技术开发区四川中方制药公司、四川君安天源精酿啤酒有限公司、昭化区生态产品电商物流产业园等现场调研。通过实地调研、部分宣传片等，加深嘉宾对我市生态产品价值实现机制试点工作推进成效的更直观感受，提升了我市生态产品和生态产品价值实现机制试点工作知名度，助力我市生态产品溢价增值，提高品牌影响力。自评得分100分。</w:t>
            </w:r>
          </w:p>
        </w:tc>
      </w:tr>
      <w:tr w14:paraId="77BEFD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AD0789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存在问题</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7984C96B">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val="0"/>
                <w:iCs w:val="0"/>
                <w:color w:val="000000"/>
                <w:sz w:val="16"/>
                <w:szCs w:val="16"/>
                <w:u w:val="none"/>
              </w:rPr>
            </w:pPr>
            <w:r>
              <w:rPr>
                <w:rFonts w:hint="eastAsia" w:ascii="微软雅黑" w:hAnsi="微软雅黑" w:eastAsia="微软雅黑" w:cs="微软雅黑"/>
                <w:i w:val="0"/>
                <w:iCs w:val="0"/>
                <w:color w:val="000000"/>
                <w:kern w:val="0"/>
                <w:sz w:val="16"/>
                <w:szCs w:val="16"/>
                <w:u w:val="none"/>
                <w:lang w:val="en-US" w:eastAsia="zh-CN" w:bidi="ar"/>
              </w:rPr>
              <w:t>现场会结束后，会场有部分会议纸质资料。经分析，可能存在遗忘、嘉宾更倾向于轻装返程，已将材料转换为电子档等可能。（结合自评情况，分析存在的问题及原因。（200字以内））</w:t>
            </w:r>
          </w:p>
        </w:tc>
      </w:tr>
      <w:tr w14:paraId="42B477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3"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AF15B1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改进措施</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030CADA4">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val="0"/>
                <w:iCs w:val="0"/>
                <w:color w:val="000000"/>
                <w:sz w:val="16"/>
                <w:szCs w:val="16"/>
                <w:u w:val="none"/>
              </w:rPr>
            </w:pPr>
            <w:r>
              <w:rPr>
                <w:rFonts w:hint="eastAsia" w:ascii="微软雅黑" w:hAnsi="微软雅黑" w:eastAsia="微软雅黑" w:cs="微软雅黑"/>
                <w:i w:val="0"/>
                <w:iCs w:val="0"/>
                <w:color w:val="000000"/>
                <w:kern w:val="0"/>
                <w:sz w:val="16"/>
                <w:szCs w:val="16"/>
                <w:u w:val="none"/>
                <w:lang w:val="en-US" w:eastAsia="zh-CN" w:bidi="ar"/>
              </w:rPr>
              <w:t>在实现碳达峰碳中和目标背景下，建议会议资料可以纸质资料与低碳无纸化电子资料相结合的方式。下一步从以下方面改进完善：一是反馈参会回执时备注期望会议资料形式，纸质资料或电子资料；二是根据需求准备相应的纸质会议资料、电子会议资料；三是纸资料印制尽可能精准，做到不浪费；四是会后若有多余纸质资料，可发送给有关科室、年轻干部学习，做到充分利用、循环使用。（针对项目自评中发现的问题，提出下一步改进完善的意见及有关政策性建议。（200字以内））</w:t>
            </w:r>
          </w:p>
        </w:tc>
      </w:tr>
      <w:tr w14:paraId="619C32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084295BE">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w:t>
            </w:r>
          </w:p>
        </w:tc>
        <w:tc>
          <w:tcPr>
            <w:tcW w:w="0" w:type="auto"/>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D41D474">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w:t>
            </w:r>
          </w:p>
        </w:tc>
      </w:tr>
      <w:tr w14:paraId="42E7B2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tcBorders>
              <w:top w:val="nil"/>
              <w:left w:val="nil"/>
              <w:bottom w:val="nil"/>
              <w:right w:val="nil"/>
            </w:tcBorders>
            <w:shd w:val="clear" w:color="auto" w:fill="auto"/>
            <w:vAlign w:val="center"/>
          </w:tcPr>
          <w:p w14:paraId="6F8C8C6B">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1D0767EC">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07D4E330">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552E8E11">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472655B5">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06F2B63F">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245D6CC6">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2861BB29">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0EE762D6">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3C814FAB">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6A7AABF1">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3D6654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0" w:type="auto"/>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3392DACE">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部门预算项目支出绩效自评表（2023年度）</w:t>
            </w:r>
          </w:p>
        </w:tc>
      </w:tr>
      <w:tr w14:paraId="5FF20F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5AAC970">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项目名称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3A505060">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51080023T000009705901-广元市推进“数字政府”建设专题培训会</w:t>
            </w:r>
          </w:p>
        </w:tc>
      </w:tr>
      <w:tr w14:paraId="1EF089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2"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0B645CF">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主管部门</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245D9D45">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广元市发展和改革委员会部门</w:t>
            </w:r>
          </w:p>
        </w:tc>
        <w:tc>
          <w:tcPr>
            <w:tcW w:w="0" w:type="auto"/>
            <w:tcBorders>
              <w:top w:val="nil"/>
              <w:left w:val="nil"/>
              <w:bottom w:val="nil"/>
              <w:right w:val="nil"/>
            </w:tcBorders>
            <w:shd w:val="clear" w:color="auto" w:fill="auto"/>
            <w:vAlign w:val="center"/>
          </w:tcPr>
          <w:p w14:paraId="1CC46473">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7EE61E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w:t>
            </w:r>
          </w:p>
        </w:tc>
      </w:tr>
      <w:tr w14:paraId="5B5B1C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FC3156D">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项目基本情况</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FFAB74C">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1.项目年度目标完成情况</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2C9352F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项目年度目标</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72AFE357">
            <w:pPr>
              <w:keepNext w:val="0"/>
              <w:keepLines w:val="0"/>
              <w:widowControl/>
              <w:suppressLineNumbers w:val="0"/>
              <w:spacing w:before="0" w:beforeAutospacing="0" w:after="0" w:afterAutospacing="0"/>
              <w:ind w:left="0" w:right="0"/>
              <w:jc w:val="center"/>
              <w:textAlignment w:val="center"/>
              <w:rPr>
                <w:rFonts w:hint="eastAsia" w:ascii="黑体" w:hAnsi="黑体" w:eastAsia="黑体" w:cs="黑体"/>
                <w:i w:val="0"/>
                <w:iCs w:val="0"/>
                <w:color w:val="FF0000"/>
                <w:sz w:val="18"/>
                <w:szCs w:val="18"/>
                <w:u w:val="none"/>
              </w:rPr>
            </w:pPr>
            <w:r>
              <w:rPr>
                <w:rFonts w:hint="eastAsia" w:ascii="黑体" w:hAnsi="黑体" w:eastAsia="黑体" w:cs="黑体"/>
                <w:i w:val="0"/>
                <w:iCs w:val="0"/>
                <w:color w:val="FF0000"/>
                <w:kern w:val="0"/>
                <w:sz w:val="18"/>
                <w:szCs w:val="18"/>
                <w:u w:val="none"/>
                <w:lang w:val="en-US" w:eastAsia="zh-CN" w:bidi="ar"/>
              </w:rPr>
              <w:t>年度目标完成情况</w:t>
            </w:r>
          </w:p>
        </w:tc>
      </w:tr>
      <w:tr w14:paraId="308DB4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5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2C8B0CF">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8A1297">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70213385">
            <w:pPr>
              <w:keepNext w:val="0"/>
              <w:keepLines w:val="0"/>
              <w:widowControl/>
              <w:suppressLineNumbers w:val="0"/>
              <w:spacing w:before="0" w:beforeAutospacing="0" w:after="0" w:afterAutospacing="0"/>
              <w:ind w:left="0" w:right="0"/>
              <w:jc w:val="both"/>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2023年5月15日至5月19日</w:t>
            </w:r>
            <w:r>
              <w:rPr>
                <w:rFonts w:hint="eastAsia" w:ascii="宋体" w:hAnsi="宋体" w:cs="宋体"/>
                <w:i w:val="0"/>
                <w:iCs w:val="0"/>
                <w:color w:val="000000"/>
                <w:kern w:val="0"/>
                <w:sz w:val="18"/>
                <w:szCs w:val="18"/>
                <w:u w:val="none"/>
                <w:lang w:val="en-US" w:eastAsia="zh-CN" w:bidi="ar"/>
              </w:rPr>
              <w:t>，</w:t>
            </w:r>
            <w:r>
              <w:rPr>
                <w:rFonts w:hint="default" w:ascii="宋体" w:hAnsi="宋体" w:eastAsia="宋体" w:cs="宋体"/>
                <w:i w:val="0"/>
                <w:iCs w:val="0"/>
                <w:color w:val="000000"/>
                <w:kern w:val="0"/>
                <w:sz w:val="18"/>
                <w:szCs w:val="18"/>
                <w:u w:val="none"/>
                <w:lang w:val="en-US" w:eastAsia="zh-CN" w:bidi="ar"/>
              </w:rPr>
              <w:t>根据市委组织部《关于印发2023年市级重点专题培训项目计划的通知》（广组训〔2023〕10号）培训计划，市发展改革委委托浙江大学继续教育学院在杭州市举办“广元市推进“数字政府”建设专题培训班”，学习大数据时代下的智慧城市与城市大脑建设，以数字化改革牵引全面深化改革，政府数字化转型与数据治理，大数据应用及网络安全等数字化转型发展的浙江实践等内容，推进我市数字政府建设。</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764299E6">
            <w:pPr>
              <w:keepNext w:val="0"/>
              <w:keepLines w:val="0"/>
              <w:widowControl/>
              <w:suppressLineNumbers w:val="0"/>
              <w:spacing w:before="0" w:beforeAutospacing="0" w:after="0" w:afterAutospacing="0"/>
              <w:ind w:left="0" w:right="0"/>
              <w:jc w:val="both"/>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5月15-19日，市委组织部会同我委在浙江大学华家池校区开展了为期5天的“数字政府”专题培训，本次参加培训学员共53人，其中县级干部12人、科级干部38人、国有平台公司3人。</w:t>
            </w:r>
          </w:p>
        </w:tc>
      </w:tr>
      <w:tr w14:paraId="75E294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3"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12CE43">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1FCB44C">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2.项目实施内容及过程概述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7E8B480F">
            <w:pPr>
              <w:keepNext w:val="0"/>
              <w:keepLines w:val="0"/>
              <w:widowControl/>
              <w:suppressLineNumbers w:val="0"/>
              <w:spacing w:before="0" w:beforeAutospacing="0" w:after="0" w:afterAutospacing="0"/>
              <w:ind w:left="0" w:right="0"/>
              <w:jc w:val="both"/>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培训班采取“专题辅导+研讨交流+情景模拟+现场教学+典型示范”相结合的模式，注重课堂教授、课后交流与实地参观相结合，围绕我市数字政府建设和城市大脑打造的具体问题务实开展分组和集中交流研讨，学员全覆盖发表意见，为我市推进城市大脑建设以及数字政府建设提出了工作建议。课程内容包括“大数据时代下的智慧城市与城市大脑建设”、“现场教学：杭州城市大脑运营指挥中心&amp;云栖小镇”、“以数字化改革牵引全面深化改革——解读浙江数字化改革”、“现场教学：富阳行政服务中心”、“政府数字化转型与数据治理”、“现场教学：海康威视”、“数据应用及网络安全等数字化转型发展的浙江实践”、“现场教学：阿里巴巴集团”、“以互联网+打造数字政府，推动政府治理现代化”、“现场教学：嘉兴城市综合运营管理中心”。</w:t>
            </w:r>
          </w:p>
        </w:tc>
      </w:tr>
      <w:tr w14:paraId="7EF90AD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1"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D54E05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预算执行情况（10分）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11BC18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年度预算数（万元）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EBBB18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年初预算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0F66B1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调整后预算数</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0DD84B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预算执行数</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6C78FE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93EA31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E8F22B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6C57CB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原因</w:t>
            </w:r>
          </w:p>
        </w:tc>
      </w:tr>
      <w:tr w14:paraId="064508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32574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19A674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总额</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42E73D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23C8DF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15.00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D70F6E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15.00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F317EC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83A71D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A1961F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4911154">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496B55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D2C7B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B81780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其中：财政资金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8F1DC3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9E5C2D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15.00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7B4AA4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15.00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B07512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742E7B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6C1B1C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8AF274">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53A4D7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7"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F98A3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DB039D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财政专户管理资金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4BD4DC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DE2D13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DC7B54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8F1969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E8281D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11B9FC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9B4046">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729338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37E42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470B59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单位资金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E6C6BE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203616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5792DD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C2596C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65D7F2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2F78EA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B6946D">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62A241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92FC6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3EFAD7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其他资金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5FB6BFF">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A2F16DD">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87EB260">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8DC6EF5">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89EA9E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E723E6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F045A5">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7DE51D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62D5A3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绩效指标（90分）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215CEA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一级指标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A3DE0E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二级指标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70E76C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三级指标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455240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指标性质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0EB605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B38170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度量单位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963AC1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完成值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FB30B3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CF8B96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6F7A4F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未完成原因分析</w:t>
            </w:r>
          </w:p>
        </w:tc>
      </w:tr>
      <w:tr w14:paraId="309E4F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A0380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6CF7A6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产出指标</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4507ED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数量指标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854705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指标2：组织参加现场点位调研</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C4C24C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77174B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608965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59173D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B89D8E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95A51C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C15AE70">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22C969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077E3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7BCEE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CA1AF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DBF3F3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指标1：培训人数</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6C3210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85BBBC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D3DD0F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E843A3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34862B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794FA9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C5B4330">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7399A3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78"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51449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C907D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7FCA4F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质量指标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332A3D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指标1：会议质量</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93BA17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D175DA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成功开展为期5天的“数字政府”专题培训</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0D625E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78474F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成功开展为期5天的“数字政府”专题培训</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DC7C3C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2A02D3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57D30CC">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75EFF8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373C5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64327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919BE5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时效指标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8071D7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指标1：完成时间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4CC1FB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2C86C6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B4F7E9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月</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9F4900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5月15-19日</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78B675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D43B64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B840705">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334CD1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20BDB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2D8A6D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836BD0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经济效益指标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565557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指标1：获得启发与收获</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BE54CB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6D3901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采取“专题辅导+研讨交流+情景模拟+现场教学+典型示范”相结合的模式，注重课堂教授、课后交流与实地参观相结合，围绕我市数字政府建设和城市大脑打造的具体问题务实开展分组和集中交流研讨，学员全覆盖发表意见，为我市推进城市大脑建设以及数字政府建设提出了工作建议，提升学员推进数字政府工作能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A65C5B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9C7C8C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采取“专题辅导+研讨交流+情景模拟+现场教学+典型示范”相结合的模式，注重课堂教授、课后交流与实地参观相结合，围绕我市数字政府建设和城市大脑打造的具体问题务实开展分组和集中交流研讨，学员全覆盖发表意见，为我市推进城市大脑建设以及数字政府建设提出了工作建议，提升学员推进数字政府工作能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E389E8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ABA08A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300EE13">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4DBC5A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7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D275F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BEDDC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2010B1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社会效益指标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702C33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指标1：提升推进数字政府工作能力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A0C8DD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889A9F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采取“专题辅导+研讨交流+情景模拟+现场教学+典型示范”相结合的模式，注重课堂教授、课后交流与实地参观相结合，围绕我市数字政府建设和城市大脑打造的具体问题务实开展分组和集中交流研讨，学员全覆盖发表意见，为我市推进城市大脑建设以及数字政府建设提出了工作建议，提升学员推进数字政府工作能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039AD5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80698C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采取“专题辅导+研讨交流+情景模拟+现场教学+典型示范”相结合的模式，注重课堂教授、课后交流与实地参观相结合，围绕我市数字政府建设和城市大脑打造的具体问题务实开展分组和集中交流研讨，学员全覆盖发表意见，为我市推进城市大脑建设以及数字政府建设提出了工作建议，提升学员推进数字政府工作能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BF86AF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81C632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A722B09">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3CFBFD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9F962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AB2008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满意度指标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DB6A67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满意度指标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99206A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指标1：参会人员满意度</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6D802A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40568B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439519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B5B70F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8EF20A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77ED5A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86C919F">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2E357C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308DE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9AEDE1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成本指标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E62D29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经济成本指标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7DCC35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指标1：培训费用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011FD5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0B4914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C5C21E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1A62C5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D2BF98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86FDE7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2D0CD75">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306D93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036C5FF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合计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5A4BFF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78CF90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886222E">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48DAA6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2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D33D4C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评价结论</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262B9C54">
            <w:pPr>
              <w:keepNext w:val="0"/>
              <w:keepLines w:val="0"/>
              <w:widowControl/>
              <w:suppressLineNumbers w:val="0"/>
              <w:spacing w:before="0" w:beforeAutospacing="0" w:after="0" w:afterAutospacing="0"/>
              <w:ind w:left="0" w:right="0"/>
              <w:jc w:val="both"/>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培训班采取“专题辅导+研讨交流+情景模拟+现场教学+典型示范”相结合的模式，注重课堂教授、课后交流与实地参观相结合，围绕我市数字政府建设和城市大脑打造的具体问题务实开展分组和集中交流研讨，学员全覆盖发表意见，为我市推进城市大脑建设以及数字政府建设提出了工作建议。培训班采取“专题辅导+研讨交流+情景模拟+现场教学+典型示范”相结合的模式，注重课堂教授、课后交流与实地参观相结合，围绕我市数字政府建设和城市大脑打造的具体问题务实开展分组和集中交流研讨，学员全覆盖发表意见，为我市推进城市大脑建设以及数字政府建设提出了工作建议，让我市在推进城市大脑建设上得到了启示与收获。自评得分100分。</w:t>
            </w:r>
          </w:p>
        </w:tc>
      </w:tr>
      <w:tr w14:paraId="6C00753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8AE349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存在问题</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026429DE">
            <w:pPr>
              <w:keepNext w:val="0"/>
              <w:keepLines w:val="0"/>
              <w:widowControl/>
              <w:suppressLineNumbers w:val="0"/>
              <w:spacing w:before="0" w:beforeAutospacing="0" w:after="0" w:afterAutospacing="0"/>
              <w:ind w:left="0" w:right="0"/>
              <w:jc w:val="both"/>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无。</w:t>
            </w:r>
          </w:p>
        </w:tc>
      </w:tr>
      <w:tr w14:paraId="070E62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3"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E1E6AC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改进措施</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5B02CAB6">
            <w:pPr>
              <w:keepNext w:val="0"/>
              <w:keepLines w:val="0"/>
              <w:widowControl/>
              <w:suppressLineNumbers w:val="0"/>
              <w:spacing w:before="0" w:beforeAutospacing="0" w:after="0" w:afterAutospacing="0"/>
              <w:ind w:left="0" w:right="0"/>
              <w:jc w:val="both"/>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无。</w:t>
            </w:r>
          </w:p>
        </w:tc>
      </w:tr>
      <w:tr w14:paraId="41ED01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58D36642">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w:t>
            </w:r>
          </w:p>
        </w:tc>
        <w:tc>
          <w:tcPr>
            <w:tcW w:w="0" w:type="auto"/>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DBA89C7">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w:t>
            </w:r>
          </w:p>
        </w:tc>
      </w:tr>
      <w:tr w14:paraId="74F59F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tcBorders>
              <w:top w:val="nil"/>
              <w:left w:val="nil"/>
              <w:bottom w:val="nil"/>
              <w:right w:val="nil"/>
            </w:tcBorders>
            <w:shd w:val="clear" w:color="auto" w:fill="auto"/>
            <w:vAlign w:val="center"/>
          </w:tcPr>
          <w:p w14:paraId="78F73817">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7F16277C">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45D49504">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2FCEF0AD">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12FFEB5A">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2AB4E8EC">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6F7BAD7E">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0DCF522F">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3BDDB8B9">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78618280">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4EA8D187">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6CD8F1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0" w:type="auto"/>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6433F51C">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部门预算项目支出绩效自评表（2023年度）</w:t>
            </w:r>
          </w:p>
        </w:tc>
      </w:tr>
      <w:tr w14:paraId="78219C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4847D28">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项目名称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7A10E0E6">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51080023T000009705950-现代物流发展趋势与广元产业高质量发展专题讲座</w:t>
            </w:r>
          </w:p>
        </w:tc>
      </w:tr>
      <w:tr w14:paraId="74BF2B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2"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6B59FA6">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主管部门</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1D664CDF">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广元市发展和改革委员会部门</w:t>
            </w:r>
          </w:p>
        </w:tc>
        <w:tc>
          <w:tcPr>
            <w:tcW w:w="0" w:type="auto"/>
            <w:tcBorders>
              <w:top w:val="nil"/>
              <w:left w:val="nil"/>
              <w:bottom w:val="nil"/>
              <w:right w:val="nil"/>
            </w:tcBorders>
            <w:shd w:val="clear" w:color="auto" w:fill="auto"/>
            <w:vAlign w:val="center"/>
          </w:tcPr>
          <w:p w14:paraId="58445160">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D9CE20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w:t>
            </w:r>
          </w:p>
        </w:tc>
      </w:tr>
      <w:tr w14:paraId="51CD66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C38C47F">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项目基本情况</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8D6C565">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1.项目年度目标完成情况</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2BEB0DE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项目年度目标</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70553804">
            <w:pPr>
              <w:keepNext w:val="0"/>
              <w:keepLines w:val="0"/>
              <w:widowControl/>
              <w:suppressLineNumbers w:val="0"/>
              <w:spacing w:before="0" w:beforeAutospacing="0" w:after="0" w:afterAutospacing="0"/>
              <w:ind w:left="0" w:right="0"/>
              <w:jc w:val="center"/>
              <w:textAlignment w:val="center"/>
              <w:rPr>
                <w:rFonts w:hint="eastAsia" w:ascii="黑体" w:hAnsi="黑体" w:eastAsia="黑体" w:cs="黑体"/>
                <w:i w:val="0"/>
                <w:iCs w:val="0"/>
                <w:color w:val="FF0000"/>
                <w:sz w:val="18"/>
                <w:szCs w:val="18"/>
                <w:u w:val="none"/>
              </w:rPr>
            </w:pPr>
            <w:r>
              <w:rPr>
                <w:rFonts w:hint="eastAsia" w:ascii="黑体" w:hAnsi="黑体" w:eastAsia="黑体" w:cs="黑体"/>
                <w:i w:val="0"/>
                <w:iCs w:val="0"/>
                <w:color w:val="FF0000"/>
                <w:kern w:val="0"/>
                <w:sz w:val="18"/>
                <w:szCs w:val="18"/>
                <w:u w:val="none"/>
                <w:lang w:val="en-US" w:eastAsia="zh-CN" w:bidi="ar"/>
              </w:rPr>
              <w:t>年度目标完成情况</w:t>
            </w:r>
          </w:p>
        </w:tc>
      </w:tr>
      <w:tr w14:paraId="49E4F9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5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A3F82F">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C9604E">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A150704">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根据市委组织部《关于印发2023年市级重点专题培训项目计划的通知》（广组训〔2023〕10号）安排，组织承办第68期蜀道大讲堂，并邀请专家围绕广元市物流产业发展现状与对策建议有关方面作专题讲座。</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7107A68A">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根据市委组织部《关于印发2023年市级重点专题培训项目计划的通知》（广组训〔2023〕10号）安排，2023年5月23日，市委组织部、市发展和改革委员会组织承办了第68期蜀道大讲堂，邀请了国家发展改革委综合运输研究所所长汪明作“现代物流发展趋势与广元产业高质量发展”专题讲座，主会场市级有关部门518人参会，各县区设立分会场。讲座进一步统一了全市领导干部思想，凝聚发展现代物流共识，增强了开展现代物流工作能力和水平。</w:t>
            </w:r>
          </w:p>
        </w:tc>
      </w:tr>
      <w:tr w14:paraId="7343CF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3"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A96D39">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54973E2">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2.项目实施内容及过程概述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42538AE6">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项目的实施包括会议组织、会场使用布置、邀请专家等。</w:t>
            </w:r>
          </w:p>
        </w:tc>
      </w:tr>
      <w:tr w14:paraId="3705F5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C37926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预算执行情况（10分）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7CD1BA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年度预算数（万元）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AFC22B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年初预算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B258FA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调整后预算数</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F26AF8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预算执行数</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C15107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E9EA5D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7A3D55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A152BF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原因</w:t>
            </w:r>
          </w:p>
        </w:tc>
      </w:tr>
      <w:tr w14:paraId="43AFFA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EB536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FE273F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总额</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BD99AE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44E845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1.97</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82590D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1.97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9A94D2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FD3D08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FF6342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FBB02C0">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795D03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A0821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51A52E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其中：财政资金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E40CB5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5F7E7D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1.97</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28E329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1.97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2FD417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955CD0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6C337F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DF4DAB">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6E73DB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7"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48D20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108A96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财政专户管理资金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0BC383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B62162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5F0F51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CE7E28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525C64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58AFE3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A0D9C7">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788E10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09D9E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513BBD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单位资金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A06853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88BB5A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18D4B1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37A337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FDD0FA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F5075E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C45DB2">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7A7AEC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83916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12778D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其他资金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8A96DB3">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C669022">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CC78C2A">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3111934">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C12674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B982D8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D673C4">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4A8810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A13DAA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绩效指标（90分）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253105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一级指标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0AC74B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二级指标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1A8425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三级指标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7ACC9C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指标性质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BDB23B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9288CC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度量单位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1C5BEF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完成值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1842E1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D7C9FA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2432BA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未完成原因分析</w:t>
            </w:r>
          </w:p>
        </w:tc>
      </w:tr>
      <w:tr w14:paraId="644CF8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78"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8F372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4BCE77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产出指标</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F6EDB2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数量指标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1BBBA6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指标1：组织召开现代物流发展趋势与广元产业高质量发展专题讲座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D5B15F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F2DF15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FB56B8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场</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5FE5B83">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F3C533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FA6B32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9F5662E">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w:t>
            </w:r>
          </w:p>
        </w:tc>
      </w:tr>
      <w:tr w14:paraId="6B5BBD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43393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1639F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4271F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B6B45B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指标2：邀请专家</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F5F04E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0B0D3A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6C8DC0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人</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E1FA626">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0523C0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F8CEFB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B5A804D">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w:t>
            </w:r>
          </w:p>
        </w:tc>
      </w:tr>
      <w:tr w14:paraId="492A97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978F8D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92E24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C8DE7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C245F0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指标3：参会人数</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26BBCE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3AFEBF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E47029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人</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5474033">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518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51350B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5078CB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AB56BC7">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w:t>
            </w:r>
          </w:p>
        </w:tc>
      </w:tr>
      <w:tr w14:paraId="134BFD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BE286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8EE8F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C3DA37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质量指标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B3FB19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指标1：会议质量</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737245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A376EE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成功组织召开。</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524533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409B3CF">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已于2023年5月23日举办。</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8B8A54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549735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3CB520F">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w:t>
            </w:r>
          </w:p>
        </w:tc>
      </w:tr>
      <w:tr w14:paraId="7D6A51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F9E3AF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E2D3B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9188A1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时效指标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C6C230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指标1：完成时间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9A1EEB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5DDBA6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62A18F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月</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57BCA28">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已于2023年5月23日举办。</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341437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B007C3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7F86B1D">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w:t>
            </w:r>
          </w:p>
        </w:tc>
      </w:tr>
      <w:tr w14:paraId="5FB3A9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13"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A3BEE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3ECAC2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A69759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经济效益指标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8D8FFF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指标1：统一思想凝聚共识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B55497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F77F51D">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通过讲座进一步统一全市领导干部思想，凝聚发展现代物流共识，增强开展现代物流工作能力和水平。</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8A410C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044003A">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已完成，通过此次讲座，进一步统一了全市领导干部思想，凝聚了发展现代物流共识，增强了开展现代物流工作能力和水平。</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26038F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7E304B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2543BAF">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w:t>
            </w:r>
          </w:p>
        </w:tc>
      </w:tr>
      <w:tr w14:paraId="4C46F3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13"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3C90C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E6226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AD3309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社会效益指标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9A71EA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指标1：促进广元现代物流高质量发展</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884E4F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8F9008F">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国家发展改革委综合运输研究所所长汪明作“现代物流发展趋势与广元产业高质量发展”专题讲座，分析了当前现代物流前沿趋势并对我市现代物流高质量发展工作提出建议和指导，为下步工作指明方向。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DEE82B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E95636B">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邀请到国家发展改革委综合运输研究所所长汪明作“现代物流发展趋势与广元产业高质量发展”专题讲座，分析了当前现代物流前沿趋势并对我市现代物流高质量发展工作提出建议和指导，为我市下步工作指明了方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C62E15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053CC2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0BA903C">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w:t>
            </w:r>
          </w:p>
        </w:tc>
      </w:tr>
      <w:tr w14:paraId="18AE5B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D688C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490155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满意度指标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E59506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满意度指标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1E0E28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指标1：参会人员满意度</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DA9AD8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EE1DE1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95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FC54FC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C8F89FF">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B54D96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F5971D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628D765">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w:t>
            </w:r>
          </w:p>
        </w:tc>
      </w:tr>
      <w:tr w14:paraId="566EED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280A550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合计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C09422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9BA69E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0A3F079">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08FB06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3"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37F745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评价结论</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2E72C476">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2023年5月23日，市委组织部、市发展改革委组织承办了第68期蜀道大讲堂，邀请了国家发展改革委综合运输研究所所长汪鸣作“现代物流发展趋势与广元产业高质量发展”专题讲座，主会场市级有关部门518人参会，各县区设立分会场，讲座取得预期成效。自评得分100分。</w:t>
            </w:r>
          </w:p>
        </w:tc>
      </w:tr>
      <w:tr w14:paraId="21A4A2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B2CE29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存在问题</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7459E959">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w:t>
            </w:r>
          </w:p>
        </w:tc>
      </w:tr>
      <w:tr w14:paraId="17D334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3"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CCB266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改进措施</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078C03EF">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w:t>
            </w:r>
          </w:p>
        </w:tc>
      </w:tr>
      <w:tr w14:paraId="20C774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5F3D836">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w:t>
            </w:r>
          </w:p>
        </w:tc>
        <w:tc>
          <w:tcPr>
            <w:tcW w:w="0" w:type="auto"/>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A3AF076">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w:t>
            </w:r>
          </w:p>
        </w:tc>
      </w:tr>
      <w:tr w14:paraId="422822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tcBorders>
              <w:top w:val="nil"/>
              <w:left w:val="nil"/>
              <w:bottom w:val="nil"/>
              <w:right w:val="nil"/>
            </w:tcBorders>
            <w:shd w:val="clear" w:color="auto" w:fill="auto"/>
            <w:vAlign w:val="center"/>
          </w:tcPr>
          <w:p w14:paraId="4B0B894E">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545B219E">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0D0AE2DF">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31A7E6CA">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5B8089F4">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62AAE75F">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728EC948">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5B45389E">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1CA8B84F">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7D43F2C0">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6B3AC63B">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2A604F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0" w:type="auto"/>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1B620FE6">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部门预算项目支出绩效自评表（2023年度）</w:t>
            </w:r>
          </w:p>
        </w:tc>
      </w:tr>
      <w:tr w14:paraId="5B14BA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FA289AB">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项目名称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49901FF9">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51080023T000009728916-市清洁能源产业专班工作经费</w:t>
            </w:r>
          </w:p>
        </w:tc>
      </w:tr>
      <w:tr w14:paraId="0D7C6B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2"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6EFAEEE">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主管部门</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4605160">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广元市发展和改革委员会部门</w:t>
            </w:r>
          </w:p>
        </w:tc>
        <w:tc>
          <w:tcPr>
            <w:tcW w:w="0" w:type="auto"/>
            <w:tcBorders>
              <w:top w:val="nil"/>
              <w:left w:val="nil"/>
              <w:bottom w:val="nil"/>
              <w:right w:val="nil"/>
            </w:tcBorders>
            <w:shd w:val="clear" w:color="auto" w:fill="auto"/>
            <w:vAlign w:val="center"/>
          </w:tcPr>
          <w:p w14:paraId="0CADFF37">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D94393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w:t>
            </w:r>
          </w:p>
        </w:tc>
      </w:tr>
      <w:tr w14:paraId="446211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2982ECC">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项目基本情况</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0921291">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1.项目年度目标完成情况</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DF9976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项目年度目标</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2E3BB6F5">
            <w:pPr>
              <w:keepNext w:val="0"/>
              <w:keepLines w:val="0"/>
              <w:widowControl/>
              <w:suppressLineNumbers w:val="0"/>
              <w:spacing w:before="0" w:beforeAutospacing="0" w:after="0" w:afterAutospacing="0"/>
              <w:ind w:left="0" w:right="0"/>
              <w:jc w:val="center"/>
              <w:textAlignment w:val="center"/>
              <w:rPr>
                <w:rFonts w:hint="eastAsia" w:ascii="黑体" w:hAnsi="黑体" w:eastAsia="黑体" w:cs="黑体"/>
                <w:i w:val="0"/>
                <w:iCs w:val="0"/>
                <w:color w:val="FF0000"/>
                <w:sz w:val="18"/>
                <w:szCs w:val="18"/>
                <w:u w:val="none"/>
              </w:rPr>
            </w:pPr>
            <w:r>
              <w:rPr>
                <w:rFonts w:hint="eastAsia" w:ascii="黑体" w:hAnsi="黑体" w:eastAsia="黑体" w:cs="黑体"/>
                <w:i w:val="0"/>
                <w:iCs w:val="0"/>
                <w:color w:val="FF0000"/>
                <w:kern w:val="0"/>
                <w:sz w:val="18"/>
                <w:szCs w:val="18"/>
                <w:u w:val="none"/>
                <w:lang w:val="en-US" w:eastAsia="zh-CN" w:bidi="ar"/>
              </w:rPr>
              <w:t>年度目标完成情况</w:t>
            </w:r>
          </w:p>
        </w:tc>
      </w:tr>
      <w:tr w14:paraId="34E88D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2BA73B">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553212">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2798477B">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根据广元市清洁能源产业专班关于印发《广元市清洁能源产业2023年工作要点》的通知要求，2023年，确保双鱼石、九龙山、永宁、元坝四大净化厂稳产达产，加快四川能投广元燃机工程等天然气项目建设，建成投产八庙沟水电站，开工建设广坪、西庙、碗泉等风电项目。力争2023年培育新进规企业1家，洽谈项目10个以上，签约项目2个以上，新开工项目5个，完工项目1个。</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65E4E3B5">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依托境内九龙山、龙岗西、双鱼石、元坝四大气田，建成天然气净化厂4座，产能60亿立方米，2023年全市天然气产量突破50亿立方米。四川能投广元燃机工程等天然气项目加快建设，八庙沟水电站已建成投产，广坪、西庙、碗泉等风电项目施工建设完毕。新签约项目16个、新开工项目21个、新竣工项目7个、盘活问题项目2个。</w:t>
            </w:r>
          </w:p>
        </w:tc>
      </w:tr>
      <w:tr w14:paraId="29B870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0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0DFEEB">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A6F1C71">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2.项目实施内容及过程概述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0C6393FA">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加快推进四川能投广元燃机工程、亭子口宝珠寺水风光互补开发、昭化白果二期风电等项目建设，加快推进嘉陵江八庙沟水电站阶段性验收</w:t>
            </w:r>
            <w:r>
              <w:rPr>
                <w:rFonts w:hint="eastAsia" w:ascii="宋体" w:hAnsi="宋体" w:cs="宋体"/>
                <w:i w:val="0"/>
                <w:iCs w:val="0"/>
                <w:color w:val="000000"/>
                <w:kern w:val="0"/>
                <w:sz w:val="18"/>
                <w:szCs w:val="18"/>
                <w:u w:val="none"/>
                <w:lang w:val="en-US" w:eastAsia="zh-CN" w:bidi="ar"/>
              </w:rPr>
              <w:t>，</w:t>
            </w:r>
            <w:r>
              <w:rPr>
                <w:rFonts w:hint="default" w:ascii="宋体" w:hAnsi="宋体" w:eastAsia="宋体" w:cs="宋体"/>
                <w:i w:val="0"/>
                <w:iCs w:val="0"/>
                <w:color w:val="000000"/>
                <w:kern w:val="0"/>
                <w:sz w:val="18"/>
                <w:szCs w:val="18"/>
                <w:u w:val="none"/>
                <w:lang w:val="en-US" w:eastAsia="zh-CN" w:bidi="ar"/>
              </w:rPr>
              <w:t>强力推进中煤广元煤电一体化项目，加快推进广汇四川广元综合物流基地建设，全力推进新疆能源西南煤炭调拨中心、中煤广元煤炭储备基地开工建设，推荐利州区龙池山、旺苍县天星、苍溪县漓江抽水蓄能项目尽快纳入规划，争取国家石油储备基地落地广元，加快羊木航油配送中心项目建设。加快旺苍嘉川煤化工园区认定，加快建设成渝地区能源安全保障基地。</w:t>
            </w:r>
          </w:p>
        </w:tc>
      </w:tr>
      <w:tr w14:paraId="691773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755C71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预算执行情况（10分）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FB462F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年度预算数（万元）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58F32E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年初预算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6387B9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调整后预算数</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447D6F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预算执行数</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E337C9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84C73E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50A16E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74D1E6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原因</w:t>
            </w:r>
          </w:p>
        </w:tc>
      </w:tr>
      <w:tr w14:paraId="7053C7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238EA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8CC991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总额</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9A7912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965C15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30.00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CED804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15.20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4C6F71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50.67%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EA51B7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452563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A147555">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50B2AA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4A3BB6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7D0EC0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其中：财政资金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FD72C4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A5C364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30.00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C0178A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15.20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F415F4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50.67%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C81CA6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4AEAAC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FF0539">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336BC9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7"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B1EFF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465F0D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财政专户管理资金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E80AD4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5690D5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3E566E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E85734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050F23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337716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5F5F80">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2E73C8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96D4A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52F7A1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单位资金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A66464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93316D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BABF12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C93869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EE4F25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424448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A5716B">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745AE8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F11483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F733A6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其他资金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562BE1B">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2F79CF4">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9A97231">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1583344">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6B2DEF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D638E2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D2D8B7">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42758D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C8539B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绩效指标（90分）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673550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一级指标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58AD2B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二级指标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2FE9A5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三级指标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6187F1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指标性质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CABA2B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5F5244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度量单位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4C25FF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完成值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75C07C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EC7E3D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E01E24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未完成原因分析</w:t>
            </w:r>
          </w:p>
        </w:tc>
      </w:tr>
      <w:tr w14:paraId="1422F9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CD408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053065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产出指标</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5934BB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数量指标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CBF8E4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指标3：签约项目</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01EDD7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A2822F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24736E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1C3E8E6">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val="0"/>
                <w:iCs w:val="0"/>
                <w:color w:val="000000"/>
                <w:sz w:val="16"/>
                <w:szCs w:val="16"/>
                <w:u w:val="none"/>
              </w:rPr>
            </w:pPr>
            <w:r>
              <w:rPr>
                <w:rFonts w:hint="eastAsia" w:ascii="微软雅黑" w:hAnsi="微软雅黑" w:eastAsia="微软雅黑" w:cs="微软雅黑"/>
                <w:i w:val="0"/>
                <w:iCs w:val="0"/>
                <w:color w:val="000000"/>
                <w:kern w:val="0"/>
                <w:sz w:val="16"/>
                <w:szCs w:val="16"/>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F10C2A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9DD550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6F4FB4B">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0226EE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791C2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D01C2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F7EA7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7A5DB5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指标2：洽谈项目</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9036BC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FE0E27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1AB92F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68E6B68">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val="0"/>
                <w:iCs w:val="0"/>
                <w:color w:val="000000"/>
                <w:sz w:val="16"/>
                <w:szCs w:val="16"/>
                <w:u w:val="none"/>
              </w:rPr>
            </w:pPr>
            <w:r>
              <w:rPr>
                <w:rFonts w:hint="eastAsia" w:ascii="微软雅黑" w:hAnsi="微软雅黑" w:eastAsia="微软雅黑" w:cs="微软雅黑"/>
                <w:i w:val="0"/>
                <w:iCs w:val="0"/>
                <w:color w:val="000000"/>
                <w:kern w:val="0"/>
                <w:sz w:val="16"/>
                <w:szCs w:val="16"/>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583694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A6B983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216D786">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277BCF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F8811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F5FB6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2090E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F50486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指标1：培育新进规企业</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B8D112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F10798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B39160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家</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BE7CA20">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val="0"/>
                <w:iCs w:val="0"/>
                <w:color w:val="000000"/>
                <w:sz w:val="16"/>
                <w:szCs w:val="16"/>
                <w:u w:val="none"/>
              </w:rPr>
            </w:pPr>
            <w:r>
              <w:rPr>
                <w:rFonts w:hint="eastAsia" w:ascii="微软雅黑" w:hAnsi="微软雅黑" w:eastAsia="微软雅黑" w:cs="微软雅黑"/>
                <w:i w:val="0"/>
                <w:iCs w:val="0"/>
                <w:color w:val="000000"/>
                <w:kern w:val="0"/>
                <w:sz w:val="16"/>
                <w:szCs w:val="16"/>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43DDCF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9CE04F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DD54B52">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0B47C7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D4133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A8EB9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12F1DD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质量指标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44C0B1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指标1：项目推进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59FF23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30A519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顺利推进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B3307A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A2AE3C4">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val="0"/>
                <w:iCs w:val="0"/>
                <w:color w:val="000000"/>
                <w:sz w:val="16"/>
                <w:szCs w:val="16"/>
                <w:u w:val="none"/>
              </w:rPr>
            </w:pPr>
            <w:r>
              <w:rPr>
                <w:rFonts w:hint="eastAsia" w:ascii="微软雅黑" w:hAnsi="微软雅黑" w:eastAsia="微软雅黑" w:cs="微软雅黑"/>
                <w:i w:val="0"/>
                <w:iCs w:val="0"/>
                <w:color w:val="000000"/>
                <w:kern w:val="0"/>
                <w:sz w:val="16"/>
                <w:szCs w:val="16"/>
                <w:u w:val="none"/>
                <w:lang w:val="en-US" w:eastAsia="zh-CN" w:bidi="ar"/>
              </w:rPr>
              <w:t>按计划推进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FD11DA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543084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3EA5D5A">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6D2765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363DF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05FF6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0F77CE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时效指标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A5EEA7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指标1：完成时间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C707EF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C9CC37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44D5B3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月</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FFA5EE7">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val="0"/>
                <w:iCs w:val="0"/>
                <w:color w:val="000000"/>
                <w:sz w:val="16"/>
                <w:szCs w:val="16"/>
                <w:u w:val="none"/>
              </w:rPr>
            </w:pPr>
            <w:r>
              <w:rPr>
                <w:rFonts w:hint="eastAsia" w:ascii="微软雅黑" w:hAnsi="微软雅黑" w:eastAsia="微软雅黑" w:cs="微软雅黑"/>
                <w:i w:val="0"/>
                <w:iCs w:val="0"/>
                <w:color w:val="000000"/>
                <w:kern w:val="0"/>
                <w:sz w:val="16"/>
                <w:szCs w:val="16"/>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A8A2BC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642DC7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893F4B6">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722B8D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57"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784EE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EA07D1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DCFD25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经济效益指标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C8E3FB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指标1：建成成渝地区能源安全保障基地</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B4A68F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338ABF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加快推进四川能投广元燃机工程、亭子口宝珠寺水风光互补开发、昭化白果二期风电等项目建设，加快推进嘉陵江八庙沟水电站阶段性验收</w:t>
            </w:r>
            <w:r>
              <w:rPr>
                <w:rFonts w:hint="eastAsia" w:ascii="宋体" w:hAnsi="宋体" w:cs="宋体"/>
                <w:i w:val="0"/>
                <w:iCs w:val="0"/>
                <w:color w:val="000000"/>
                <w:kern w:val="0"/>
                <w:sz w:val="18"/>
                <w:szCs w:val="18"/>
                <w:u w:val="none"/>
                <w:lang w:val="en-US" w:eastAsia="zh-CN" w:bidi="ar"/>
              </w:rPr>
              <w:t>，</w:t>
            </w:r>
            <w:r>
              <w:rPr>
                <w:rFonts w:hint="default" w:ascii="宋体" w:hAnsi="宋体" w:eastAsia="宋体" w:cs="宋体"/>
                <w:i w:val="0"/>
                <w:iCs w:val="0"/>
                <w:color w:val="000000"/>
                <w:kern w:val="0"/>
                <w:sz w:val="18"/>
                <w:szCs w:val="18"/>
                <w:u w:val="none"/>
                <w:lang w:val="en-US" w:eastAsia="zh-CN" w:bidi="ar"/>
              </w:rPr>
              <w:t>强力推进中煤广元煤电一体化项目，加快推进广汇四川广元综合物流基地建设，全力推进新疆能源西南煤炭调拨中心、中煤广元煤炭储备基地开工建设，推荐利州区龙池山、旺苍县天星、苍溪县漓江抽水蓄能项目尽快纳入规划，争取国家石油储备基地落地广元，加快羊木航油配送中心项目建设。加快旺苍嘉川煤化工园区认定，加快建设成渝地区能源安全保障基地。</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F48C8F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29466DB">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val="0"/>
                <w:iCs w:val="0"/>
                <w:color w:val="000000"/>
                <w:sz w:val="16"/>
                <w:szCs w:val="16"/>
                <w:u w:val="none"/>
              </w:rPr>
            </w:pPr>
            <w:r>
              <w:rPr>
                <w:rFonts w:hint="eastAsia" w:ascii="微软雅黑" w:hAnsi="微软雅黑" w:eastAsia="微软雅黑" w:cs="微软雅黑"/>
                <w:i w:val="0"/>
                <w:iCs w:val="0"/>
                <w:color w:val="000000"/>
                <w:kern w:val="0"/>
                <w:sz w:val="16"/>
                <w:szCs w:val="16"/>
                <w:u w:val="none"/>
                <w:lang w:val="en-US" w:eastAsia="zh-CN" w:bidi="ar"/>
              </w:rPr>
              <w:t>新签约项目16个、新开工项目21个、新竣工项目7个、盘活问题项目2个。总投资73亿元、装机容量200万千瓦的中煤广元燃煤发电项目于7月20日获得省发展改革委核准，是全省“十三五”以来核准的首个煤电项目；加快推进总投资32.8亿元、装机容量140万千瓦的四川能投广元燃机工程，目前已完成主体工程建设，累计完成投资22亿元，计划2024年6月并网发电。有序推进风电项目，昭化白果二期和剑阁天台山三期已并网发电，黄蛟山、广坪、西庙、碗泉项目正加快建设，七里山风电项目获省发展改革委核准。巩固水电重要支撑作用，嘉陵江八庙沟水电项目完成阶段验收，并于9月份顺利实现并网发电；利州区龙池山、苍溪县漓江、旺苍县天星等三座抽水蓄能项目已初步纳入全省规划。加快天然气勘探开发利用，西南地区第一口万米科学探索井—深地川科1井在剑阁县开钻，中贵线与元坝-普光联通工程于5月份实现竣工投产，元坝气田资源化水处理系统扩容工程项目于8月份实现开工。加快电网项目建设，昭化500千伏变电站主变增容扩建项目于5月份建成投运，广元青川220kV输变电工程、青川220千伏变电站110千伏配套工程、广元昭化城东110kV输变电工程均已核准，苍溪经开区产业园220千伏输变电工程已转报省发展改革委待核准。新疆广汇100万吨煤炭储备基地项目加快建设；75万吨中煤广元煤炭储备基地项目已上报国家发改委，争取纳入中央煤炭储备体系建设；300万吨石油储备基地项目已通过专家评审，正积极争取国家纳入规划。</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B01764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ACBD53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834BFD9">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441268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4040D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06916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565217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社会效益指标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FBF886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指标1：助力“双碳”目标实现</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DC0289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1CADC71">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加快新能源项目建设，提高清洁能源占比，优化能源结构。</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5201B6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CAFEDEA">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val="0"/>
                <w:iCs w:val="0"/>
                <w:color w:val="000000"/>
                <w:sz w:val="16"/>
                <w:szCs w:val="16"/>
                <w:u w:val="none"/>
              </w:rPr>
            </w:pPr>
            <w:r>
              <w:rPr>
                <w:rFonts w:hint="eastAsia" w:ascii="微软雅黑" w:hAnsi="微软雅黑" w:eastAsia="微软雅黑" w:cs="微软雅黑"/>
                <w:i w:val="0"/>
                <w:iCs w:val="0"/>
                <w:color w:val="000000"/>
                <w:kern w:val="0"/>
                <w:sz w:val="16"/>
                <w:szCs w:val="16"/>
                <w:u w:val="none"/>
                <w:lang w:val="en-US" w:eastAsia="zh-CN" w:bidi="ar"/>
              </w:rPr>
              <w:t>我市并网发电装机容量336.47万千瓦，清洁能源占比100%。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A5B60D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8B90C5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CB73267">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4CFBC4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0F49F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0B4C5B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满意度指标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123B34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满意度指标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AC8100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指标1：社会满意度</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83F386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BE106B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95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723123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CB405D7">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val="0"/>
                <w:iCs w:val="0"/>
                <w:color w:val="000000"/>
                <w:sz w:val="16"/>
                <w:szCs w:val="16"/>
                <w:u w:val="none"/>
              </w:rPr>
            </w:pPr>
            <w:r>
              <w:rPr>
                <w:rFonts w:hint="eastAsia" w:ascii="微软雅黑" w:hAnsi="微软雅黑" w:eastAsia="微软雅黑" w:cs="微软雅黑"/>
                <w:i w:val="0"/>
                <w:iCs w:val="0"/>
                <w:color w:val="000000"/>
                <w:kern w:val="0"/>
                <w:sz w:val="16"/>
                <w:szCs w:val="16"/>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548D70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32D0FA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2B3A062">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1C186B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325F654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合计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B6998C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2BAC48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5F811BB">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0561B9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3"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846DE4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评价结论</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326C1458">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val="0"/>
                <w:iCs w:val="0"/>
                <w:color w:val="000000"/>
                <w:sz w:val="16"/>
                <w:szCs w:val="16"/>
                <w:u w:val="none"/>
              </w:rPr>
            </w:pPr>
            <w:r>
              <w:rPr>
                <w:rFonts w:hint="eastAsia" w:ascii="微软雅黑" w:hAnsi="微软雅黑" w:eastAsia="微软雅黑" w:cs="微软雅黑"/>
                <w:i w:val="0"/>
                <w:iCs w:val="0"/>
                <w:color w:val="000000"/>
                <w:kern w:val="0"/>
                <w:sz w:val="16"/>
                <w:szCs w:val="16"/>
                <w:u w:val="none"/>
                <w:lang w:val="en-US" w:eastAsia="zh-CN" w:bidi="ar"/>
              </w:rPr>
              <w:t>项目评价总分100分，项目决策程序严密、项目规划论证符合国家项目建设管理要求，项目绩效目标设置科学合理、项目资金与项目总体规划、相关行业事业发展相匹配，聚焦重大任务、重点领域、重点环节和重点项目。</w:t>
            </w:r>
          </w:p>
        </w:tc>
      </w:tr>
      <w:tr w14:paraId="679A96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6826A9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存在问题</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5E5E3C9D">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val="0"/>
                <w:iCs w:val="0"/>
                <w:color w:val="000000"/>
                <w:sz w:val="16"/>
                <w:szCs w:val="16"/>
                <w:u w:val="none"/>
              </w:rPr>
            </w:pPr>
            <w:r>
              <w:rPr>
                <w:rFonts w:hint="eastAsia" w:ascii="微软雅黑" w:hAnsi="微软雅黑" w:eastAsia="微软雅黑" w:cs="微软雅黑"/>
                <w:i w:val="0"/>
                <w:iCs w:val="0"/>
                <w:color w:val="000000"/>
                <w:kern w:val="0"/>
                <w:sz w:val="16"/>
                <w:szCs w:val="16"/>
                <w:u w:val="none"/>
                <w:lang w:val="en-US" w:eastAsia="zh-CN" w:bidi="ar"/>
              </w:rPr>
              <w:t>无</w:t>
            </w:r>
          </w:p>
        </w:tc>
      </w:tr>
      <w:tr w14:paraId="72AFED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3"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712564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改进措施</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70971217">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val="0"/>
                <w:iCs w:val="0"/>
                <w:color w:val="000000"/>
                <w:sz w:val="16"/>
                <w:szCs w:val="16"/>
                <w:u w:val="none"/>
              </w:rPr>
            </w:pPr>
            <w:r>
              <w:rPr>
                <w:rFonts w:hint="eastAsia" w:ascii="微软雅黑" w:hAnsi="微软雅黑" w:eastAsia="微软雅黑" w:cs="微软雅黑"/>
                <w:i w:val="0"/>
                <w:iCs w:val="0"/>
                <w:color w:val="000000"/>
                <w:kern w:val="0"/>
                <w:sz w:val="16"/>
                <w:szCs w:val="16"/>
                <w:u w:val="none"/>
                <w:lang w:val="en-US" w:eastAsia="zh-CN" w:bidi="ar"/>
              </w:rPr>
              <w:t>无</w:t>
            </w:r>
          </w:p>
        </w:tc>
      </w:tr>
      <w:tr w14:paraId="2636AA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5E78B4BD">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w:t>
            </w:r>
          </w:p>
        </w:tc>
        <w:tc>
          <w:tcPr>
            <w:tcW w:w="0" w:type="auto"/>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8F5AE9A">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w:t>
            </w:r>
          </w:p>
        </w:tc>
      </w:tr>
      <w:tr w14:paraId="43E762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tcBorders>
              <w:top w:val="nil"/>
              <w:left w:val="nil"/>
              <w:bottom w:val="nil"/>
              <w:right w:val="nil"/>
            </w:tcBorders>
            <w:shd w:val="clear" w:color="auto" w:fill="auto"/>
            <w:vAlign w:val="center"/>
          </w:tcPr>
          <w:p w14:paraId="5320651E">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77EC020B">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0D5AB2C9">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24777876">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0DCB4603">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05DB710A">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2AB83543">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241B17CB">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33531812">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3053288E">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0DD406B0">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6733CD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0" w:type="auto"/>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544741D4">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部门预算项目支出绩效自评表（2023年度）</w:t>
            </w:r>
          </w:p>
        </w:tc>
      </w:tr>
      <w:tr w14:paraId="5C87DE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A13A18D">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项目名称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38C38D18">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51080024T000010575453-县域经济学会年度会费、服务费</w:t>
            </w:r>
          </w:p>
        </w:tc>
      </w:tr>
      <w:tr w14:paraId="0A38AA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2"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A51C6E4">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主管部门</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72ADC16E">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广元市发展和改革委员会部门</w:t>
            </w:r>
          </w:p>
        </w:tc>
        <w:tc>
          <w:tcPr>
            <w:tcW w:w="0" w:type="auto"/>
            <w:tcBorders>
              <w:top w:val="nil"/>
              <w:left w:val="nil"/>
              <w:bottom w:val="nil"/>
              <w:right w:val="nil"/>
            </w:tcBorders>
            <w:shd w:val="clear" w:color="auto" w:fill="auto"/>
            <w:vAlign w:val="center"/>
          </w:tcPr>
          <w:p w14:paraId="58A5FF65">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BFE197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w:t>
            </w:r>
          </w:p>
        </w:tc>
      </w:tr>
      <w:tr w14:paraId="0363EC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4AE95DA">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项目基本情况</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AA0B415">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1.项目年度目标完成情况</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0AE733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项目年度目标</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708E4CC2">
            <w:pPr>
              <w:keepNext w:val="0"/>
              <w:keepLines w:val="0"/>
              <w:widowControl/>
              <w:suppressLineNumbers w:val="0"/>
              <w:spacing w:before="0" w:beforeAutospacing="0" w:after="0" w:afterAutospacing="0"/>
              <w:ind w:left="0" w:right="0"/>
              <w:jc w:val="center"/>
              <w:textAlignment w:val="center"/>
              <w:rPr>
                <w:rFonts w:hint="eastAsia" w:ascii="黑体" w:hAnsi="黑体" w:eastAsia="黑体" w:cs="黑体"/>
                <w:i w:val="0"/>
                <w:iCs w:val="0"/>
                <w:color w:val="FF0000"/>
                <w:sz w:val="18"/>
                <w:szCs w:val="18"/>
                <w:u w:val="none"/>
              </w:rPr>
            </w:pPr>
            <w:r>
              <w:rPr>
                <w:rFonts w:hint="eastAsia" w:ascii="黑体" w:hAnsi="黑体" w:eastAsia="黑体" w:cs="黑体"/>
                <w:i w:val="0"/>
                <w:iCs w:val="0"/>
                <w:color w:val="FF0000"/>
                <w:kern w:val="0"/>
                <w:sz w:val="18"/>
                <w:szCs w:val="18"/>
                <w:u w:val="none"/>
                <w:lang w:val="en-US" w:eastAsia="zh-CN" w:bidi="ar"/>
              </w:rPr>
              <w:t>年度目标完成情况</w:t>
            </w:r>
          </w:p>
        </w:tc>
      </w:tr>
      <w:tr w14:paraId="02D574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9CE26F">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237254">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27C55CB4">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为推动县域经济高质量发展，我市与四川省县域经济学会建立了长期合作关系，我市担任省县域经济学会常务理事单位，每年与其签订服务协议，为我市在其主办的《当代县域经济》《县域经济》杂志上刊发我市城市形象广告，宣传报道我市县域经济发展，为我市提供专家咨询调研等服务。</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321DC0FA">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一是开展调研活动。今年2月28日至3月1日，四川省县域经济学会会长、省委省政府决咨委副主任唐利民和学会名誉会长张成明率队来我市调研，并召开盆周山区县域经济高质量发展和国家森林步道建设剑阁峰会筹备情况座谈会。市委书记何树平参加相关活动。二是跟进对接我市及各县（区）宣传工作，对全市经济社会发展及其工作举措进行常态化宣传。三是将我市城市名片每期固定刊发在《当代县域经济》《县域经济》杂志重点调研基地栏目内12次。四是在《当代县域经济》《县域经济》杂志刊登我市形象宣传共2次。五是《当代县域经济》《县域经济》杂志刊登记者采写的广元市深度专题图文报道2次。六是在当代县域经济杂志官方网站首页，全年固定发布我市及各县（区）形象宣传片。七是在四川县域经济网、当代县域经济杂志官方网站、微信、微博及时发布我市图文报道稿件52件。八是省县域经济学会会同有关省厅主办产业园区建设等经济发展有关论坛讲座，助推县域经济发展。九是组织权威专家开展有针对性的经济社会发展课题研究1次。</w:t>
            </w:r>
          </w:p>
        </w:tc>
      </w:tr>
      <w:tr w14:paraId="1C66587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93"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E2CD6A">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5CF1299">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2.项目实施内容及过程概述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598F3CE6">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县域经济学会会长带队来广调研并召开座谈会，对我市县域经济发展提供咨询服务。学会记者实地考察采访县域经济发展情况并进行图文报道报道。旗下杂志常年刊登我市城市形象名片，宣传我市经典做法和工作亮点。</w:t>
            </w:r>
          </w:p>
        </w:tc>
      </w:tr>
      <w:tr w14:paraId="3C6B5F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87ACC1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预算执行情况（10分）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B0AF98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年度预算数（万元）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C4F04D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年初预算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29E1EC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调整后预算数</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585FCB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预算执行数</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AEFDC8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85ACBC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8F11B2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8B3155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原因</w:t>
            </w:r>
          </w:p>
        </w:tc>
      </w:tr>
      <w:tr w14:paraId="5536FF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1C125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05B6CE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总额</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144F14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0810F7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11.50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B6A576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11.50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D40E1A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D54E45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9B6F85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0FC46F5">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340046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1C154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E9A825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其中：财政资金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FCC16E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ED1A77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11.50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993AFD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11.50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90817E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B21ED2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894159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48D7EF">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7380C0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7"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40BC3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210829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财政专户管理资金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D5F5A9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A25E23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296178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C6C1C9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DB187E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7DF763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62387A">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7C6500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37F19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28FC25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单位资金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46875F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61A9AC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58B839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E6F724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E2A98D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C12ADC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B738F7">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316D43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6940F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4B4652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其他资金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EF42087">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4F9C54C">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2B41395">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1A7A030">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5640EA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B44DFA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7EDA03">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6BB918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1B7A53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绩效指标（90分）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050633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一级指标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6D1C62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二级指标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7A71E5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三级指标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CE61D2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指标性质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D3804B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ED72FF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度量单位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955424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完成值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60DEF0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87A2DC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3F1189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未完成原因分析</w:t>
            </w:r>
          </w:p>
        </w:tc>
      </w:tr>
      <w:tr w14:paraId="1222B2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EB658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7C9C6A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产出指标</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40FD64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数量指标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BCDA68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指标2：刊登城市形象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5DCB71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6FB158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2B55FD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E3763D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772D96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59372C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2EC61CE">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62F7FC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474EC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8B0F8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CF1B7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AFA997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指标1：专题采访宣传</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FCC4DB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B40938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6BB767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0DCEF7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24049C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2DB955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D8CA9A4">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2B3F8B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410834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48200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6341E8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质量指标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565F8C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指标1：宣传质量</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DA9B05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AD9E9C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唐利民会长带队开展了2天专题调研</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346B7C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16761A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2023年2月，四川省县域经济学会会长、省委省政府决咨委副主唐利民和学会名誉会长张成明率队来我市调研。</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66D634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41D86F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7D47990">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6FA0BE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2DD6B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0FF8E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E9D9C9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时效指标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33CE25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指标1：完成时间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8F800A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7C4109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495F58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月</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CA8E3A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97BCE5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0609C8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DD56965">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0AC9A2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A5500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017541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DB230B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经济效益指标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251B21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指标1：提升我市县域经济影响力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CBE782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26EE1A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在《当代县域经济》杂志2023年第4期刊发广元城市形象名片及形象宣传语。 在《当代县域经济》杂志2023年第5期刊发《【典型案例】厚植根基 中国式现代化广元开篇》，当代县域经济网、微信公众号等媒体同步发布。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421987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0F3BCD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在《当代县域经济》《县域经济》杂志重点调研基地栏目刊发我市城市名片12次，刊登我市形象宣传2次，深度专题图文报道2次，在当代县域经济杂志官方网站首页发布我市及各县（区）形象宣传片，在四川县域经济网、当代县域经济杂志官方网站、微信、微博发布我市图文报道稿件52件。</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DD7D9C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E8C6CB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A95E4F8">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6FF1FA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87"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34CCE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F42F4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BC48BE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社会效益指标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874D8F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指标1：为我市县域经济高质量发展出谋划策</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BD95F5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C43B2B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2023年2月，唐利民会长带队到广元调研盆周山区县域经济高质量发展和国家森林步道建设剑阁峰会筹备有关情况，并在剑阁县召开座谈会，对全市县域经济高质量发展提出了意见建议。</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36C68E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6A8B5B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2023年2月，唐利民会长带队到广元调研盆周山区县域经济高质量发展，并召开盆周山区县域经济高质量发展和国家森林步道建设剑阁峰会筹备情况座谈会。</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7AA431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E7BAAC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55E26AA">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31D5F9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AB3E4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22209D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满意度指标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78EF9B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满意度指标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86D886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w:t>
            </w:r>
            <w:r>
              <w:rPr>
                <w:rFonts w:hint="eastAsia" w:ascii="宋体" w:hAnsi="宋体" w:cs="宋体"/>
                <w:i w:val="0"/>
                <w:iCs w:val="0"/>
                <w:color w:val="000000"/>
                <w:kern w:val="0"/>
                <w:sz w:val="18"/>
                <w:szCs w:val="18"/>
                <w:u w:val="none"/>
                <w:lang w:val="en-US" w:eastAsia="zh-CN" w:bidi="ar"/>
              </w:rPr>
              <w:t>：</w:t>
            </w:r>
            <w:r>
              <w:rPr>
                <w:rFonts w:hint="default" w:ascii="宋体" w:hAnsi="宋体" w:eastAsia="宋体" w:cs="宋体"/>
                <w:i w:val="0"/>
                <w:iCs w:val="0"/>
                <w:color w:val="000000"/>
                <w:kern w:val="0"/>
                <w:sz w:val="18"/>
                <w:szCs w:val="18"/>
                <w:u w:val="none"/>
                <w:lang w:val="en-US" w:eastAsia="zh-CN" w:bidi="ar"/>
              </w:rPr>
              <w:t>社会公众满意度</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05996D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03198C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4CD02D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09574C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94C3D6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CFB1F7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17C498B">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417AEB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F379F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6C2536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成本指标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A3D013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经济成本指标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323B5D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指标1：年度会费、服务费用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F445BA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EC46BA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11.5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78E1BD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E3EFE7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11.5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794DDD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45EB7B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33920FA">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0374EE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13625E5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合计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682620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F3A3FD4">
            <w:pPr>
              <w:keepNext w:val="0"/>
              <w:keepLines w:val="0"/>
              <w:widowControl/>
              <w:suppressLineNumbers w:val="0"/>
              <w:spacing w:before="0" w:beforeAutospacing="0" w:after="0" w:afterAutospacing="0"/>
              <w:ind w:left="0" w:right="0"/>
              <w:jc w:val="righ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A205109">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34AEBD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3"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F19D87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评价结论</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73F7D8C1">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县域经济学会充分发挥其组织优势、智库优势，聚合优势、资政优势，利用专家资源和两刊平台，深入我市一线开展专题调研，积极为我市高质量发展出谋划策。常年刊登广元市城市形象名片及形象宣传语，宣传了我市在高质量发展方面的重要成就，达到了预期效果。自评得分100分。</w:t>
            </w:r>
          </w:p>
        </w:tc>
      </w:tr>
      <w:tr w14:paraId="0C4E6F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0362DF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存在问题</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1A16154D">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无</w:t>
            </w:r>
          </w:p>
        </w:tc>
      </w:tr>
      <w:tr w14:paraId="31FCEE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3"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C02558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改进措施</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48E7250B">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无</w:t>
            </w:r>
          </w:p>
        </w:tc>
      </w:tr>
      <w:tr w14:paraId="591C88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154E1683">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w:t>
            </w:r>
          </w:p>
        </w:tc>
        <w:tc>
          <w:tcPr>
            <w:tcW w:w="0" w:type="auto"/>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A1C7905">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w:t>
            </w:r>
          </w:p>
        </w:tc>
      </w:tr>
      <w:tr w14:paraId="6955B1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tcBorders>
              <w:top w:val="nil"/>
              <w:left w:val="nil"/>
              <w:bottom w:val="nil"/>
              <w:right w:val="nil"/>
            </w:tcBorders>
            <w:shd w:val="clear" w:color="auto" w:fill="auto"/>
            <w:vAlign w:val="center"/>
          </w:tcPr>
          <w:p w14:paraId="497D155F">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72BDFE59">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477AF233">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24D93D86">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442872E9">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76DD1C87">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764E2319">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1FDF2CE2">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0F97E926">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64BE876C">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51CA935D">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249A79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0" w:type="auto"/>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3B08BE45">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部门预算项目支出绩效自评表（2023年度）</w:t>
            </w:r>
          </w:p>
        </w:tc>
      </w:tr>
      <w:tr w14:paraId="4E7EF7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2661AB8">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项目名称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72185159">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51080024T000010789852-广元市现代物流产业培育和对外推荐活动经费</w:t>
            </w:r>
          </w:p>
        </w:tc>
      </w:tr>
      <w:tr w14:paraId="717863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2"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4E0B26A">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主管部门</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52FCDA02">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广元市发展和改革委员会部门</w:t>
            </w:r>
          </w:p>
        </w:tc>
        <w:tc>
          <w:tcPr>
            <w:tcW w:w="0" w:type="auto"/>
            <w:tcBorders>
              <w:top w:val="nil"/>
              <w:left w:val="nil"/>
              <w:bottom w:val="nil"/>
              <w:right w:val="nil"/>
            </w:tcBorders>
            <w:shd w:val="clear" w:color="auto" w:fill="auto"/>
            <w:vAlign w:val="center"/>
          </w:tcPr>
          <w:p w14:paraId="3AC3AF8C">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4CACB0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w:t>
            </w:r>
          </w:p>
        </w:tc>
      </w:tr>
      <w:tr w14:paraId="523DEE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EF4A2E5">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项目基本情况</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8270052">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1.项目年度目标完成情况</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075AB10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项目年度目标</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4AEADA6B">
            <w:pPr>
              <w:keepNext w:val="0"/>
              <w:keepLines w:val="0"/>
              <w:widowControl/>
              <w:suppressLineNumbers w:val="0"/>
              <w:spacing w:before="0" w:beforeAutospacing="0" w:after="0" w:afterAutospacing="0"/>
              <w:ind w:left="0" w:right="0"/>
              <w:jc w:val="center"/>
              <w:textAlignment w:val="center"/>
              <w:rPr>
                <w:rFonts w:hint="eastAsia" w:ascii="黑体" w:hAnsi="黑体" w:eastAsia="黑体" w:cs="黑体"/>
                <w:i w:val="0"/>
                <w:iCs w:val="0"/>
                <w:color w:val="FF0000"/>
                <w:sz w:val="18"/>
                <w:szCs w:val="18"/>
                <w:u w:val="none"/>
              </w:rPr>
            </w:pPr>
            <w:r>
              <w:rPr>
                <w:rFonts w:hint="eastAsia" w:ascii="黑体" w:hAnsi="黑体" w:eastAsia="黑体" w:cs="黑体"/>
                <w:i w:val="0"/>
                <w:iCs w:val="0"/>
                <w:color w:val="FF0000"/>
                <w:kern w:val="0"/>
                <w:sz w:val="18"/>
                <w:szCs w:val="18"/>
                <w:u w:val="none"/>
                <w:lang w:val="en-US" w:eastAsia="zh-CN" w:bidi="ar"/>
              </w:rPr>
              <w:t>年度目标完成情况</w:t>
            </w:r>
          </w:p>
        </w:tc>
      </w:tr>
      <w:tr w14:paraId="6D7620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6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477A96">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8D7325">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21EAD0E3">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搭建交流合作平台，邀请现代物流头部企业及部分生产、贸易龙头企业领导，相关行业协会领导，知名专家，分享物流产业发展的高效管理模式和先进运营经验，推动合作共赢，引领促进全国物流产业高质量发展；聚焦枢纽产业集聚融合与物流园区运营管理、多式联运跨界协作与实体经济降本增效、高铁快运探索创新与适配产业培育发展方面分享成功经验，创新发展思路，探索困难问题解决对策和方案；借助中国物流与采购联合会社会影响力，集聚一批从事生产、贸易和物流的企业、协会到广元考察参会，促成一批企业签约布局广元、投资广元，推进通道优势向经济优势加速转变，助力广元创建国家物流枢纽承载城市，并通过主流权威媒体和专业媒体宣传报道，提升广元知名度和美誉度。</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1B28FC40">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我市依托2023中国（广元）物流产业发展大会召开，扎实开展物流产业培育和对外推荐活动，取得预期效果，圆满实现预期目标，得到社会各界广泛好评，极大提升了广元知名度和影响力，为我市加快发展现代物流产业、加速推进通道优势向经济优势转变，搭建了平台、营造了氛围。</w:t>
            </w:r>
          </w:p>
        </w:tc>
      </w:tr>
      <w:tr w14:paraId="3DD694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3"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C506F3">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E614B90">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2.项目实施内容及过程概述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742935FC">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成立由市委、市政府主要领导任组长的大会筹备工作领导小组，领导小组下设办公室、现场推进组、招商攻坚组、会务工作组、宣传报道组、后勤保障组、安保维稳组“一办六组”，办公室设在市发展改革委，统筹推进日常工作。通过专题研究、项目推进、现场调研、嘉宾邀请、招商洽谈、制定方案、组织会议、编制推介PPT、发言交流等方式，成功举办了2023中国（广元）物流产业发展大会，扎实开展物流产业培育和对外推荐活动。</w:t>
            </w:r>
          </w:p>
        </w:tc>
      </w:tr>
      <w:tr w14:paraId="3DAD06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6F627F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预算执行情况（10分）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B4D77E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年度预算数（万元）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A23B04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年初预算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885A4E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调整后预算数</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726A86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预算执行数</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2FD4B3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BA3849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8FFE10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2262B8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原因</w:t>
            </w:r>
          </w:p>
        </w:tc>
      </w:tr>
      <w:tr w14:paraId="5CBED3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48168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577655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总额</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9A5D38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001B75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27.17</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470501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27.17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3C6EEE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C286BC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24B2C0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F76DA42">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5E7A77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F25647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5908E7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其中：财政资金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C4885A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028176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27.17</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71DE24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27.17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54AD77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38922F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0559E8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0B2A5A">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6CC287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7"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32A3C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0ADB15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财政专户管理资金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192D01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5BD406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5C1E41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CCC9B2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B4C497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69B8D8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E0E995">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1EEB9A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947EB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87FE31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单位资金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707D2E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97AB01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45F263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67BB9A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BD9496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BAF619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3539C5">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595B07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27FE0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AE81D9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其他资金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0B1299E">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FDF7E8F">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263FAAC">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0B8C07F">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2C999C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3802DE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0AB1CC">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484668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9513FC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绩效指标（90分）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84EF0E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一级指标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77743C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二级指标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F39015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三级指标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1E4AEE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指标性质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37634C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BC5464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度量单位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286BAA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完成值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53FEA7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DA32C5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55CFA7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未完成原因分析</w:t>
            </w:r>
          </w:p>
        </w:tc>
      </w:tr>
      <w:tr w14:paraId="61ED7F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A0CDD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2F2610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产出指标</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9D35C1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数量指标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493D08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指标5：合作平台授牌</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A739DB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761303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45EC94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E614150">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434C0D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2A845E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3983937">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w:t>
            </w:r>
          </w:p>
        </w:tc>
      </w:tr>
      <w:tr w14:paraId="5ADECD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ED8AB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F2FB5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B5E38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112468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指标1：召开2023中国（广元）物流产业发展大会</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39503C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5AF281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AE211E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B779FD4">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376AC2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0DE221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0D8D904">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w:t>
            </w:r>
          </w:p>
        </w:tc>
      </w:tr>
      <w:tr w14:paraId="055442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1553D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E26AF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1E4BD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46121A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指标4：签约战略合作协议</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0A8123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28BA4C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70D470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F073F10">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9</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F28248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376CFF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9AB0B3D">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w:t>
            </w:r>
          </w:p>
        </w:tc>
      </w:tr>
      <w:tr w14:paraId="5A6CB3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7CF90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2762C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FEA5D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DB219B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指标3：组织分会场</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FDE1E2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4A9788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9A5E0D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个</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3A3C5FA">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F578FD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13346B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A3FA807">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w:t>
            </w:r>
          </w:p>
        </w:tc>
      </w:tr>
      <w:tr w14:paraId="77E8EF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25967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D4120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6AAA7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77D1C1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指标2：参会人数</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5B7089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1B3C2D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800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E5480B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人</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8A7D08E">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1500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8E8744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6556EE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5386F60">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w:t>
            </w:r>
          </w:p>
        </w:tc>
      </w:tr>
      <w:tr w14:paraId="3B2B5C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584DF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C27BC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D65FE8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质量指标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26A704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指标1：会议规格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5CE46F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FB59EF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与中国物流与采购联合会共同举办并争取国家相关部委出席会议</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AA6135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491CC48">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已完成，大会邀请到国家发展改革委、交通运输局等领导嘉宾到会。</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F03ED1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FC58D7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65A2479">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w:t>
            </w:r>
          </w:p>
        </w:tc>
      </w:tr>
      <w:tr w14:paraId="066C08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FF199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C595E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C45A41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时效指标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D3CA8A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指标1：规定时限</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1E633A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4B9638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3BA82B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月</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787122A">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已完成，已于2023年10月19-20日召开。</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5E8A0C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B47064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C27AE52">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w:t>
            </w:r>
          </w:p>
        </w:tc>
      </w:tr>
      <w:tr w14:paraId="67409F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32B4A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F5192B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797B20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经济效益指标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AEE55E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指标1：项目投资签约</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4916B8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4EA3FE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60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B1EA11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亿元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15A03FD">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549.18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2C5E37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1FC6C7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B0D2C7A">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w:t>
            </w:r>
          </w:p>
        </w:tc>
      </w:tr>
      <w:tr w14:paraId="56986D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302D8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F9ED6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BBDE64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社会效益指标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705E95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指标1：完善基础设施</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7C4645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58414D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促进我市物流基础设施进一步完善，社会民生保障更加健全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E4E47C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F8C70DC">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已完成，广元高铁物流基地动货线工程（一期）、铁路综合物流基地等项目建成投运，海关监管作业场所封关试运行，广元国际铁路物流园多式联运综合服务平台（一期）项目建成投运。</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A8A072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88DA10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9737EE9">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w:t>
            </w:r>
          </w:p>
        </w:tc>
      </w:tr>
      <w:tr w14:paraId="2EB989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6EF06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B7355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6AE5F0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可持续影响指标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ACFEA0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指标1：宣传报道</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091D07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4D8128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中央电视台、四川省电视台报道，各类新闻媒体报道500篇以上</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6A7F95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61F2552">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已完成，刊发转载物流大会有关新闻稿件超过500篇。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2BD7AC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B9D9E4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EED3808">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w:t>
            </w:r>
          </w:p>
        </w:tc>
      </w:tr>
      <w:tr w14:paraId="670A8D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A66A7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87548A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满意度指标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9863B7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满意度指标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7F684D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指标1：与会嘉宾对大会召开效果满意度</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E431A9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D9094A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95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DFDF96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08F4F8F">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已完成，大会成功召开，取得显著成效，圆满实现预期目标，得到社会各界广泛好评，极大提升了广元的知名度和影响力。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B8C998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4B99B3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6220D1F">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w:t>
            </w:r>
          </w:p>
        </w:tc>
      </w:tr>
      <w:tr w14:paraId="24DDEA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6B353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5C4B18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成本指标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699716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经济成本指标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48B582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项目总额预算控制数</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2BD91B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0A6127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271688.6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DEAA93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38C2685">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271688.6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F3FEE0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3DA721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1F9A30D">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w:t>
            </w:r>
          </w:p>
        </w:tc>
      </w:tr>
      <w:tr w14:paraId="603F40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0210D0B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合计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8D9640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955597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B6510CA">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w:t>
            </w:r>
          </w:p>
        </w:tc>
      </w:tr>
      <w:tr w14:paraId="2537AD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2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60131E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评价结论</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38F23FDF">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2023中国（广元）物流产业发展大会成功举办，大会邀请国家部委、省直厅局代表500余人参会，分别与中铁快运股份有限公司等9家行业龙头签订战略合作协议，中煤广元煤炭储备基地、北大荒西南粮食贸易中心等6个功能性平台授牌落地，签约广元·中农智慧物流产业园、川陕甘智慧商贸物流产业园等89个物流产业及关联项目“组团”落地广元，被中国物流与采购联合会授予“全国物流发展创新城市”称号。本次物流产业培育和对外推荐活动得到社会各界广泛好评，极大提升了广元知名度和影响力，为我市加快发展现代物流产业、加速推进通道优势向经济优势转变，搭建了平台、营造了氛围。自评得分100分。</w:t>
            </w:r>
          </w:p>
        </w:tc>
      </w:tr>
      <w:tr w14:paraId="02366BF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138419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存在问题</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2181532B">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w:t>
            </w:r>
          </w:p>
        </w:tc>
      </w:tr>
      <w:tr w14:paraId="7260A9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3"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A9259D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改进措施</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54FC06E0">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w:t>
            </w:r>
          </w:p>
        </w:tc>
      </w:tr>
      <w:tr w14:paraId="67500D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55F02DB4">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w:t>
            </w:r>
          </w:p>
        </w:tc>
        <w:tc>
          <w:tcPr>
            <w:tcW w:w="0" w:type="auto"/>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3604882">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w:t>
            </w:r>
          </w:p>
        </w:tc>
      </w:tr>
      <w:tr w14:paraId="1C71CD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tcBorders>
              <w:top w:val="nil"/>
              <w:left w:val="nil"/>
              <w:bottom w:val="nil"/>
              <w:right w:val="nil"/>
            </w:tcBorders>
            <w:shd w:val="clear" w:color="auto" w:fill="auto"/>
            <w:vAlign w:val="center"/>
          </w:tcPr>
          <w:p w14:paraId="7D52D7B5">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4E13A970">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27E16D17">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4A25D5D6">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2463E5E6">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0B6434BC">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6489E7E8">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4EF6F3D4">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7C38DB44">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34F72C21">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3572F18C">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169D41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0" w:type="auto"/>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2A0D8FBD">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部门预算项目支出绩效自评表（2023年度）</w:t>
            </w:r>
          </w:p>
        </w:tc>
      </w:tr>
      <w:tr w14:paraId="4F37BA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4D7C961">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项目名称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46866DC0">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51080024T000011209851-公务员和急需紧缺专业选调生补助</w:t>
            </w:r>
          </w:p>
        </w:tc>
      </w:tr>
      <w:tr w14:paraId="10AAD8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2"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D9A1239">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主管部门</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252DA26F">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广元市发展和改革委员会部门</w:t>
            </w:r>
          </w:p>
        </w:tc>
        <w:tc>
          <w:tcPr>
            <w:tcW w:w="0" w:type="auto"/>
            <w:tcBorders>
              <w:top w:val="nil"/>
              <w:left w:val="nil"/>
              <w:bottom w:val="nil"/>
              <w:right w:val="nil"/>
            </w:tcBorders>
            <w:shd w:val="clear" w:color="auto" w:fill="auto"/>
            <w:vAlign w:val="center"/>
          </w:tcPr>
          <w:p w14:paraId="7810A875">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B4ED75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w:t>
            </w:r>
          </w:p>
        </w:tc>
      </w:tr>
      <w:tr w14:paraId="6F4533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7FB4E2E">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项目基本情况</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57EE889">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1.项目年度目标完成情况</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071078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项目年度目标</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2B99FDA7">
            <w:pPr>
              <w:keepNext w:val="0"/>
              <w:keepLines w:val="0"/>
              <w:widowControl/>
              <w:suppressLineNumbers w:val="0"/>
              <w:spacing w:before="0" w:beforeAutospacing="0" w:after="0" w:afterAutospacing="0"/>
              <w:ind w:left="0" w:right="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14:paraId="20520D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8"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9814B4">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954F4F">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0EB18AD7">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完成公务员和急需紧缺专业选调生补助发放。</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26737CDA">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完成了公务员和急需紧缺专业选调生补助发放。</w:t>
            </w:r>
          </w:p>
        </w:tc>
      </w:tr>
      <w:tr w14:paraId="2A76AB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3"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F028D2">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C438430">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2.项目实施内容及过程概述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0065C526">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sz w:val="18"/>
                <w:szCs w:val="18"/>
                <w:u w:val="none"/>
              </w:rPr>
              <w:t>严格按照资金下达文件及支付流程进行支付。</w:t>
            </w:r>
          </w:p>
        </w:tc>
      </w:tr>
      <w:tr w14:paraId="1A6179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BE229F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预算执行情况（10分）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E8F4B6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年度预算数（万元）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644456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年初预算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557690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调整后预算数</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75BDCC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预算执行数</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507AAE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FFE3FF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5F616A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45D03E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原因</w:t>
            </w:r>
          </w:p>
        </w:tc>
      </w:tr>
      <w:tr w14:paraId="5EA945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A1FE8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D25120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总额</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0A503A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6A8F96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1.90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6FD7A0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1.90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DD49BA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44507C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16F8BB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054B87E">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2C97D1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20250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ADDD2D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其中：财政资金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5D7D96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C8D9F4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1.90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AFB498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1.90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EFA07F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12A6D5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ABEAC6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981B57">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0E4FF3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7"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129D1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E30953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财政专户管理资金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0969BF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7A7BDC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4D7AC3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E25B6A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D8924F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38991C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A46B2C">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44A7E4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710CF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7DD91C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单位资金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6ABD85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F7E178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A967FF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E69B26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DCE6CE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BE2996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EDA867">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467FB4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FD1A1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3A7B41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其他资金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C472291">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9F34099">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51A8544">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5D8AF50">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CEBF08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F09E82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F05F9C">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3671E9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424648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绩效指标（90分）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221063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一级指标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3F885D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二级指标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5E58D8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三级指标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ED56E0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指标性质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F104F1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B0F7AE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度量单位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E56CB8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完成值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39D170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C2D37D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F57DA8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未完成原因分析</w:t>
            </w:r>
          </w:p>
        </w:tc>
      </w:tr>
      <w:tr w14:paraId="2FA4B2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FB690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5E36F5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产出指标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A123CB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数量指标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B39ED0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指标1：高层次人才安家补助和工作补助发放人数</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0A2C23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645921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128F2B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人</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C8E5629">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CD1B28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CC363B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5D06CF6">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37CFF8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F6046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54498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097EFD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质量指标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4CB918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资金发放到位率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D37550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257EEF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C5FC8C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C5118EF">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AB8335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60C392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B19F162">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423B0A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2B181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4BD4A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775D00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时效指标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336E49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完成时间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2B6D95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67E741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893824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月</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2C6D30C">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D1A2CB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6DD253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66C10B9">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7E18B3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97BF0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EA0138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效益指标</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0A9458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社会效益指标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DABCA8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指标1：提升广元地区高层次人才结构</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AD58C3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60A530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提升广元地区高层次人才结构</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A67568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6E7BBB0">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提升了广元地区高层次人才结构</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00F992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CA4F78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31C8BE1">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22A523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455217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518BC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76F0F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A789D2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指标1：推动地区经济发展</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11F7C4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054AD4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有效推动档地经济高质量发展。</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24BD9A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D4D0D67">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有效的推动档地经济高质量发展。</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F1D989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42A14D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C8CA77C">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507D85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E8608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68AB2D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满意度指标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D42C69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满意度指标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FA8C22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指标1：高层次人才满意度</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832919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70E88A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FD240D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FF96BA0">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754865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4D3A00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57942AC">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7A86CE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94982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9D39A5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成本指标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1E9DC5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经济成本指标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A776C1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指标1：高层次人才安家补助和工作补助</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1D8608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5D6EEF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1.9</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4A74D5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8875354">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1.9</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5EB089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9E1ECD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44648A7">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3F2E4E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6A0C99D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合计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D1AF0C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34EB9AD">
            <w:pPr>
              <w:keepNext w:val="0"/>
              <w:keepLines w:val="0"/>
              <w:widowControl/>
              <w:suppressLineNumbers w:val="0"/>
              <w:spacing w:before="0" w:beforeAutospacing="0" w:after="0" w:afterAutospacing="0"/>
              <w:ind w:left="0" w:right="0"/>
              <w:jc w:val="righ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E87C1BC">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3B3C4E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3"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A5C999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评价结论</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32B08A5C">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自评得分100分，完成了预期绩效目标，达到了资金使用效益。</w:t>
            </w:r>
          </w:p>
        </w:tc>
      </w:tr>
      <w:tr w14:paraId="57ACEC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C641B4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存在问题</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55D30ACF">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2774C2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3"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696633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改进措施</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3E87562E">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5C521B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6BF0E14">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w:t>
            </w:r>
          </w:p>
        </w:tc>
        <w:tc>
          <w:tcPr>
            <w:tcW w:w="0" w:type="auto"/>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BA67E32">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w:t>
            </w:r>
          </w:p>
        </w:tc>
      </w:tr>
      <w:tr w14:paraId="58D81B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tcBorders>
              <w:top w:val="nil"/>
              <w:left w:val="nil"/>
              <w:bottom w:val="nil"/>
              <w:right w:val="nil"/>
            </w:tcBorders>
            <w:shd w:val="clear" w:color="auto" w:fill="auto"/>
            <w:vAlign w:val="center"/>
          </w:tcPr>
          <w:p w14:paraId="18F7ADEB">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4B52B7DA">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5BD9550B">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3CE19F1E">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1DDAA20F">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32390C85">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075E091E">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61533E92">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5E47FB8E">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5F306FAC">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7459256E">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3B9FD4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0" w:type="auto"/>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641F08DA">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部门预算项目支出绩效自评表（2023年度）</w:t>
            </w:r>
          </w:p>
        </w:tc>
      </w:tr>
      <w:tr w14:paraId="14F9B2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118CB5A">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项目名称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632B5F5F">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51080022T000007244742-2022年救灾物资采购</w:t>
            </w:r>
          </w:p>
        </w:tc>
      </w:tr>
      <w:tr w14:paraId="135AF8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2"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0A59B6C">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主管部门</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5421F41A">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广元市发展和改革委员会部门</w:t>
            </w:r>
          </w:p>
        </w:tc>
        <w:tc>
          <w:tcPr>
            <w:tcW w:w="0" w:type="auto"/>
            <w:tcBorders>
              <w:top w:val="nil"/>
              <w:left w:val="nil"/>
              <w:bottom w:val="nil"/>
              <w:right w:val="nil"/>
            </w:tcBorders>
            <w:shd w:val="clear" w:color="auto" w:fill="auto"/>
            <w:vAlign w:val="center"/>
          </w:tcPr>
          <w:p w14:paraId="3D238E1F">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81DEC0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广元市粮油质量监测站</w:t>
            </w:r>
          </w:p>
        </w:tc>
      </w:tr>
      <w:tr w14:paraId="3CD2AA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78F089B">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项目基本情况</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07207E7">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1.项目年度目标完成情况</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1DB1B1E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项目年度目标</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3513B845">
            <w:pPr>
              <w:keepNext w:val="0"/>
              <w:keepLines w:val="0"/>
              <w:widowControl/>
              <w:suppressLineNumbers w:val="0"/>
              <w:spacing w:before="0" w:beforeAutospacing="0" w:after="0" w:afterAutospacing="0"/>
              <w:ind w:left="0" w:right="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14:paraId="54B58F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8"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ADB270">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2E434D">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0F6B9274">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做好全年市级救灾物资的采购、储备和管理，确保储备救灾物资的安全完整，为全市受灾困难群众基本生活提供保障。</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06D65261">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严格执行救灾物资采购程序。采购棉被2000床、棉大衣1000件、8㎡单帐篷280顶、12㎡棉帐篷30顶、遮阳篷100顶等物资</w:t>
            </w:r>
          </w:p>
        </w:tc>
      </w:tr>
      <w:tr w14:paraId="4D7A74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3"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3F96B4">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4FE3BF7">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2.项目实施内容及过程概述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152C3800">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根据市应急管理局2022年救灾物资储备需求，结合现救灾物资储备实际，确定采购计划，市场询价，申请资金，严格按照政府采购程序组织开展了救灾物资采购工作。</w:t>
            </w:r>
          </w:p>
        </w:tc>
      </w:tr>
      <w:tr w14:paraId="07A2AE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3EC277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预算执行情况（10分）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042C40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年度预算数（万元）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A4EA5F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年初预算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387DCB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调整后预算数</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1AD0A9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预算执行数</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9C1841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10E963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120506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2B2F14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原因</w:t>
            </w:r>
          </w:p>
        </w:tc>
      </w:tr>
      <w:tr w14:paraId="2120E8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D9571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AF12D2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总额</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602C2F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3.32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59A9A6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3.32</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FDD6EC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F8A39A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1C5E21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6DD298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07D01C3">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276E03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28653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4DEB26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其中：财政资金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CFEE35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3.32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01B914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3.32</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C62D16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B0E28A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8FCC49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0AEFE4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E6612C">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29C910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7"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4A9DF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15E917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财政专户管理资金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DC334F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6EC171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9E5351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FBDE56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A065E9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3BD36D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44DA92">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6514A9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90012A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36B3EB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单位资金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6C6E5D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740503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273CD6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809FDD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724D89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0110C7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9E0077">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72EA69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4E230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463948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其他资金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C6BB142">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15A6282">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44A270B">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FE529AA">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67B467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16B535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938726">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6A5E3B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A72874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绩效指标（90分）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513896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一级指标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C712B3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二级指标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5B5391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三级指标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BC9C0F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指标性质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43F8DB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BCC485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度量单位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76ED3B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完成值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7055C4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F6AD3D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AE841F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未完成原因分析</w:t>
            </w:r>
          </w:p>
        </w:tc>
      </w:tr>
      <w:tr w14:paraId="0CE394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DE6BB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BB5D9E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产出指标</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6BC36F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数量指标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45D503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指标1：完成救灾物资的采购棉被。</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76900C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D536FA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D95C8D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床</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39FA37B">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2000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33DBE0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EEF5C3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F4A04E5">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311E0C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9B10E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1F44D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D9DFD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983D2D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指标3：  完成救灾物资的采购帐篷。</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7533F3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D8CFCA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410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F1E25E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张</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7D85119">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410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0F2050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C00222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447DD6E">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7C06F9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1AC41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77DBB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F7E5C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7D95DA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指标2：完成救灾物资的采购棉大衣。</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594EFB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D2B6AF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C78F80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件</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6067F34">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A31DB8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27311A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A73B63A">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5393ED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3A492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206DA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83BC87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质量指标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DF6B6E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确保救灾储备物资完好</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E88D91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9B6251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57C94F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DE43C5D">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70024A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D50C70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B492C05">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6B3ACE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D526F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DC122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5AD89F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时效指标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A55CF1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完成时间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C210A6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B0C39A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EBC1EB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月</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01D9744">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00B75D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28E412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5440636">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5D9CD7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15B04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CD1AA6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6B4A8E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社会效益指标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F63917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完成救灾物资采购、储备和管理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DECA7F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A7F118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确保市级救灾物资安全完整，以保障受灾困难群众基本生活。</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FBC20D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69FD511">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确保市级救灾物资安全完整，以保障受灾困难群众基本生活。</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01550C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256967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1532CA8">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66ECBC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78"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09822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B0487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B71D84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可持续影响指标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9217CE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救灾物资储备管理工作的开展将持续发挥良好的社会效益。</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56CF89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A7E8EE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及时有效提高应急处突能力，确保社会稳定。</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E8D53F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8A490DF">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及时有效提高应急处突能力，确保社会稳定。</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2EFE48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61CC6B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7535F2B">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1FB8CC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051C8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0DDEE4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满意度指标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0C1768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服务对象满意度指标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AD922E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受灾群众满意率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3FDAA4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5A4255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FD3D08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BD9804A">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118266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7B25F9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DF0F8C9">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4A19BC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1A93F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9686A5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成本指标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597476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经济成本指标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7EED8D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棉被2000床；棉大衣1000件；棉帐篷（12㎡）30顶；单帐篷（8㎡）280顶；展销帐篷100顶</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79C57E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4B1B69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CBBB64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0CA0288">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AF2C81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9EE2E9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BD858DE">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240D49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336BCA4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合计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4FFB13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416F2E2">
            <w:pPr>
              <w:keepNext w:val="0"/>
              <w:keepLines w:val="0"/>
              <w:widowControl/>
              <w:suppressLineNumbers w:val="0"/>
              <w:spacing w:before="0" w:beforeAutospacing="0" w:after="0" w:afterAutospacing="0"/>
              <w:ind w:left="0" w:right="0"/>
              <w:jc w:val="righ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91F11FD">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3694B1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3"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D7A10E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评价结论</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2D3B39BC">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Style w:val="55"/>
                <w:lang w:val="en-US" w:eastAsia="zh-CN" w:bidi="ar"/>
              </w:rPr>
              <w:t>全年累计采购棉被2000床、棉大衣1000件、12</w:t>
            </w:r>
            <w:r>
              <w:rPr>
                <w:rStyle w:val="57"/>
                <w:lang w:val="en-US" w:eastAsia="zh-CN" w:bidi="ar"/>
              </w:rPr>
              <w:t>㎡</w:t>
            </w:r>
            <w:r>
              <w:rPr>
                <w:rStyle w:val="55"/>
                <w:lang w:val="en-US" w:eastAsia="zh-CN" w:bidi="ar"/>
              </w:rPr>
              <w:t>棉帐篷30顶、8</w:t>
            </w:r>
            <w:r>
              <w:rPr>
                <w:rStyle w:val="57"/>
                <w:lang w:val="en-US" w:eastAsia="zh-CN" w:bidi="ar"/>
              </w:rPr>
              <w:t>㎡</w:t>
            </w:r>
            <w:r>
              <w:rPr>
                <w:rStyle w:val="55"/>
                <w:lang w:val="en-US" w:eastAsia="zh-CN" w:bidi="ar"/>
              </w:rPr>
              <w:t>单帐篷280顶、遮阳篷100顶等救灾物资。为工作提供了坚实的物资保障，确保了受灾后群众的基本生活。该笔项目资金为结转款项，已完成当年既定目标，本项目自评得分100分。本项目自评得分100分。</w:t>
            </w:r>
          </w:p>
        </w:tc>
      </w:tr>
      <w:tr w14:paraId="6E922C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3A4D4C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存在问题</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4C01E787">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687FE0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3"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901F11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改进措施</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072B280B">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537D11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58A4EB5">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w:t>
            </w:r>
          </w:p>
        </w:tc>
        <w:tc>
          <w:tcPr>
            <w:tcW w:w="0" w:type="auto"/>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A9131DE">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w:t>
            </w:r>
          </w:p>
        </w:tc>
      </w:tr>
      <w:tr w14:paraId="705601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tcBorders>
              <w:top w:val="nil"/>
              <w:left w:val="nil"/>
              <w:bottom w:val="nil"/>
              <w:right w:val="nil"/>
            </w:tcBorders>
            <w:shd w:val="clear" w:color="auto" w:fill="auto"/>
            <w:vAlign w:val="center"/>
          </w:tcPr>
          <w:p w14:paraId="5924B242">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2733599A">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7C7736B8">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611570FE">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2BFB8175">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2B822206">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29D549A5">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39322A5A">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3BC334AD">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3224EA39">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14484F5B">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29D7E6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0" w:type="auto"/>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576B9FC0">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部门预算项目支出绩效自评表（2023年度）</w:t>
            </w:r>
          </w:p>
        </w:tc>
      </w:tr>
      <w:tr w14:paraId="672574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DFCA836">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项目名称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24A013F0">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51080023T000007808035-紧急采购防疫救灾物资</w:t>
            </w:r>
          </w:p>
        </w:tc>
      </w:tr>
      <w:tr w14:paraId="45AD3A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2"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BA25C17">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主管部门</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5DDB960E">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广元市发展和改革委员会部门</w:t>
            </w:r>
          </w:p>
        </w:tc>
        <w:tc>
          <w:tcPr>
            <w:tcW w:w="0" w:type="auto"/>
            <w:tcBorders>
              <w:top w:val="nil"/>
              <w:left w:val="nil"/>
              <w:bottom w:val="nil"/>
              <w:right w:val="nil"/>
            </w:tcBorders>
            <w:shd w:val="clear" w:color="auto" w:fill="auto"/>
            <w:vAlign w:val="center"/>
          </w:tcPr>
          <w:p w14:paraId="562290A4">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1EBAA8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广元市粮油质量监测站</w:t>
            </w:r>
          </w:p>
        </w:tc>
      </w:tr>
      <w:tr w14:paraId="534B13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ABD8BE2">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项目基本情况</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4E64B8D">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1.项目年度目标完成情况</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2B04A5E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项目年度目标</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19F0B7C6">
            <w:pPr>
              <w:keepNext w:val="0"/>
              <w:keepLines w:val="0"/>
              <w:widowControl/>
              <w:suppressLineNumbers w:val="0"/>
              <w:spacing w:before="0" w:beforeAutospacing="0" w:after="0" w:afterAutospacing="0"/>
              <w:ind w:left="0" w:right="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14:paraId="03B1FE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6C2D94">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620C10">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096D3F8E">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为有效应对当前疫情防控形势的需求，广元市应急管理局 广元市发展和改革委员会 广元市财政局联合向市政府呈报了《关于采购救灾物资支持疫情防控的请示》（广应急〔2022〕158号），需紧急采购防疫救灾物资单帐篷（8㎡）500顶，折叠床1500张。完成紧急防疫救灾物资的采购、储备和管理，发挥良好的经济和社会效益。</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540CC63E">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全力做好“防疫”应急物资保障工作。为应对新冠肺炎疫情，紧急采购8㎡单帐篷500顶，折叠床1500顶；调拨棉被4206床、毛毯1000床、棉大衣590件、迷彩服612件、折叠床1381张、床单402床、电筒10个、帐篷759顶（发放回收帐篷160顶)、彩条布15张。</w:t>
            </w:r>
          </w:p>
        </w:tc>
      </w:tr>
      <w:tr w14:paraId="29234E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3"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9415EE2">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2142BA4">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2.项目实施内容及过程概述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639108A4">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市城区实行疫情临时管控期间，按照上级要求，我们紧急采购了一批救灾物资。物资采购后，我们携同市应急部门对照产品目录、执行标准、规格型号、数量等逐一进行了抽样检查验收，确保了采购物资质量。</w:t>
            </w:r>
          </w:p>
        </w:tc>
      </w:tr>
      <w:tr w14:paraId="03432A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A3EFDB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预算执行情况（10分）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C0A679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年度预算数（万元）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47FDFC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年初预算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57C82F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调整后预算数</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A60A91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预算执行数</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67A23F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AA0875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39C328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A5D2E2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原因</w:t>
            </w:r>
          </w:p>
        </w:tc>
      </w:tr>
      <w:tr w14:paraId="5285FD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4A08F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5AAFAB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总额</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7345E4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1.75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81868F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1.75</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06BA56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B0EEF8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7C1FD5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98D8F3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592F205">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03BFCC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F2DF3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0CDC83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其中：财政资金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972276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1.75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3260DD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1.75</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38A87D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304D3E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50D7D5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B86819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E7B40E">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59C6B6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7"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BCD0B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261A9B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财政专户管理资金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55E0E9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97EF13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9DC36C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5050E5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A01B19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37660A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72A17E">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534E0C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91EDB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5ABBC1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单位资金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DE4B1C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F9FE24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D0D85B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35BC5D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88DCC6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B95E7C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804CBF">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166082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214486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5A9B3A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其他资金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DCCA430">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68AA5C7">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A1F9212">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E1215DE">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201AC3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0D88C1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92EFA9">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28A529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399D77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绩效指标（90分）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1ABF8A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一级指标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E86F9A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二级指标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3BCBC8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三级指标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57C9A6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指标性质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C96A8F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9888B3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度量单位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401096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完成值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2838F5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749B61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C3B93B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未完成原因分析</w:t>
            </w:r>
          </w:p>
        </w:tc>
      </w:tr>
      <w:tr w14:paraId="735488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DF9C2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04BB71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产出指标</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2D1119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数量指标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12AF7D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完成紧急采购防疫救灾物资单帐篷</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5A3DFD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58F884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8A8963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张</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4331640">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500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1CB7A9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EFA0F0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619D59A">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790EA6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382C2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EEA23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0483A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0004C5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完成紧急采购防疫救灾物资折叠床</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ABD679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BE9E8A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1500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43EF05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张</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94B238D">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1500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F4CF66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A2E73B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5BF7949">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1C918A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6EBC4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46CC1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CF3C9E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质量指标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0D6C5D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确保采购的紧急防疫救灾物资储备质量完好</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868C95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2C18D3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4C58BC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42A6105">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0DE87A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DD2FC6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A0BF0C8">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2C46A1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932CB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8A9DE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5A11E8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时效指标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03D0F0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完成时间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B2ADA7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BA8B9B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A87AE2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月</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ABB3E50">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50C9C6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779F44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D9733F8">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7ED4FF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0C33A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A85AA3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516EDD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社会效益指标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7B1997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完成紧急防疫救灾物资的采购、储备和管理，发挥防疫救灾作用，产生良好的社会效益。</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2ABA7B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7A2640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确保紧急采购防疫救灾物资的完整，以保障对当前疫情防控形势的需求</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BDC0A2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C8585F1">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确保了紧急采购防疫救灾物资的完整，以保障对当前疫情防控形势的需求</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01D055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F06C8A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420AA2A">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0D7450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1112A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9F1383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B720AA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可持续影响指标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4A7190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紧急采购防疫救灾物资管理工作的开展，持续发挥良好的社会效益，做好防疫救灾工作。</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3A9297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11B852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及时有效提高应急处突能力，确保社会稳定</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9EE5A2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4D07E98">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及时有效提高了应急处突能力，确保了社会稳定。</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09EF26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F2A810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63AEA85">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456291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AB90B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F76B41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满意度指标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10A6CA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满意度指标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7B3269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受灾群众满意率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105D85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DF812C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BB62EC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DE8E753">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318EA8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7486CA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8E6D4D3">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38A178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5A589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FBBDCC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成本指标</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856D9C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经济成本指标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66984D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折叠床1500张</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A8D909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64B399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329E50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7F8EFF3">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8BD914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71812A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DDBAF2F">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030387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5D0EB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8BD825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6E23B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05749B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单帐篷（8㎡）500顶</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0032B8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133028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A407EC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34EDCE2">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56.75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9B1173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277AB8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BE09D29">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79EC44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1AEE49A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合计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3522DA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F1D3DAF">
            <w:pPr>
              <w:keepNext w:val="0"/>
              <w:keepLines w:val="0"/>
              <w:widowControl/>
              <w:suppressLineNumbers w:val="0"/>
              <w:spacing w:before="0" w:beforeAutospacing="0" w:after="0" w:afterAutospacing="0"/>
              <w:ind w:left="0" w:right="0"/>
              <w:jc w:val="righ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C4D541F">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57E0C5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3"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AE8D89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评价结论</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3110B0A4">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Style w:val="55"/>
                <w:lang w:val="en-US" w:eastAsia="zh-CN" w:bidi="ar"/>
              </w:rPr>
              <w:t>全年累计调拨发放棉被7367床、毛毯1000床、棉大衣2221件、雨衣20套、床单552床、雨鞋30双、折叠床1402床、电筒30个、迷彩服612套、单帐篷773顶（160顶回收帐篷）、12</w:t>
            </w:r>
            <w:r>
              <w:rPr>
                <w:rStyle w:val="57"/>
                <w:lang w:val="en-US" w:eastAsia="zh-CN" w:bidi="ar"/>
              </w:rPr>
              <w:t>㎡</w:t>
            </w:r>
            <w:r>
              <w:rPr>
                <w:rStyle w:val="55"/>
                <w:lang w:val="en-US" w:eastAsia="zh-CN" w:bidi="ar"/>
              </w:rPr>
              <w:t>棉帐篷2顶、彩条布15张。为疫情防控工作提供了坚实的物资保障，确保了受灾后群众的基本生活。该笔项目资金为结转款项，已完成当年既定目标，本项目自评得分100分。</w:t>
            </w:r>
          </w:p>
        </w:tc>
      </w:tr>
      <w:tr w14:paraId="5A81D4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444EA0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存在问题</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660046BA">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660584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3"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E9178F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改进措施</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3921C99E">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60E970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74E82A09">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w:t>
            </w:r>
          </w:p>
        </w:tc>
        <w:tc>
          <w:tcPr>
            <w:tcW w:w="0" w:type="auto"/>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A081C3A">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w:t>
            </w:r>
          </w:p>
        </w:tc>
      </w:tr>
      <w:tr w14:paraId="001937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tcBorders>
              <w:top w:val="nil"/>
              <w:left w:val="nil"/>
              <w:bottom w:val="nil"/>
              <w:right w:val="nil"/>
            </w:tcBorders>
            <w:shd w:val="clear" w:color="auto" w:fill="auto"/>
            <w:vAlign w:val="center"/>
          </w:tcPr>
          <w:p w14:paraId="6D1AEBF6">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05771298">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4826DE36">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614E432E">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05EA7810">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4C178749">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329993E1">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6804F42D">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3BE00482">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4E703139">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53CC7026">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6E4E8D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0" w:type="auto"/>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2D0CE825">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部门预算项目支出绩效自评表（2023年度）</w:t>
            </w:r>
          </w:p>
        </w:tc>
      </w:tr>
      <w:tr w14:paraId="1D3D3C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B374FEC">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项目名称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750CF0EB">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51080023T000008230928-粮食质量安全检验监测工作经费</w:t>
            </w:r>
          </w:p>
        </w:tc>
      </w:tr>
      <w:tr w14:paraId="3D8597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2"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07342D9">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主管部门</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0FF1928">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广元市发展和改革委员会部门</w:t>
            </w:r>
          </w:p>
        </w:tc>
        <w:tc>
          <w:tcPr>
            <w:tcW w:w="0" w:type="auto"/>
            <w:tcBorders>
              <w:top w:val="nil"/>
              <w:left w:val="nil"/>
              <w:bottom w:val="nil"/>
              <w:right w:val="nil"/>
            </w:tcBorders>
            <w:shd w:val="clear" w:color="auto" w:fill="auto"/>
            <w:vAlign w:val="center"/>
          </w:tcPr>
          <w:p w14:paraId="0E26A9EA">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FFFF00"/>
            <w:vAlign w:val="center"/>
          </w:tcPr>
          <w:p w14:paraId="5810F52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广元市粮油质量监测站</w:t>
            </w:r>
          </w:p>
        </w:tc>
      </w:tr>
      <w:tr w14:paraId="27E231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32FF28A">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项目基本情况</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43347F6">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1.项目年度目标完成情况</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7B35E8B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项目年度目标</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31F5D17C">
            <w:pPr>
              <w:keepNext w:val="0"/>
              <w:keepLines w:val="0"/>
              <w:widowControl/>
              <w:suppressLineNumbers w:val="0"/>
              <w:spacing w:before="0" w:beforeAutospacing="0" w:after="0" w:afterAutospacing="0"/>
              <w:ind w:left="0" w:right="0"/>
              <w:jc w:val="center"/>
              <w:textAlignment w:val="center"/>
              <w:rPr>
                <w:rFonts w:hint="eastAsia" w:ascii="黑体" w:hAnsi="黑体" w:eastAsia="黑体" w:cs="黑体"/>
                <w:i w:val="0"/>
                <w:iCs w:val="0"/>
                <w:color w:val="FF0000"/>
                <w:sz w:val="18"/>
                <w:szCs w:val="18"/>
                <w:u w:val="none"/>
              </w:rPr>
            </w:pPr>
            <w:r>
              <w:rPr>
                <w:rFonts w:hint="eastAsia" w:ascii="黑体" w:hAnsi="黑体" w:eastAsia="黑体" w:cs="黑体"/>
                <w:i w:val="0"/>
                <w:iCs w:val="0"/>
                <w:color w:val="FF0000"/>
                <w:kern w:val="0"/>
                <w:sz w:val="18"/>
                <w:szCs w:val="18"/>
                <w:u w:val="none"/>
                <w:lang w:val="en-US" w:eastAsia="zh-CN" w:bidi="ar"/>
              </w:rPr>
              <w:t>已完成</w:t>
            </w:r>
          </w:p>
        </w:tc>
      </w:tr>
      <w:tr w14:paraId="750782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3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73ACEB">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503EC5">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C858283">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根据国家、省粮食和物资储备局和市委市政府等相关文件要求，并结合我站职能职责，承担全市政策性储备粮食、新收获粮食、应急粮食、军供粮食质量安全监测、重金属专项监测和粮食风险监测等任务，计划共检样品1360份，其中政策性库存粮食、新收获粮食、应急粮食、军供粮食样品200份，重金属污染监测样品1000份，产新粮食村级样品160份。我站将切实履行职能职责，一是做好全市储备粮食、新收获粮食、应急粮食、军供粮食质量安全监测出入库监测、专项监测和日常抽查监测工作；二是根据市政府主要领导批示要求，持续对本辖区产新稻谷及小麦中重金属含量进行动态监测，摸清重金属污染粮食分布规律并进行风险等级评估，维护本地粮食安全；</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006A90E7">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认真落实2023年度粮食监督抽检、风险监测、专项监测等工作，把好粮食质量安全关，全年共检样品1376批次，是食品安全党政同责要求的500批次的2.7倍。一是切实把好政策性粮食出入库关，认真落实库存检查质量监督抽检，完成市级政策性储备和应急小包装监督、军粮、县级储备及加工企业委托检验160批次；二是着力加强粮食质量安全风险监测，按照1万吨粮食产量不少于1个样品要求，共抽检样品216批次，粮食重金属专项监测样品1000批次。</w:t>
            </w:r>
          </w:p>
        </w:tc>
      </w:tr>
      <w:tr w14:paraId="57E787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3"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9D7EE0">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203850F">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2.项目实施内容及过程概述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7D5649FD">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认真落实2023年度粮食监督抽检、风险监测、专项监测等工作，把好粮食质量安全关，全年共检样品1376批次，是食品安全党政同责要求的500批次的2.7倍。一是切实把好政策性粮食出入库关，认真落实库存检查质量监督抽检，完成市级政策性储备和应急小包装监督、军粮、县级储备及加工企业委托检验160批次；二是着力加强粮食质量安全风险监测，按照1万吨粮食产量不少于1个样品要求，共抽检样品216批次，粮食重金属专项监测样品1000批次。</w:t>
            </w:r>
          </w:p>
        </w:tc>
      </w:tr>
      <w:tr w14:paraId="23C9B8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AC6AAC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预算执行情况（10分）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E92C45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年度预算数（万元）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B7133B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年初预算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F4BC03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调整后预算数</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A5AA16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预算执行数</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A33BF4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A24563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4F73A9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12D324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原因</w:t>
            </w:r>
          </w:p>
        </w:tc>
      </w:tr>
      <w:tr w14:paraId="15D22E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1D740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68F366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总额</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728345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24.29</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29435A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24.29</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CAF372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24.29</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B8CD70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9B97BC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A64B4C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7BA21C3">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214C19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430BD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F76775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其中：财政资金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200C4E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24.29</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5894FF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24.29</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C1A831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24.29</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CBBF2F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AC96DF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70FC6F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BBE887">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6F6ECB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7"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CEB58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AD5980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财政专户管理资金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D496E6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77CCD3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AAD0B7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22B0B7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50DEA1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DE47C8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3B75E6">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0F7CB6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415DE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CA33AC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单位资金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F893A0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F8B45A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692779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841821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04B828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54316A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2C53D7">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012FE7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6F2B0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355638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其他资金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D757C53">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0304C6C">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6C18F3D">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B0F9B54">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B6BE01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41FF84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F9DBD7">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3B812C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94202D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绩效指标（90分）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583537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一级指标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EE38C7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二级指标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10719C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三级指标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A92119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指标性质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E6E37B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609565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度量单位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B26357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完成值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48ABE6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A9A79B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CE446A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未完成原因分析</w:t>
            </w:r>
          </w:p>
        </w:tc>
      </w:tr>
      <w:tr w14:paraId="091B7F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6A12F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F6666E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产出指标</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87D81B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数量指标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5FC81E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指标2：粮食质量调查与品质测报样品数</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043481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B5B011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160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E5C1FD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份</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19786A3">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160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085641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1756A0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42FBBC8">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55D923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70C33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82425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80BC6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617510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指标1：政策性库存粮食质量监测</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F03996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6F6686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E71748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份</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29D1BA8">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216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1239B1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E65C83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0A16D7F">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7FE6E0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921C7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2944C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1CE59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0E2182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指标3：重金属污染的动态监测</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CC8500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5EF004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3B1A67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份</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1A81937">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A9AAA8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7BF241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B4264E8">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5670B0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AC0D5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5E1F2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EA0569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质量指标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0A59D4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指标1：抽检样品完成率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1F7C38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DF24E1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27C89F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01C9A9C">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E98F29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0F05DB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030F7CD">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5AF486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0ED06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9F896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D65BB1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时效指标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FD3244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指标1：完成时间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60BC28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05C549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74D5EC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月</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CCEB15D">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D58D19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10785D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7EC5901">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1288E1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BA5D4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3E7EC3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效益指标</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586473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经济效益指标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CECF7C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指标2：提高企业粮食质量合格率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58FD37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357159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为企业轮换粮食质量把关，提高企业购进粮食质量合格率，并根据质量情况实时指导企业科学储粮，避免粮食不合格、霉变等造成经济损失。</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7A3F27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E7D0A7E">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持续指导企业科学储粮，避免粮食不合格、霉变等造成经济损失</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220FD8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1126D9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0A0850C">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2B8748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6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7CE85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29C94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08554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A6F94F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指标1：提高优质粮油收购价格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C946FF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6EE03F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指导全市优质粮油基地和粮食合作社建设，通过优质优价，将优质粮油收购市场价提高到4.0元以上，努力将我市建设成为成渝地区优质粮油产品供给地。</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4AABE2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6592F84">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指导全市优质粮油基地和粮食合作社建设</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D62E50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CAE555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C24CB90">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5CF7CE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8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87A83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7B890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C58ECC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社会效益指标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032FE8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指标3：为粮食生产绿色发展提供技术支持</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D9E410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5C3D67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助力增加本地优质粮油产量，提升本地绿色优势，保障粮食生产安全，增强农业可持续发展能力，加强生态建设和修复，打好污染防治攻坚战。</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2E8A2C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A806CAF">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提供技术支持</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F9FA69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B43505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DE5FC85">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434139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8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F9465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92ED4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40042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F3062C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指标2：强化源头污染防控，确保粮食质量安全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5F5D1C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497A00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全面贯彻党中央和省、市政府关于粮食安全工作的决策部署，严格落实粮食安全和食品安全党政同责，将粮食安全保障向前推进一公里，守住粮食质量安全的第一道屏障，切实加强全市范围内产新粮食质量安全监测，强化源头污染防控，确保粮食质量安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D35628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8E0D611">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持续加强全市范围内产新粮食质量安全监测，强化源头污染防控，确保粮食质量安全。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772072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2E475F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B94C410">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3E98E1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5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04367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A7221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3D5E8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A99B0C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指标1：提升市县级粮食储备管理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040848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6DBE35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加强地方粮食储备管理</w:t>
            </w:r>
            <w:r>
              <w:rPr>
                <w:rFonts w:hint="eastAsia" w:ascii="宋体" w:hAnsi="宋体" w:cs="宋体"/>
                <w:i w:val="0"/>
                <w:iCs w:val="0"/>
                <w:color w:val="000000"/>
                <w:kern w:val="0"/>
                <w:sz w:val="18"/>
                <w:szCs w:val="18"/>
                <w:u w:val="none"/>
                <w:lang w:val="en-US" w:eastAsia="zh-CN" w:bidi="ar"/>
              </w:rPr>
              <w:t>，</w:t>
            </w:r>
            <w:r>
              <w:rPr>
                <w:rFonts w:hint="default" w:ascii="宋体" w:hAnsi="宋体" w:eastAsia="宋体" w:cs="宋体"/>
                <w:i w:val="0"/>
                <w:iCs w:val="0"/>
                <w:color w:val="000000"/>
                <w:kern w:val="0"/>
                <w:sz w:val="18"/>
                <w:szCs w:val="18"/>
                <w:u w:val="none"/>
                <w:lang w:val="en-US" w:eastAsia="zh-CN" w:bidi="ar"/>
              </w:rPr>
              <w:t>提升地方粮食储备市场调控和应对突发事件能力</w:t>
            </w:r>
            <w:r>
              <w:rPr>
                <w:rFonts w:hint="eastAsia" w:ascii="宋体" w:hAnsi="宋体" w:cs="宋体"/>
                <w:i w:val="0"/>
                <w:iCs w:val="0"/>
                <w:color w:val="000000"/>
                <w:kern w:val="0"/>
                <w:sz w:val="18"/>
                <w:szCs w:val="18"/>
                <w:u w:val="none"/>
                <w:lang w:val="en-US" w:eastAsia="zh-CN" w:bidi="ar"/>
              </w:rPr>
              <w:t>，</w:t>
            </w:r>
            <w:r>
              <w:rPr>
                <w:rFonts w:hint="default" w:ascii="宋体" w:hAnsi="宋体" w:eastAsia="宋体" w:cs="宋体"/>
                <w:i w:val="0"/>
                <w:iCs w:val="0"/>
                <w:color w:val="000000"/>
                <w:kern w:val="0"/>
                <w:sz w:val="18"/>
                <w:szCs w:val="18"/>
                <w:u w:val="none"/>
                <w:lang w:val="en-US" w:eastAsia="zh-CN" w:bidi="ar"/>
              </w:rPr>
              <w:t>保障区域粮食安全。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57615A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347C43C">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持续保障区域粮食安全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7D395A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329535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26FCC84">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09B1CA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3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A0FEA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06BC3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AA0B68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生态效益指标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B6D3C5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指标1：引导企业合理选择储粮方式</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1AAE9B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B6FDAB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引导企业合理选择储粮方式、合理施药防虫，有效保障粮食质量安全，减少农药残留等的危害。严禁不符合食品安全标准粮食流入口粮市场或用于食品生产。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0FF9F7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7FF6550">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严禁不符合食品安全标准粮食流入口粮市场或用于食品生产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DFBB13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184F3C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2D13DE3">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023F8B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87"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32A23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77593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E4BB0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0EA09C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指标2：调查研究粮食重金属污染分布规律并进行风险等级评估</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075B39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6F9CDE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通过对本地粮食重金属污染分布规律进行研究，建立粮食安全风险等级评估方案，根据研究结果将本地粮食产区分为轻度污染区、中度污染区和重度污染区，判断其是否适宜种植并及时修复。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FB5E26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B0DAE26">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持续本地粮食重金属污染分布规律进行研究</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957FC0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A711F2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B989123">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5DEF6F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4D7EC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263F4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088C02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可持续影响指标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FCC2E5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指标3：指导农民调整生产结构，种植优良品种，科学储粮</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184F57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C70E34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通过每年产新粮食质量调查，积极指导农民调整生产结构，种植优良品种，为农民增收。</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988339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D4109F4">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指导农民调整生产结构，种植优良品种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D780F0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71F166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2680409">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754986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8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B5CCF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EA0D1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1DC46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54800B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指标2：维护本地粮食安全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F618F2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52512C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通过动态监测，掌握本地重金属污染实际情况，为重金属防治工作提供指导，防止我市发生粮食安全事故，维护本地粮食安全。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A9F38F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95F7A73">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持续维护本地粮食安全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2E9825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799C73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4CE1CD6">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6A04CB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00928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7C5F2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F03B9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4DA4B3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指标1：降低企业储粮成本</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1F0567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7821B1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通过日常监督监测，降低企业储粮成本，切实为企业办实事。</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C8A6A5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B9EBF1F">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已完成</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A8743D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B5EE68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A92E068">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27B221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73E03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FE67EF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满意度指标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C1F857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服务对象满意度指标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D82E51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指标1：粮油检测对象满意度</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A5813A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2A331C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95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0BFE23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E835CB4">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98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F01B4F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0A1FD7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CFFE8F7">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30D8BD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975AA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C7C367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成本指标</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F01CC2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经济成本指标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CA1F91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指标3：产新粮食质量调查及检测人员工作经费</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6A53F8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F1D8A2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6796E3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ABE8B9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37DECF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FA2BEB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F5DAB84">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752AA9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78"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934209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B4626A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743ED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C42474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指标2：仪器配件、耗材购置费及实验室废液废物处理费</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BE595B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52E5A1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EBD62F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4A32ED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6D9EF8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3227F8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B12DC71">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439C11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CDB47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933D4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F7367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7452BE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指标1：检测药品试剂及抽检样品购买运行费</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1996D7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0A0930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14.29</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19E991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FE7688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14.29</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0F0177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FD3020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6DBB1F5">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562E57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27FC4C8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合计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828FCB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AABA565">
            <w:pPr>
              <w:keepNext w:val="0"/>
              <w:keepLines w:val="0"/>
              <w:widowControl/>
              <w:suppressLineNumbers w:val="0"/>
              <w:spacing w:before="0" w:beforeAutospacing="0" w:after="0" w:afterAutospacing="0"/>
              <w:ind w:left="0" w:right="0"/>
              <w:jc w:val="righ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D38BBEA">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38C947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8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B2FF41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评价结论</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000A0D36">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一、项目基本概况。工作经费资金共计24.29万元。二、效果及评价结论。（一）效果。认真落实2023年度粮食监督抽检、风险监测、专项监测等工作，把好粮食质量安全关，全年共检样品1376批次，是食品安全党政同责要求的500批次的2.7倍。一是完成了全市储备粮食、新收获粮食、应急粮食、军供粮食质量安全监测出入库监测、专项监测和日常抽查监测工作；二是根据市政府主要领导批示要求，持续对本辖区产新稻谷及小麦中重金属含量进行动态监测，摸清重金属污染粮食分布规律并进行风险等级评估，维护本地粮食安全。（二）评价结果和评价结论。本项目自评分为100分，评价等级为优秀，达到预期绩效目标。</w:t>
            </w:r>
          </w:p>
        </w:tc>
      </w:tr>
      <w:tr w14:paraId="38078EC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4F4885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存在问题</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4101FAEC">
            <w:pPr>
              <w:keepNext w:val="0"/>
              <w:keepLines w:val="0"/>
              <w:widowControl/>
              <w:suppressLineNumbers w:val="0"/>
              <w:spacing w:before="0" w:beforeAutospacing="0" w:after="0" w:afterAutospacing="0"/>
              <w:ind w:left="0" w:right="0"/>
              <w:jc w:val="left"/>
              <w:textAlignment w:val="center"/>
              <w:rPr>
                <w:rFonts w:hint="default" w:ascii="方正公文仿宋" w:hAnsi="方正公文仿宋" w:eastAsia="方正公文仿宋" w:cs="方正公文仿宋"/>
                <w:i w:val="0"/>
                <w:iCs w:val="0"/>
                <w:color w:val="000000"/>
                <w:sz w:val="18"/>
                <w:szCs w:val="18"/>
                <w:u w:val="none"/>
              </w:rPr>
            </w:pPr>
            <w:r>
              <w:rPr>
                <w:rFonts w:hint="default" w:ascii="方正公文仿宋" w:hAnsi="方正公文仿宋" w:eastAsia="方正公文仿宋" w:cs="方正公文仿宋"/>
                <w:i w:val="0"/>
                <w:iCs w:val="0"/>
                <w:color w:val="000000"/>
                <w:kern w:val="0"/>
                <w:sz w:val="18"/>
                <w:szCs w:val="18"/>
                <w:u w:val="none"/>
                <w:lang w:val="en-US" w:eastAsia="zh-CN" w:bidi="ar"/>
              </w:rPr>
              <w:t>一是监督检测的食品安全指标增加，消耗的实际耗材也越来越多，二是在预算编制环节，预期支出项目金额和实际支出的存在差异，这是由于预算编制经验不足导致。</w:t>
            </w:r>
          </w:p>
        </w:tc>
      </w:tr>
      <w:tr w14:paraId="600C54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3"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C4502D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改进措施</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2C4137B1">
            <w:pPr>
              <w:keepNext w:val="0"/>
              <w:keepLines w:val="0"/>
              <w:widowControl/>
              <w:suppressLineNumbers w:val="0"/>
              <w:spacing w:before="0" w:beforeAutospacing="0" w:after="0" w:afterAutospacing="0"/>
              <w:ind w:left="0" w:right="0"/>
              <w:jc w:val="left"/>
              <w:textAlignment w:val="center"/>
              <w:rPr>
                <w:rFonts w:hint="default" w:ascii="方正公文仿宋" w:hAnsi="方正公文仿宋" w:eastAsia="方正公文仿宋" w:cs="方正公文仿宋"/>
                <w:i w:val="0"/>
                <w:iCs w:val="0"/>
                <w:color w:val="000000"/>
                <w:sz w:val="18"/>
                <w:szCs w:val="18"/>
                <w:u w:val="none"/>
              </w:rPr>
            </w:pPr>
            <w:r>
              <w:rPr>
                <w:rFonts w:hint="default" w:ascii="方正公文仿宋" w:hAnsi="方正公文仿宋" w:eastAsia="方正公文仿宋" w:cs="方正公文仿宋"/>
                <w:i w:val="0"/>
                <w:iCs w:val="0"/>
                <w:color w:val="000000"/>
                <w:kern w:val="0"/>
                <w:sz w:val="18"/>
                <w:szCs w:val="18"/>
                <w:u w:val="none"/>
                <w:lang w:val="en-US" w:eastAsia="zh-CN" w:bidi="ar"/>
              </w:rPr>
              <w:t>进一步加强对单位编制预算绩效目标项目设计的科学性、合理性，加大对绩效项目的管理力度，实施进度跟踪，合理支出预算资金，使其最大效益化。</w:t>
            </w:r>
          </w:p>
        </w:tc>
      </w:tr>
      <w:tr w14:paraId="3D79DC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5990099">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w:t>
            </w:r>
          </w:p>
        </w:tc>
        <w:tc>
          <w:tcPr>
            <w:tcW w:w="0" w:type="auto"/>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80EFF26">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w:t>
            </w:r>
          </w:p>
        </w:tc>
      </w:tr>
      <w:tr w14:paraId="51EE26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tcBorders>
              <w:top w:val="nil"/>
              <w:left w:val="nil"/>
              <w:bottom w:val="nil"/>
              <w:right w:val="nil"/>
            </w:tcBorders>
            <w:shd w:val="clear" w:color="auto" w:fill="auto"/>
            <w:vAlign w:val="center"/>
          </w:tcPr>
          <w:p w14:paraId="161C0497">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1A0CF435">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49722033">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10A270EC">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4B7975CC">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1D7A7BCC">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0D095F43">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36CFFE6C">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3E518D77">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5E73EA4A">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7C9C1E7A">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353CC5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0" w:type="auto"/>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7EF5D887">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部门预算项目支出绩效自评表（2023年度）</w:t>
            </w:r>
          </w:p>
        </w:tc>
      </w:tr>
      <w:tr w14:paraId="15C69C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E9A86A5">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项目名称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373CE6D6">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51080023T000008230945-实验室基础设施及仪器设备运行维护费</w:t>
            </w:r>
          </w:p>
        </w:tc>
      </w:tr>
      <w:tr w14:paraId="6A63A0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2"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7DF7FF4">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主管部门</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24175032">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广元市发展和改革委员会部门</w:t>
            </w:r>
          </w:p>
        </w:tc>
        <w:tc>
          <w:tcPr>
            <w:tcW w:w="0" w:type="auto"/>
            <w:tcBorders>
              <w:top w:val="nil"/>
              <w:left w:val="nil"/>
              <w:bottom w:val="nil"/>
              <w:right w:val="nil"/>
            </w:tcBorders>
            <w:shd w:val="clear" w:color="auto" w:fill="auto"/>
            <w:vAlign w:val="center"/>
          </w:tcPr>
          <w:p w14:paraId="1A5878A1">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FFFF00"/>
            <w:vAlign w:val="center"/>
          </w:tcPr>
          <w:p w14:paraId="1D620B9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广元市粮油质量监测站</w:t>
            </w:r>
          </w:p>
        </w:tc>
      </w:tr>
      <w:tr w14:paraId="7C6D0C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E8653C2">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项目基本情况</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D2B74EC">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1.项目年度目标完成情况</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925589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项目年度目标</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58B6B9DA">
            <w:pPr>
              <w:keepNext w:val="0"/>
              <w:keepLines w:val="0"/>
              <w:widowControl/>
              <w:suppressLineNumbers w:val="0"/>
              <w:spacing w:before="0" w:beforeAutospacing="0" w:after="0" w:afterAutospacing="0"/>
              <w:ind w:left="0" w:right="0"/>
              <w:jc w:val="center"/>
              <w:textAlignment w:val="center"/>
              <w:rPr>
                <w:rFonts w:hint="eastAsia" w:ascii="黑体" w:hAnsi="黑体" w:eastAsia="黑体" w:cs="黑体"/>
                <w:i w:val="0"/>
                <w:iCs w:val="0"/>
                <w:color w:val="FF0000"/>
                <w:sz w:val="18"/>
                <w:szCs w:val="18"/>
                <w:u w:val="none"/>
              </w:rPr>
            </w:pPr>
            <w:r>
              <w:rPr>
                <w:rFonts w:hint="eastAsia" w:ascii="黑体" w:hAnsi="黑体" w:eastAsia="黑体" w:cs="黑体"/>
                <w:i w:val="0"/>
                <w:iCs w:val="0"/>
                <w:color w:val="FF0000"/>
                <w:kern w:val="0"/>
                <w:sz w:val="18"/>
                <w:szCs w:val="18"/>
                <w:u w:val="none"/>
                <w:lang w:val="en-US" w:eastAsia="zh-CN" w:bidi="ar"/>
              </w:rPr>
              <w:t>年度目标完成情况</w:t>
            </w:r>
          </w:p>
        </w:tc>
      </w:tr>
      <w:tr w14:paraId="187DF9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8"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C6D69D">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5E88F2">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D74D066">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 xml:space="preserve">  2023年计划完成仪器设备的检定、校准、期间核查、维护维修，及时维修维护实验室基础设施和检验检测仪器设备，保证实验环境条件满足检验检测工作要求，保证仪器设备稳定保证检验检测数据准确可靠。</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125756CA">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已完成实验室专用设备仪器设备的检定、校准、期间核查、维护维修，保证了实验环境条件满足检验检测工作要求，确保仪器设备稳定及检验检测数据准确可靠。</w:t>
            </w:r>
          </w:p>
        </w:tc>
      </w:tr>
      <w:tr w14:paraId="7C4CFA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3"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3BA78D">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1C86424">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2.项目实施内容及过程概述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23DF5B1C">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已完成实验室专用设备仪器设备的检定、校准、期间核查、维护维修，保证了实验环境条件满足检验检测工作要求，确保仪器设备稳定及检验检测数据准确可靠。</w:t>
            </w:r>
          </w:p>
        </w:tc>
      </w:tr>
      <w:tr w14:paraId="3F5DCE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3E7BB6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预算执行情况（10分）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44E0AA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年度预算数（万元）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4DC2F7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年初预算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E5448A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调整后预算数</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F92AFD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预算执行数</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4DB747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06BF82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12078F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FFA52F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原因</w:t>
            </w:r>
          </w:p>
        </w:tc>
      </w:tr>
      <w:tr w14:paraId="375C31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9BED6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0725EF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总额</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C0B45A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BDBA3F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DA53CB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E85158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F683F7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628971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98E2160">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7AB803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F532C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022A1D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其中：财政资金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320F7C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69A6F8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E3E205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4AFB34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B73E5B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6FE3DB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903AF2">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077C73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7"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5BF5C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2F047B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财政专户管理资金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92EEE3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320901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DC8A42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A8AFE7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76F9E2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751CF3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FB6B3B">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588C66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CE5AD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5E03CD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单位资金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9CB8E5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88566B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D8E85D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38E2AC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09BA8F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3320B6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5CAB8C">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5B563E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3B27B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6EAED7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其他资金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BB882BE">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0A98166">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376AF1E">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AD8758A">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553F57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AEE7A3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997134">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2F70AF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4B752F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绩效指标（90分）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752186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一级指标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1124FE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二级指标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C60A48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三级指标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B4946D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指标性质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78B88C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BA22B7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度量单位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3E6BFC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完成值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E14B82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E51446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9C7F71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未完成原因分析</w:t>
            </w:r>
          </w:p>
        </w:tc>
      </w:tr>
      <w:tr w14:paraId="2E8B94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84C00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1A0181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产出指标</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1C14BD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数量指标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FD73DD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指标1：仪器设备检定/校准数</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E37986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CB50DC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71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5E2751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台/套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1639E8A">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71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1785B1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0714D5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7C5D4DA">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45C835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6C580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166A8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E13B8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5C8ECA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指标2：仪器设备维护数</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603031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55562A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151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ED0D88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台/套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F36C956">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151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193DA6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406303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A958E1A">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446314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3B439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64DB3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A29022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质量指标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01DB54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指标1：仪器设备检定/校准合格率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934316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215E78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13926C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0DE649A">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EBE68E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C12CE3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ECD9DDD">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6C601C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93600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309AD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BE6CC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00C9C4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指标2：仪器设备维护正常使用率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85E7C0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FA7C6F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24D861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C1BDD6B">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74B1C1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A3750C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0EC40A2">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525177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BDBFB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2309E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A02256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时效指标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76DF45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指标1：完成时间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380701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488EBA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3446D9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月</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60F81A9">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已完成</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61D699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26BEBA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6CB3ACB">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77AF8B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4A181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87F86D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AE68F8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可持续影响指标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5F285D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指标1：检验检测能力提升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6475E6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428EBB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长期</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690137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9F167D5">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b/>
                <w:bCs/>
                <w:i/>
                <w:iCs/>
                <w:color w:val="000000"/>
                <w:sz w:val="16"/>
                <w:szCs w:val="16"/>
                <w:u w:val="none"/>
              </w:rPr>
            </w:pPr>
            <w:r>
              <w:rPr>
                <w:rFonts w:hint="eastAsia" w:ascii="微软雅黑" w:hAnsi="微软雅黑" w:eastAsia="微软雅黑" w:cs="微软雅黑"/>
                <w:b/>
                <w:bCs/>
                <w:i/>
                <w:iCs/>
                <w:color w:val="000000"/>
                <w:kern w:val="0"/>
                <w:sz w:val="16"/>
                <w:szCs w:val="16"/>
                <w:u w:val="none"/>
                <w:lang w:val="en-US" w:eastAsia="zh-CN" w:bidi="ar"/>
              </w:rPr>
              <w:t>检验检测能力得到大大提升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E1573D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0B18F0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67EFC7D">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693D6A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4B016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ED299B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满意度指标</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8CEC4C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满意度指标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6BDD0E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指标2：职工仪器设备维护正常使用率满意度</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9890A1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C815A8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90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850518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BFB9DC0">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98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60794A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AE0DFD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8945DF9">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4D9C84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8635B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190DD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74899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CC7399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指标1：职工对仪器设备检定/校准合格率满意度</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F2B980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975FCA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90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F0A9D7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EE9127E">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98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AA684C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432640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BB3457E">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2AA7B3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78"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AB591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348D58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成本指标</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04EDAC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经济成本指标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571194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指标2：实验室基础设施、仪器设备维护维修及改造升级运行费</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F0A009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615D2D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7BDFE4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9005C92">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CD4064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5AC3C0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6AEC06A">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266774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DFFDB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F5C57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272A7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801B59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指标1：仪器设备检定/校准费</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9A310E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A648C7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C052A8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A4946B7">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6B5026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CD20FA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911F53B">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64D115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7B19FD0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合计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F9D7B6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729BE6B">
            <w:pPr>
              <w:keepNext w:val="0"/>
              <w:keepLines w:val="0"/>
              <w:widowControl/>
              <w:suppressLineNumbers w:val="0"/>
              <w:spacing w:before="0" w:beforeAutospacing="0" w:after="0" w:afterAutospacing="0"/>
              <w:ind w:left="0" w:right="0"/>
              <w:jc w:val="righ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25E7B95">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7B4A5C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2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18B505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评价结论</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351A4BFB">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一、项目基本概况。工作经费资金共计10万元。二、效果及评价结论。（一）效果。1.确保测量和检测结果的准确性；2.保障设备的正常运行。定期的维护可以及时发现并解决潜在的故障隐患，降低设备突发故障的概率，确保仪器设备能够稳定、持续地工作，从而提高工作效率。3.延长设备的使用寿命（二）评价结果和评价结论。本项目自评分为100分，评价等级为优秀，达到预期绩效目标。</w:t>
            </w:r>
          </w:p>
        </w:tc>
      </w:tr>
      <w:tr w14:paraId="03C45F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0DB417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存在问题</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78D144E6">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093D2D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3"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E8815E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改进措施</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2CC28F45">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增加设备维护频率，及时更换磨损的零配件，建议财政追加经费，添置新的设备及配件。</w:t>
            </w:r>
          </w:p>
        </w:tc>
      </w:tr>
      <w:tr w14:paraId="7743B0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D2368D8">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w:t>
            </w:r>
          </w:p>
        </w:tc>
        <w:tc>
          <w:tcPr>
            <w:tcW w:w="0" w:type="auto"/>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CEA1A49">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w:t>
            </w:r>
          </w:p>
        </w:tc>
      </w:tr>
      <w:tr w14:paraId="2D5DDF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tcBorders>
              <w:top w:val="nil"/>
              <w:left w:val="nil"/>
              <w:bottom w:val="nil"/>
              <w:right w:val="nil"/>
            </w:tcBorders>
            <w:shd w:val="clear" w:color="auto" w:fill="auto"/>
            <w:vAlign w:val="center"/>
          </w:tcPr>
          <w:p w14:paraId="7CDFB9EE">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4EDB4404">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47816D32">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544F196D">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76500619">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19A79A0B">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0D4DE362">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35C2E4D5">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6BD4AAB5">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13017CB7">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5825079F">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047698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0" w:type="auto"/>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7C3DE7F1">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部门预算项目支出绩效自评表（2023年度）</w:t>
            </w:r>
          </w:p>
        </w:tc>
      </w:tr>
      <w:tr w14:paraId="3319BD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DEDA410">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项目名称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6C5CC436">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51080023T000008230959-救灾物资装卸、翻晒、维护、保养、运输及仓库守库人员和保安人员工作经费</w:t>
            </w:r>
          </w:p>
        </w:tc>
      </w:tr>
      <w:tr w14:paraId="5FD692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2"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56BB95F">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主管部门</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00AD13D">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广元市发展和改革委员会部门</w:t>
            </w:r>
          </w:p>
        </w:tc>
        <w:tc>
          <w:tcPr>
            <w:tcW w:w="0" w:type="auto"/>
            <w:tcBorders>
              <w:top w:val="nil"/>
              <w:left w:val="nil"/>
              <w:bottom w:val="nil"/>
              <w:right w:val="nil"/>
            </w:tcBorders>
            <w:shd w:val="clear" w:color="auto" w:fill="auto"/>
            <w:vAlign w:val="center"/>
          </w:tcPr>
          <w:p w14:paraId="7BF8622A">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244F43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广元市救灾物资管理中心</w:t>
            </w:r>
          </w:p>
        </w:tc>
      </w:tr>
      <w:tr w14:paraId="434A27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E855C04">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项目基本情况</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651BD04">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1.项目年度目标完成情况</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700DAA2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项目年度目标</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5084A80D">
            <w:pPr>
              <w:keepNext w:val="0"/>
              <w:keepLines w:val="0"/>
              <w:widowControl/>
              <w:suppressLineNumbers w:val="0"/>
              <w:spacing w:before="0" w:beforeAutospacing="0" w:after="0" w:afterAutospacing="0"/>
              <w:ind w:left="0" w:right="0"/>
              <w:jc w:val="center"/>
              <w:textAlignment w:val="center"/>
              <w:rPr>
                <w:rFonts w:hint="eastAsia" w:ascii="黑体" w:hAnsi="黑体" w:eastAsia="黑体" w:cs="黑体"/>
                <w:i w:val="0"/>
                <w:iCs w:val="0"/>
                <w:color w:val="FF0000"/>
                <w:sz w:val="18"/>
                <w:szCs w:val="18"/>
                <w:u w:val="none"/>
              </w:rPr>
            </w:pPr>
            <w:r>
              <w:rPr>
                <w:rFonts w:hint="eastAsia" w:ascii="黑体" w:hAnsi="黑体" w:eastAsia="黑体" w:cs="黑体"/>
                <w:i w:val="0"/>
                <w:iCs w:val="0"/>
                <w:color w:val="FF0000"/>
                <w:kern w:val="0"/>
                <w:sz w:val="18"/>
                <w:szCs w:val="18"/>
                <w:u w:val="none"/>
                <w:lang w:val="en-US" w:eastAsia="zh-CN" w:bidi="ar"/>
              </w:rPr>
              <w:t>年度目标完成情况</w:t>
            </w:r>
          </w:p>
        </w:tc>
      </w:tr>
      <w:tr w14:paraId="6F5AD3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8"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39DD59">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4FF2BE">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2B261F09">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做好全年市级救灾物资采购，库存。加强值班值守、巡逻，确保3525平米库房安全，加强防火防盗、防虫、防霉变，以及救灾物资翻晒清洗工作，确保1500余万元救灾物资储备安全完整，确保全市受灾困难群众基本生活保障。</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170ED81B">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严格实行了“日巡、月检、季清”管理机制，即：每日对储备物资巡查1次，每月对库房和物资进行全面检查1次、每季度对库存物资进行清点晾晒、倒垛保养和消毒灭菌，坚持24小时全天候应急值守，确保救灾物资储备绝对安全。</w:t>
            </w:r>
          </w:p>
        </w:tc>
      </w:tr>
      <w:tr w14:paraId="7EEC30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3"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6E74F1">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02E486F">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2.项目实施内容及过程概述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1F9EBA05">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加强库房救灾物资防火、防盗、防虫、防霉变，完成整理，倒剁，回收救灾物资翻晒清洗工作，以及库房防锈处理，喷漆等日常维护。2.安排人员常年24小时轮流值班、守库确保有突发重大灾情时物资及时发放到受灾群众手中。3.通道及大门安排专人值守 对通道、大门以及3525平米的库房巡逻，确保库房救灾物资物资的安全完整。</w:t>
            </w:r>
          </w:p>
        </w:tc>
      </w:tr>
      <w:tr w14:paraId="307938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7418A6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预算执行情况（10分）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A260E2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年度预算数（万元）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67D64F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年初预算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726755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调整后预算数</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7668EB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预算执行数</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E78562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49C4BF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E5DC02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959895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原因</w:t>
            </w:r>
          </w:p>
        </w:tc>
      </w:tr>
      <w:tr w14:paraId="7953F1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86976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337644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总额</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2479E0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17.13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74CD6D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17.13</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06BDE8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17.13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9C9066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9F80DC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190D17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D2BC636">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6526A2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ADE93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015D9D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其中：财政资金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CC163B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17.13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81ABB8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17.13</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D5F3F6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17.13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AA3D06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9F3454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1AC89F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3D6358">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6F7047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7"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D21F3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B619EE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财政专户管理资金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FE7095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9C064E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396709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61DACE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06CF7D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A7D98A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097003">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6732DF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F16FC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FBBA43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单位资金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039183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6DD6F4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3E8850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C65733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2CE297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0435DC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42577F">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1A7227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213EE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EB68F9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其他资金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413082E">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14E6F43">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C8A11ED">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1800B45">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A7AA2F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D6EFC7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2B0334">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0D25A4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647A46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绩效指标（90分）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998205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一级指标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B76FC6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二级指标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9EE182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三级指标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BB618B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指标性质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3D6B9D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CC4052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度量单位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878F68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完成值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9061EC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6D92FA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6423CF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未完成原因分析</w:t>
            </w:r>
          </w:p>
        </w:tc>
      </w:tr>
      <w:tr w14:paraId="0509BC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78"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8E253C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AFA25F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产出指标</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35CEA3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数量指标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5DFFF6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对库房进行日常维护</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F14FED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3AD476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3525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F4D20A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平方米/公里</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A7ADF9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3525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9E0587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CD1F25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336A6A8">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13B2FD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3BE4E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02A97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6567A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734788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常年24小时轮流守库</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5426E5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570262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20F374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24小时</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3B3829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D2F8FE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4E52C7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022C1E8">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18A4D3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5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46E86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A16A8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29585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E98D01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完成的救灾储备物资的装卸、运输、大型避难场所发电机、板房等维护保养，货车保养运输，救灾物资翻晒、保养、清洗等日常工作。</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33D192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99E2EE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45000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9F4E47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个（台、套、件、辆）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FB91B4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45600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492BDF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53BE8F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BBD4E32">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25A574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78"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4BA1C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CC19E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9C7F7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90B338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通道及大门安排专人值守</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499381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66C5F2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3525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1EA33D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平方米/公里</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E372E7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3525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E96EDE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ADA5B8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97B3FBA">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6003A8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BA6EE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256C6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2E1AFF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质量指标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312E26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确保救灾储备物资完好</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2AB5B8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860EAB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4FE67D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0F0264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4F1FA1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C9CD75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31F1017">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27535E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EDF06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2098A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081630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时效指标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A403D1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完成时间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1D8EA4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4D8D88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7C5750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月</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63A3FE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F1A4DA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832E63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29CA4C3">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65A960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4303E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CB413A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7029F1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社会效益指标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A1B77A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完成救灾物资储备、管理和运输、发放。</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32E5C2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99CA27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确保市级救灾物资安全完整，以保障受灾困难群众基本生活</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B434E8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9D053A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发放棉被9004床，帐篷5顶，遮阳篷3顶，棉大衣3478件。</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C38925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DED384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C2C7698">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0C21EA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78"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E8B36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285A8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762370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可持续影响指标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BA7525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救灾物资储备管理工作的开展将持续发挥良好的社会效益</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F3CEC9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1080B4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及时有效提高应急处突能力，确保社会稳定。</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1C4B23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D06F97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发放棉被9004床，帐篷5顶，遮阳篷3顶，棉大衣3478件。确保社会稳定。</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82E9EF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D3EC34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247C7B6">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1570BC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0A5BC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8806AF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满意度指标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64D672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满意度指标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CEC0F6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受灾群众满意率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069C8F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BD581C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1A79D3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085F92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452AFC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FAD3FF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C70AC2E">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2DD36B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B05FD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C695BA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成本指标</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0C252F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经济成本指标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A8FDD6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保安人员费用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2AF601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F5AD2E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5.48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0F192E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F14CC6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5.48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8236F8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1DC81F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150E81F">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7CB24A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1DD27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EAA8C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AECDE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DED6FB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翻晒、保养、清洗，避难场所板房、发电机维护等</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F1490A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439C4B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F24973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3B65A3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88B236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5B0298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9879084">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79AF48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9F0C2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B4623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2EABF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BB6AEE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装卸、运输、费用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78FCAD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11A5F8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5.65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67D137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1A5F8B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5.65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B79301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052A4A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223A60D">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7F4DFA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65D6B6F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合计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BA83A1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2609F9B">
            <w:pPr>
              <w:keepNext w:val="0"/>
              <w:keepLines w:val="0"/>
              <w:widowControl/>
              <w:suppressLineNumbers w:val="0"/>
              <w:spacing w:before="0" w:beforeAutospacing="0" w:after="0" w:afterAutospacing="0"/>
              <w:ind w:left="0" w:right="0"/>
              <w:jc w:val="righ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1946463">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512572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6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F07215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评价结论</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23C55A98">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val="0"/>
                <w:iCs w:val="0"/>
                <w:color w:val="000000"/>
                <w:sz w:val="16"/>
                <w:szCs w:val="16"/>
                <w:u w:val="none"/>
              </w:rPr>
            </w:pPr>
            <w:r>
              <w:rPr>
                <w:rFonts w:hint="eastAsia" w:ascii="微软雅黑" w:hAnsi="微软雅黑" w:eastAsia="微软雅黑" w:cs="微软雅黑"/>
                <w:i w:val="0"/>
                <w:iCs w:val="0"/>
                <w:color w:val="000000"/>
                <w:kern w:val="0"/>
                <w:sz w:val="16"/>
                <w:szCs w:val="16"/>
                <w:u w:val="none"/>
                <w:lang w:val="en-US" w:eastAsia="zh-CN" w:bidi="ar"/>
              </w:rPr>
              <w:t>扎实开展救灾物资维护保养工作。对库存救灾物资进行了全面清查、归类整理，实现救灾物资清查率达100 %；对棉被、毛毯和衣服、帐篷、竹板床等救灾物资进行了码垛整理、通风翻晒和消毒灭菌；组织专业人员，对叉车、运输车辆和场地照明灯具、车载移动以及物资储备房、机电等设施设备进行了全面维护检修。严格实行了“日巡、月检、季清”管理机制，每日巡查1次储备物资，每月全面检查1次库房和物资，每季度对库存物资进行清点晾晒、倒垛保养和消毒灭菌，坚持24小时全天候应急值守，确保救灾物资储备绝对安全。项目自评得分100分。</w:t>
            </w:r>
          </w:p>
        </w:tc>
      </w:tr>
      <w:tr w14:paraId="73625C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D7F201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存在问题</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3929631A">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val="0"/>
                <w:iCs w:val="0"/>
                <w:color w:val="000000"/>
                <w:sz w:val="16"/>
                <w:szCs w:val="16"/>
                <w:u w:val="none"/>
              </w:rPr>
            </w:pPr>
            <w:r>
              <w:rPr>
                <w:rFonts w:hint="eastAsia" w:ascii="微软雅黑" w:hAnsi="微软雅黑" w:eastAsia="微软雅黑" w:cs="微软雅黑"/>
                <w:i w:val="0"/>
                <w:iCs w:val="0"/>
                <w:color w:val="000000"/>
                <w:kern w:val="0"/>
                <w:sz w:val="16"/>
                <w:szCs w:val="16"/>
                <w:u w:val="none"/>
                <w:lang w:val="en-US" w:eastAsia="zh-CN" w:bidi="ar"/>
              </w:rPr>
              <w:t>救灾物资储备库房屋顶漏雨浸水、墙面大面积脱落，主结构钢架生锈严重。加之库房无散热装置，消防系统、烟感报警器等消防设施设备严重老化损坏，现处于瘫痪状态，对救灾物资的储备造成严重安全隐患。守库费用没有按时发放。</w:t>
            </w:r>
          </w:p>
        </w:tc>
      </w:tr>
      <w:tr w14:paraId="2D7EE4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3"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FEAC1F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改进措施</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27460DF9">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val="0"/>
                <w:iCs w:val="0"/>
                <w:color w:val="000000"/>
                <w:sz w:val="16"/>
                <w:szCs w:val="16"/>
                <w:u w:val="none"/>
              </w:rPr>
            </w:pPr>
            <w:r>
              <w:rPr>
                <w:rFonts w:hint="eastAsia" w:ascii="微软雅黑" w:hAnsi="微软雅黑" w:eastAsia="微软雅黑" w:cs="微软雅黑"/>
                <w:i w:val="0"/>
                <w:iCs w:val="0"/>
                <w:color w:val="000000"/>
                <w:kern w:val="0"/>
                <w:sz w:val="16"/>
                <w:szCs w:val="16"/>
                <w:u w:val="none"/>
                <w:lang w:val="en-US" w:eastAsia="zh-CN" w:bidi="ar"/>
              </w:rPr>
              <w:t>积极争取资金，完成救灾物资储备库房墙体、屋顶的维修治漏工作；完成安防系统和消防设施设备的维护更换工作，采购部分消防设施设备。严格纪律，加大守库巡查力度，按时发放守库人员经费。</w:t>
            </w:r>
          </w:p>
        </w:tc>
      </w:tr>
      <w:tr w14:paraId="77091F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5E06766E">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w:t>
            </w:r>
          </w:p>
        </w:tc>
        <w:tc>
          <w:tcPr>
            <w:tcW w:w="0" w:type="auto"/>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705A66E">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w:t>
            </w:r>
          </w:p>
        </w:tc>
      </w:tr>
      <w:tr w14:paraId="1CEA17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tcBorders>
              <w:top w:val="nil"/>
              <w:left w:val="nil"/>
              <w:bottom w:val="nil"/>
              <w:right w:val="nil"/>
            </w:tcBorders>
            <w:shd w:val="clear" w:color="auto" w:fill="auto"/>
            <w:vAlign w:val="center"/>
          </w:tcPr>
          <w:p w14:paraId="1264AD8B">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4BB7B5D2">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39A83163">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1C577DF3">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51AFB622">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01E24303">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31DDA4A9">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5401288C">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10F7D9BE">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6DF9C648">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6612B8BB">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156D9A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0" w:type="auto"/>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305A0906">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部门预算项目支出绩效自评表（2023年度）</w:t>
            </w:r>
          </w:p>
        </w:tc>
      </w:tr>
      <w:tr w14:paraId="420E11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04A883A">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项目名称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1D5C4EF1">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51080023T000008231113-2023年救灾物资采购资金</w:t>
            </w:r>
          </w:p>
        </w:tc>
      </w:tr>
      <w:tr w14:paraId="3D81AA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2"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6D8F219">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主管部门</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12A64A97">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广元市发展和改革委员会部门</w:t>
            </w:r>
          </w:p>
        </w:tc>
        <w:tc>
          <w:tcPr>
            <w:tcW w:w="0" w:type="auto"/>
            <w:tcBorders>
              <w:top w:val="nil"/>
              <w:left w:val="nil"/>
              <w:bottom w:val="nil"/>
              <w:right w:val="nil"/>
            </w:tcBorders>
            <w:shd w:val="clear" w:color="auto" w:fill="auto"/>
            <w:vAlign w:val="center"/>
          </w:tcPr>
          <w:p w14:paraId="2E1AEADF">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BBE8E2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广元市救灾物资管理中心</w:t>
            </w:r>
          </w:p>
        </w:tc>
      </w:tr>
      <w:tr w14:paraId="52CA69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D5E706A">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项目基本情况</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ACFBD4F">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1.项目年度目标完成情况</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F7D0A5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项目年度目标</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067135BB">
            <w:pPr>
              <w:keepNext w:val="0"/>
              <w:keepLines w:val="0"/>
              <w:widowControl/>
              <w:suppressLineNumbers w:val="0"/>
              <w:spacing w:before="0" w:beforeAutospacing="0" w:after="0" w:afterAutospacing="0"/>
              <w:ind w:left="0" w:right="0"/>
              <w:jc w:val="center"/>
              <w:textAlignment w:val="center"/>
              <w:rPr>
                <w:rFonts w:hint="eastAsia" w:ascii="黑体" w:hAnsi="黑体" w:eastAsia="黑体" w:cs="黑体"/>
                <w:i w:val="0"/>
                <w:iCs w:val="0"/>
                <w:color w:val="FF0000"/>
                <w:sz w:val="18"/>
                <w:szCs w:val="18"/>
                <w:u w:val="none"/>
              </w:rPr>
            </w:pPr>
            <w:r>
              <w:rPr>
                <w:rFonts w:hint="eastAsia" w:ascii="黑体" w:hAnsi="黑体" w:eastAsia="黑体" w:cs="黑体"/>
                <w:i w:val="0"/>
                <w:iCs w:val="0"/>
                <w:color w:val="FF0000"/>
                <w:kern w:val="0"/>
                <w:sz w:val="18"/>
                <w:szCs w:val="18"/>
                <w:u w:val="none"/>
                <w:lang w:val="en-US" w:eastAsia="zh-CN" w:bidi="ar"/>
              </w:rPr>
              <w:t>年度目标完成情况</w:t>
            </w:r>
          </w:p>
        </w:tc>
      </w:tr>
      <w:tr w14:paraId="3A9A9E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8"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02C826">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C484C3">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01C1F191">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做好全年市级救灾物资的采购、储备和管理，确保储备救灾物资的安全完整，为全市受灾困难群众基本生活提供保障。</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10E66AD7">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严格执行救灾物资采购程序。采购棉被1700床、8㎡单帐篷200顶物资</w:t>
            </w:r>
          </w:p>
        </w:tc>
      </w:tr>
      <w:tr w14:paraId="14BE61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3"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CCBE4E">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54EAE8E">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2.项目实施内容及过程概述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7FF81D02">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根据市应急管理局2023年救灾物资储备需求，结合现救灾物资储备实际，确定采购计划，市场询价，申请资金，严格按照政府采购程序组织开展了救灾物资采购工作。</w:t>
            </w:r>
          </w:p>
        </w:tc>
      </w:tr>
      <w:tr w14:paraId="6ECD3B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ACDB52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预算执行情况（10分）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46AB68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年度预算数（万元）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F059DB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年初预算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16AA0D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调整后预算数</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2F739C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预算执行数</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22EF1D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033CAA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5C3FE7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438617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原因</w:t>
            </w:r>
          </w:p>
        </w:tc>
      </w:tr>
      <w:tr w14:paraId="613FCC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89E5F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02D1D4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总额</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75F104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209673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60.00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DE97FA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57.79</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533AF3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96.32%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E31D30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DB8CEF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B79AF40">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2CEE4A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82679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B23610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其中：财政资金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FD3157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820D51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60.00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F10BAF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57.79</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FAEE77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96.32%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EF22E8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CFD12F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1CC2CC">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1235A6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7"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DDB15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C14AA9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财政专户管理资金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8A2F79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D9458B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73A996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D98DCF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ACC626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EE8E0C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3E2D69">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496935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67235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030DF8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单位资金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C4F0E5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EDDE54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100B7C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977D5E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EDBDDD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0B678C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A5CFE7">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142D2D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70DA1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990128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其他资金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E5F66FC">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D883F9A">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A0E04CD">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DC0D06C">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09B242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054B15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938E47">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2C936F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550280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绩效指标（90分）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0BAFBD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一级指标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E048AB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二级指标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7BF422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三级指标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CB9D1A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指标性质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3B464F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10EDBA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度量单位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B60440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完成值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57A2DD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7CE919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9D5890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未完成原因分析</w:t>
            </w:r>
          </w:p>
        </w:tc>
      </w:tr>
      <w:tr w14:paraId="643BA3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CC1B0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74F416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产出指标</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DF85B7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数量指标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73D4AB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指标1：完成救灾物资单帐篷（8㎡）的采购。</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CF957A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1874AE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3529DF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张</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6A05AC6">
            <w:pPr>
              <w:keepNext w:val="0"/>
              <w:keepLines w:val="0"/>
              <w:widowControl/>
              <w:suppressLineNumbers w:val="0"/>
              <w:spacing w:before="0" w:beforeAutospacing="0" w:after="0" w:afterAutospacing="0"/>
              <w:ind w:left="0" w:right="0"/>
              <w:jc w:val="right"/>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AF44A6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A15849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9B9DFE7">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6F9EAE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008D3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E1FDA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F6F8B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94B009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指标2：完成救灾物资棉被的采购</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AAFE76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41A783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1700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C8E635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床</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277CA9A">
            <w:pPr>
              <w:keepNext w:val="0"/>
              <w:keepLines w:val="0"/>
              <w:widowControl/>
              <w:suppressLineNumbers w:val="0"/>
              <w:spacing w:before="0" w:beforeAutospacing="0" w:after="0" w:afterAutospacing="0"/>
              <w:ind w:left="0" w:right="0"/>
              <w:jc w:val="right"/>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1700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FBF07E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C9204F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A460F13">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0DB9BE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B3953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8A19C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36BABD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质量指标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E04209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确保救灾储备物资完好</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57EECA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0DE2B2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DE5E54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60D137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DE99E3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E4CB15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019B06A">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59293A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99FE4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58438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BB51DE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时效指标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638ED3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完成时间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487FE9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3C6FEA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3DD97F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月</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DB12C5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11月</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D7E493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9C2336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C47C024">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6E7F81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B65D0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04009B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5CB91D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社会效益指标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FE9BC2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完成救灾物资采购、储备和管理。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C4DF71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7C0DE7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确保市级救灾物资安全完整，以保障受灾困难群众基本生活。</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D657DE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8AA32A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全面完成救灾物资采购、储备。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D17324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43FD89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DFE1919">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489875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78"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BA31F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6405A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ADAAC7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可持续影响指标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900653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救灾物资储备管理工作的开展将持续发挥良好的社会效益。</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2BB0CA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69F6CD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及时有效提高应急处突能力，确保社会稳定。</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FD4D4C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A521BD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发放棉被9004床，帐篷5顶，遮阳篷3顶，棉大衣3478件。确保社会稳定。</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2D83BF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8556EA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E4FB1EE">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4170B6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EFAFC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BDFCC2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满意度指标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7D170F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满意度指标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CFA44C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受灾群众满意率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9F4E44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F89E44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C8B66B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00A3A1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196022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467B30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08323E2">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77ED75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23B65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5F580C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成本指标</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F27984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经济成本指标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C72AEC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指标1：完成采购救灾物资单帐篷（8 ㎡）200顶</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238DD6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959217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0D5608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3A0B7E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26万元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97D746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8055FC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F205638">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5D3B28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D1C0E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D9CDB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42D9B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54C12A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指标2：完成采购救灾物资棉被1700床</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4FAA19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9C369C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34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FAE2E4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A864A5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31.79万元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F5F189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E5963B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44CC706">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5578AE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7202C7A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合计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C5CFAE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28C0D0A">
            <w:pPr>
              <w:keepNext w:val="0"/>
              <w:keepLines w:val="0"/>
              <w:widowControl/>
              <w:suppressLineNumbers w:val="0"/>
              <w:spacing w:before="0" w:beforeAutospacing="0" w:after="0" w:afterAutospacing="0"/>
              <w:ind w:left="0" w:right="0"/>
              <w:jc w:val="righ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656EAC4">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0BAD4C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3"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16EE09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评价结论</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11227EF9">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val="0"/>
                <w:iCs w:val="0"/>
                <w:color w:val="000000"/>
                <w:sz w:val="16"/>
                <w:szCs w:val="16"/>
                <w:u w:val="none"/>
              </w:rPr>
            </w:pPr>
            <w:r>
              <w:rPr>
                <w:rStyle w:val="58"/>
                <w:lang w:val="en-US" w:eastAsia="zh-CN" w:bidi="ar"/>
              </w:rPr>
              <w:t>全年累计采购棉被1700床、8</w:t>
            </w:r>
            <w:r>
              <w:rPr>
                <w:rStyle w:val="59"/>
                <w:lang w:val="en-US" w:eastAsia="zh-CN" w:bidi="ar"/>
              </w:rPr>
              <w:t>㎡</w:t>
            </w:r>
            <w:r>
              <w:rPr>
                <w:rStyle w:val="58"/>
                <w:lang w:val="en-US" w:eastAsia="zh-CN" w:bidi="ar"/>
              </w:rPr>
              <w:t>单帐篷200顶等救灾物资。为工作提供了坚实的物资保障，确保了受灾后群众的基本生活。项目自评得分100分。</w:t>
            </w:r>
          </w:p>
        </w:tc>
      </w:tr>
      <w:tr w14:paraId="4DAB4C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ADF51C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存在问题</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65116AE4">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val="0"/>
                <w:iCs w:val="0"/>
                <w:color w:val="000000"/>
                <w:sz w:val="16"/>
                <w:szCs w:val="16"/>
                <w:u w:val="none"/>
              </w:rPr>
            </w:pPr>
            <w:r>
              <w:rPr>
                <w:rFonts w:hint="eastAsia" w:ascii="微软雅黑" w:hAnsi="微软雅黑" w:eastAsia="微软雅黑" w:cs="微软雅黑"/>
                <w:i w:val="0"/>
                <w:iCs w:val="0"/>
                <w:color w:val="000000"/>
                <w:kern w:val="0"/>
                <w:sz w:val="16"/>
                <w:szCs w:val="16"/>
                <w:u w:val="none"/>
                <w:lang w:val="en-US" w:eastAsia="zh-CN" w:bidi="ar"/>
              </w:rPr>
              <w:t>按照《“十四五”国家应急体系规划》中“地方层面满足启动本行政区域Ⅱ级应急响应的应急物资保障需求”的要求，目前我市救灾物资储存规模还远远达不到启动Ⅱ级应急响应。加之救灾物资采购资金未纳入年初财政预算，致使物资采购进度迟缓，及时保障物资需求困难。</w:t>
            </w:r>
          </w:p>
        </w:tc>
      </w:tr>
      <w:tr w14:paraId="095075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3"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885271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改进措施</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5E3B491C">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val="0"/>
                <w:iCs w:val="0"/>
                <w:color w:val="000000"/>
                <w:sz w:val="16"/>
                <w:szCs w:val="16"/>
                <w:u w:val="none"/>
              </w:rPr>
            </w:pPr>
            <w:r>
              <w:rPr>
                <w:rFonts w:hint="eastAsia" w:ascii="微软雅黑" w:hAnsi="微软雅黑" w:eastAsia="微软雅黑" w:cs="微软雅黑"/>
                <w:i w:val="0"/>
                <w:iCs w:val="0"/>
                <w:color w:val="000000"/>
                <w:kern w:val="0"/>
                <w:sz w:val="16"/>
                <w:szCs w:val="16"/>
                <w:u w:val="none"/>
                <w:lang w:val="en-US" w:eastAsia="zh-CN" w:bidi="ar"/>
              </w:rPr>
              <w:t>将救灾物资采购资金纳入年初预算。</w:t>
            </w:r>
          </w:p>
        </w:tc>
      </w:tr>
      <w:tr w14:paraId="4D0FFF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08E1304">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w:t>
            </w:r>
          </w:p>
        </w:tc>
        <w:tc>
          <w:tcPr>
            <w:tcW w:w="0" w:type="auto"/>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12924BD">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w:t>
            </w:r>
          </w:p>
        </w:tc>
      </w:tr>
      <w:tr w14:paraId="2E8AD6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tcBorders>
              <w:top w:val="nil"/>
              <w:left w:val="nil"/>
              <w:bottom w:val="nil"/>
              <w:right w:val="nil"/>
            </w:tcBorders>
            <w:shd w:val="clear" w:color="auto" w:fill="auto"/>
            <w:vAlign w:val="center"/>
          </w:tcPr>
          <w:p w14:paraId="3954B68B">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3C504A6E">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4116D92D">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0A57AC8B">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007C12EF">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3AFF1D1E">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58853848">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6A43B34B">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02F6B00F">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39B730C5">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13306E02">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110F35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0" w:type="auto"/>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3E46A7CA">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部门预算项目支出绩效自评表（2023年度）</w:t>
            </w:r>
          </w:p>
        </w:tc>
      </w:tr>
      <w:tr w14:paraId="207F16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C1BCDA8">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项目名称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45B031D6">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51080023T000008949296-年度考核奖</w:t>
            </w:r>
          </w:p>
        </w:tc>
      </w:tr>
      <w:tr w14:paraId="1A7189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2"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CB1150B">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主管部门</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2ACD846B">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广元市发展和改革委员会部门</w:t>
            </w:r>
          </w:p>
        </w:tc>
        <w:tc>
          <w:tcPr>
            <w:tcW w:w="0" w:type="auto"/>
            <w:tcBorders>
              <w:top w:val="nil"/>
              <w:left w:val="nil"/>
              <w:bottom w:val="nil"/>
              <w:right w:val="nil"/>
            </w:tcBorders>
            <w:shd w:val="clear" w:color="auto" w:fill="auto"/>
            <w:vAlign w:val="center"/>
          </w:tcPr>
          <w:p w14:paraId="2D5B883F">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3F89E4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广元市粮油质量监测站</w:t>
            </w:r>
          </w:p>
        </w:tc>
      </w:tr>
      <w:tr w14:paraId="6C6B8E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973D6B9">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项目基本情况</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FEB81BE">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1.项目年度目标完成情况</w:t>
            </w: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EDE23E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项目年度目标</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1ABD637E">
            <w:pPr>
              <w:keepNext w:val="0"/>
              <w:keepLines w:val="0"/>
              <w:widowControl/>
              <w:suppressLineNumbers w:val="0"/>
              <w:spacing w:before="0" w:beforeAutospacing="0" w:after="0" w:afterAutospacing="0"/>
              <w:ind w:left="0" w:right="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14:paraId="2807A5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8"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C79D89">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A8207A">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14B1F7C9">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保障年度考核奖足额及时发放。</w:t>
            </w:r>
          </w:p>
        </w:tc>
        <w:tc>
          <w:tcPr>
            <w:tcW w:w="0" w:type="auto"/>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66E4C46D">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保障了年度考核奖足额及时发放。</w:t>
            </w:r>
          </w:p>
        </w:tc>
      </w:tr>
      <w:tr w14:paraId="6B738A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3"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326C48">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3F2DCF7">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2.项目实施内容及过程概述</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323571C5">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拉动人均收入，提升职工生存质量。</w:t>
            </w:r>
          </w:p>
        </w:tc>
      </w:tr>
      <w:tr w14:paraId="48A29A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6DF4A6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预算执行情况（10分）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BD2328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年度预算数（万元）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502274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年初预算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3F7094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调整后预算数</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FF4F95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预算执行数</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6D1A6D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92E5BE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3B43A0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C39C92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原因</w:t>
            </w:r>
          </w:p>
        </w:tc>
      </w:tr>
      <w:tr w14:paraId="15EE34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07997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24B4A2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总额</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C5B338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12.60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BA5BDF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12.60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8F910F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12.60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2DBD9E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9433DE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D8EFFE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2232252">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61CD67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18A52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384F2E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其中：财政资金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86234B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12.60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DA7763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12.60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6FD241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12.60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B47B5D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FB646E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482EAD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998ADD">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0BA36D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7"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0CCC8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41DAFB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财政专户管理资金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389741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7C3466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4CDA78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A04EFB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6B5DF2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8EAD37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31898B">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43EC31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8985D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354E9F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单位资金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D6A23A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5031A6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3D8D5F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5A70FB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99792A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637D1A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1419C3">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0E03F4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A3E9E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07CB49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其他资金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AF220E0">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028D7E6">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95941C9">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99B374F">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679C30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6B3357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51D055">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704813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F877A6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绩效指标（90分）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927C20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一级指标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12E935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二级指标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995984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三级指标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E8F5CE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指标性质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3905E9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CEEF8D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度量单位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3C78CB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完成值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EB3F02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57429C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得分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DB8457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未完成原因分析</w:t>
            </w:r>
          </w:p>
        </w:tc>
      </w:tr>
      <w:tr w14:paraId="1EB01F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AC051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F1E6A6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产出指标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716100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数量指标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A557FA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目标考核奖发放人数</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47CACB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A19AD9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2D7089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人</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54134C7">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A4D0E7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2D7144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5970052">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06F725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2039CD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CABF7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153A90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质量指标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5608A5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保障年度考核奖发放率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665D58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FF8851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F9EB82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66B5896">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935531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875DD3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9D6F2A5">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7600E2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CB77B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53A7F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0312DD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时效指标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05F112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完成时间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DC2503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41948D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377A15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月</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E36C391">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3B353D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B91015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65087A0">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1F9FF9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0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D2185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313626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325338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社会效益指标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947291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为职工提供生活保障。</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5F428A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7D93BE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拉动人均收入，提升职工生存质量。</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B3704C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D1EBEE3">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拉动人均收入，提升职工生存质量。</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7EF3A0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3D6D87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33EEAAA">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17CED0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6B963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671842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满意度指标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B477C8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满意度指标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CA34D2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考核奖发放对象满意度</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E354CF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1EE583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B8248C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AA6BD30">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AA8883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0D387C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1AE4B5E">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5AF96B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4469D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CC8580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成本指标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618373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经济成本指标</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3B1457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发放金额</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2DD82A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D2CB55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12.6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793F78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万元</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6AD58CD">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12..6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2E724A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3C93F2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76ADB6B">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7AFE57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1C9F188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合计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DD202D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AF3C2CE">
            <w:pPr>
              <w:keepNext w:val="0"/>
              <w:keepLines w:val="0"/>
              <w:widowControl/>
              <w:suppressLineNumbers w:val="0"/>
              <w:spacing w:before="0" w:beforeAutospacing="0" w:after="0" w:afterAutospacing="0"/>
              <w:ind w:left="0" w:right="0"/>
              <w:jc w:val="righ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35ABFCB">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5F36D1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3"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B41C38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评价结论</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2D285E7B">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自评得分100分，完成了预期绩效目标，达到了资金使用效益。</w:t>
            </w:r>
          </w:p>
        </w:tc>
      </w:tr>
      <w:tr w14:paraId="221DAC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2"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263E96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存在问题</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222EC4FA">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77422D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3"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935D50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改进措施</w:t>
            </w:r>
          </w:p>
        </w:tc>
        <w:tc>
          <w:tcPr>
            <w:tcW w:w="0" w:type="auto"/>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6E9D7030">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49E3F5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0F85F09A">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w:t>
            </w:r>
          </w:p>
        </w:tc>
        <w:tc>
          <w:tcPr>
            <w:tcW w:w="0" w:type="auto"/>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90F510E">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w:t>
            </w:r>
          </w:p>
        </w:tc>
      </w:tr>
      <w:tr w14:paraId="0CA5F2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0" w:type="auto"/>
            <w:tcBorders>
              <w:top w:val="nil"/>
              <w:left w:val="nil"/>
              <w:bottom w:val="nil"/>
              <w:right w:val="nil"/>
            </w:tcBorders>
            <w:shd w:val="clear" w:color="auto" w:fill="auto"/>
            <w:vAlign w:val="center"/>
          </w:tcPr>
          <w:p w14:paraId="319B4446">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3A654B63">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52A646CA">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790B42E8">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63252495">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671D904F">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64A412F2">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6C8C8288">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5C6DF049">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5BD0EEAD">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0" w:type="auto"/>
            <w:tcBorders>
              <w:top w:val="nil"/>
              <w:left w:val="nil"/>
              <w:bottom w:val="nil"/>
              <w:right w:val="nil"/>
            </w:tcBorders>
            <w:shd w:val="clear" w:color="auto" w:fill="auto"/>
            <w:vAlign w:val="center"/>
          </w:tcPr>
          <w:p w14:paraId="51545AFD">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bl>
    <w:p w14:paraId="4F11CD9F">
      <w:pPr>
        <w:rPr>
          <w:rFonts w:hint="default"/>
          <w:lang w:val="en-US" w:eastAsia="zh-CN"/>
        </w:rPr>
      </w:pPr>
    </w:p>
    <w:tbl>
      <w:tblPr>
        <w:tblStyle w:val="20"/>
        <w:tblW w:w="14100"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682"/>
        <w:gridCol w:w="2028"/>
        <w:gridCol w:w="1758"/>
        <w:gridCol w:w="2239"/>
        <w:gridCol w:w="519"/>
        <w:gridCol w:w="1659"/>
        <w:gridCol w:w="519"/>
        <w:gridCol w:w="1086"/>
        <w:gridCol w:w="505"/>
        <w:gridCol w:w="576"/>
        <w:gridCol w:w="2529"/>
      </w:tblGrid>
      <w:tr w14:paraId="042766F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4" w:hRule="atLeast"/>
        </w:trPr>
        <w:tc>
          <w:tcPr>
            <w:tcW w:w="14103" w:type="dxa"/>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4FB6C082">
            <w:pPr>
              <w:keepNext w:val="0"/>
              <w:keepLines w:val="0"/>
              <w:widowControl/>
              <w:suppressLineNumbers w:val="0"/>
              <w:spacing w:before="0" w:beforeAutospacing="0" w:after="0" w:afterAutospacing="0"/>
              <w:ind w:left="0" w:right="0"/>
              <w:jc w:val="center"/>
              <w:textAlignment w:val="center"/>
              <w:rPr>
                <w:rFonts w:hint="default"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部门预算项目支出绩效自评表（2023年度）</w:t>
            </w:r>
          </w:p>
        </w:tc>
      </w:tr>
      <w:tr w14:paraId="545503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273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6096FD8">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项目名称</w:t>
            </w:r>
          </w:p>
        </w:tc>
        <w:tc>
          <w:tcPr>
            <w:tcW w:w="11367" w:type="dxa"/>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0BC1B1CD">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51080023T000009609199-2023年省预算内基本建设资金（第三批））</w:t>
            </w:r>
          </w:p>
        </w:tc>
      </w:tr>
      <w:tr w14:paraId="053A92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2" w:hRule="atLeast"/>
        </w:trPr>
        <w:tc>
          <w:tcPr>
            <w:tcW w:w="273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4E435B1">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主管部门</w:t>
            </w:r>
          </w:p>
        </w:tc>
        <w:tc>
          <w:tcPr>
            <w:tcW w:w="675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51DC48A">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广元市发展和改革委员会部门</w:t>
            </w:r>
          </w:p>
        </w:tc>
        <w:tc>
          <w:tcPr>
            <w:tcW w:w="1091" w:type="dxa"/>
            <w:tcBorders>
              <w:top w:val="nil"/>
              <w:left w:val="nil"/>
              <w:bottom w:val="nil"/>
              <w:right w:val="nil"/>
            </w:tcBorders>
            <w:shd w:val="clear" w:color="auto" w:fill="auto"/>
            <w:vAlign w:val="center"/>
          </w:tcPr>
          <w:p w14:paraId="7AF60E17">
            <w:pPr>
              <w:keepNext w:val="0"/>
              <w:keepLines w:val="0"/>
              <w:widowControl/>
              <w:suppressLineNumbers w:val="0"/>
              <w:spacing w:before="0" w:beforeAutospacing="0" w:after="0" w:afterAutospacing="0"/>
              <w:ind w:left="0" w:right="0"/>
              <w:jc w:val="left"/>
              <w:textAlignment w:val="center"/>
              <w:rPr>
                <w:rFonts w:hint="default"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3518"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74C2E9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w:t>
            </w:r>
          </w:p>
        </w:tc>
      </w:tr>
      <w:tr w14:paraId="601FFB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68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78E7E0B">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项目基本情况</w:t>
            </w:r>
          </w:p>
        </w:tc>
        <w:tc>
          <w:tcPr>
            <w:tcW w:w="205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E6F5194">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1.项目年度目标完成情况</w:t>
            </w:r>
          </w:p>
        </w:tc>
        <w:tc>
          <w:tcPr>
            <w:tcW w:w="675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1B8AAA3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项目年度目标</w:t>
            </w:r>
          </w:p>
        </w:tc>
        <w:tc>
          <w:tcPr>
            <w:tcW w:w="4609"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5DB35D35">
            <w:pPr>
              <w:keepNext w:val="0"/>
              <w:keepLines w:val="0"/>
              <w:widowControl/>
              <w:suppressLineNumbers w:val="0"/>
              <w:spacing w:before="0" w:beforeAutospacing="0" w:after="0" w:afterAutospacing="0"/>
              <w:ind w:left="0" w:right="0"/>
              <w:jc w:val="center"/>
              <w:textAlignment w:val="center"/>
              <w:rPr>
                <w:rFonts w:hint="eastAsia" w:ascii="黑体" w:hAnsi="黑体" w:eastAsia="黑体" w:cs="黑体"/>
                <w:i w:val="0"/>
                <w:iCs w:val="0"/>
                <w:color w:val="FF0000"/>
                <w:sz w:val="18"/>
                <w:szCs w:val="18"/>
                <w:u w:val="none"/>
              </w:rPr>
            </w:pPr>
            <w:r>
              <w:rPr>
                <w:rFonts w:hint="eastAsia" w:ascii="黑体" w:hAnsi="黑体" w:eastAsia="黑体" w:cs="黑体"/>
                <w:i w:val="0"/>
                <w:iCs w:val="0"/>
                <w:color w:val="FF0000"/>
                <w:kern w:val="0"/>
                <w:sz w:val="18"/>
                <w:szCs w:val="18"/>
                <w:u w:val="none"/>
                <w:lang w:val="en-US" w:eastAsia="zh-CN" w:bidi="ar"/>
              </w:rPr>
              <w:t>年度目标完成情况</w:t>
            </w:r>
          </w:p>
        </w:tc>
      </w:tr>
      <w:tr w14:paraId="5EB352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8"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DE1041">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20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52D57E">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675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5DA0C915">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用于中煤广元煤电一体化项目、成渝地区粮食安全保障基地项目和推动国家、省级经济开发区高质量发展项目开展前期工作。</w:t>
            </w:r>
          </w:p>
        </w:tc>
        <w:tc>
          <w:tcPr>
            <w:tcW w:w="4609"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47061477">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有效推动中煤广元煤电一体化项目、成渝地区粮食安全保障基地项目和推动国家、省级经济开发区高质量发展项目开展前期工作。</w:t>
            </w:r>
          </w:p>
        </w:tc>
      </w:tr>
      <w:tr w14:paraId="6D56C8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3"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CCAF10">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58F349">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2.项目实施内容及过程概述</w:t>
            </w:r>
          </w:p>
        </w:tc>
        <w:tc>
          <w:tcPr>
            <w:tcW w:w="11367" w:type="dxa"/>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0921EFE2">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将100万元前期工作激励资金，分别分配中煤广元煤电一体化项目40万元、成渝地区粮食安全保障基地项目30万元、推动国家、省级经济开发区高质量发展项目30万元。</w:t>
            </w:r>
          </w:p>
        </w:tc>
      </w:tr>
      <w:tr w14:paraId="113955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68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5CD803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预算执行情况（10分）</w:t>
            </w: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DFB79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年度预算数（万元）</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1ACC0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年初预算</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F55CD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调整后预算数</w:t>
            </w: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FC2D12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预算执行数</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769E4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预算执行率</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D843A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3BC6B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得分</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25EBE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原因</w:t>
            </w:r>
          </w:p>
        </w:tc>
      </w:tr>
      <w:tr w14:paraId="02376E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6"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20C51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AB835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总额</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2BAB7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9E09A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60C0E0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19.00</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60E66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19.00%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13117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A851C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1.9</w:t>
            </w:r>
          </w:p>
        </w:tc>
        <w:tc>
          <w:tcPr>
            <w:tcW w:w="255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A95B515">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0EE89B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1"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93A01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8ACF0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其中：财政资金</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56C2B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F6DF0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19BC2E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19.00</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7DE79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19.00%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49154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1AE87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25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1E6A20">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7FA3CB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7"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BC0F1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DF75F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财政专户管理资金</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174DF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7DB34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0AA341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57ADE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331C2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A80C5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25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55A808">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651735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02A3F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0C069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单位资金</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17BF8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35E79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18C79A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EBB71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6E33B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E964B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25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C77C98">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788616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E8CD8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49C13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其他资金</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7D35B7">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9BCD8D">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AC9EE35">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025F7C">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D218E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EFE29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25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364918">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1CAEDF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68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663B2E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绩效指标（90分）</w:t>
            </w: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F5DCC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一级指标</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F0995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二级指标</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696C4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三级指标</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C710B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指标性质</w:t>
            </w:r>
          </w:p>
        </w:tc>
        <w:tc>
          <w:tcPr>
            <w:tcW w:w="1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DFD21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指标值</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76FD0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度量单位</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D69FC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完成值</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8B7C5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02A0C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得分</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57C1E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未完成原因分析</w:t>
            </w:r>
          </w:p>
        </w:tc>
      </w:tr>
      <w:tr w14:paraId="0B90A6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BFCE0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83DEA4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产出指标</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66AFE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数量指标</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FE0FD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指标1：支持对象个数</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58DA4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1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2C14A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3</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6FABE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个</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3BAC00">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3</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84B4A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7DE6A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D76D01">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3E270B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78"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37BDB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03488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BC551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质量指标</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39B69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指标1：用于项目前期工作，推动积极扩大有效投资</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E861D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1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F3436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有效推动</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E6FF4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58E431">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有效推动</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613A3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C45DB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85BA06">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5F9BD2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BE659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F094A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79411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时效指标</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A9B7A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指标1：按期完成资金投用</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5097B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1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06945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12</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57232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月</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DD7695">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12</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5ED40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B1C5C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252EFD">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2BC13B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78"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3E8D4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E298B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效益指标</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8D586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经济效益指标</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C7120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指标1：发挥省预算内资金带动作用，带动当地经济发展</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9BAA2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1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0596C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有效带动当地经济发展。</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2D9B7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392EDE">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有效带动当地经济发展。</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1929C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454C4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779538">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54F11C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4AF2A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2874A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满意度指标</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0A779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满意度指标</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E1DD1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 公众满意度</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8BC1E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1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C36B2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90</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101B4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DD4941">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E361C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00748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7190BC">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75D300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ED127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E4B9F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成本指标</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FB433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经济成本指标</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0967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指标1：项目前期工作经费</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E7B85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1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088F1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7D94D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万元</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4F71DA">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A29B5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ACE15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64B05B">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7A5AC0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10585"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44EF422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合计</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EA20D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F69B90">
            <w:pPr>
              <w:keepNext w:val="0"/>
              <w:keepLines w:val="0"/>
              <w:widowControl/>
              <w:suppressLineNumbers w:val="0"/>
              <w:spacing w:before="0" w:beforeAutospacing="0" w:after="0" w:afterAutospacing="0"/>
              <w:ind w:left="0" w:right="0"/>
              <w:jc w:val="righ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91.9</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F8FA33">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6282CD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3" w:hRule="atLeast"/>
        </w:trPr>
        <w:tc>
          <w:tcPr>
            <w:tcW w:w="6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FBBE7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评价结论</w:t>
            </w:r>
          </w:p>
        </w:tc>
        <w:tc>
          <w:tcPr>
            <w:tcW w:w="13419"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37371AB6">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有效推动中煤广元煤电一体化项目、成渝地区粮食安全保障基地项目和推动国家、省级经济开发区高质量发展项目开展前期工作。自评得分91.9分。</w:t>
            </w:r>
          </w:p>
        </w:tc>
      </w:tr>
      <w:tr w14:paraId="606715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2" w:hRule="atLeast"/>
        </w:trPr>
        <w:tc>
          <w:tcPr>
            <w:tcW w:w="6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79746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存在问题</w:t>
            </w:r>
          </w:p>
        </w:tc>
        <w:tc>
          <w:tcPr>
            <w:tcW w:w="13419"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26F8A23B">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010239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3" w:hRule="atLeast"/>
        </w:trPr>
        <w:tc>
          <w:tcPr>
            <w:tcW w:w="6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49793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改进措施</w:t>
            </w:r>
          </w:p>
        </w:tc>
        <w:tc>
          <w:tcPr>
            <w:tcW w:w="13419"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6F99A008">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074C9D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7296"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2DB142F6">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w:t>
            </w:r>
          </w:p>
        </w:tc>
        <w:tc>
          <w:tcPr>
            <w:tcW w:w="6807"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63A92E2">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w:t>
            </w:r>
          </w:p>
        </w:tc>
      </w:tr>
      <w:tr w14:paraId="6CDDE8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684" w:type="dxa"/>
            <w:tcBorders>
              <w:top w:val="nil"/>
              <w:left w:val="nil"/>
              <w:bottom w:val="nil"/>
              <w:right w:val="nil"/>
            </w:tcBorders>
            <w:shd w:val="clear" w:color="auto" w:fill="auto"/>
            <w:vAlign w:val="center"/>
          </w:tcPr>
          <w:p w14:paraId="53CFA436">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2052" w:type="dxa"/>
            <w:tcBorders>
              <w:top w:val="nil"/>
              <w:left w:val="nil"/>
              <w:bottom w:val="nil"/>
              <w:right w:val="nil"/>
            </w:tcBorders>
            <w:shd w:val="clear" w:color="auto" w:fill="auto"/>
            <w:vAlign w:val="center"/>
          </w:tcPr>
          <w:p w14:paraId="51A1E1A6">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1775" w:type="dxa"/>
            <w:tcBorders>
              <w:top w:val="nil"/>
              <w:left w:val="nil"/>
              <w:bottom w:val="nil"/>
              <w:right w:val="nil"/>
            </w:tcBorders>
            <w:shd w:val="clear" w:color="auto" w:fill="auto"/>
            <w:vAlign w:val="center"/>
          </w:tcPr>
          <w:p w14:paraId="588D7A05">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2264" w:type="dxa"/>
            <w:tcBorders>
              <w:top w:val="nil"/>
              <w:left w:val="nil"/>
              <w:bottom w:val="nil"/>
              <w:right w:val="nil"/>
            </w:tcBorders>
            <w:shd w:val="clear" w:color="auto" w:fill="auto"/>
            <w:vAlign w:val="center"/>
          </w:tcPr>
          <w:p w14:paraId="53640EA1">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521" w:type="dxa"/>
            <w:tcBorders>
              <w:top w:val="nil"/>
              <w:left w:val="nil"/>
              <w:bottom w:val="nil"/>
              <w:right w:val="nil"/>
            </w:tcBorders>
            <w:shd w:val="clear" w:color="auto" w:fill="auto"/>
            <w:vAlign w:val="center"/>
          </w:tcPr>
          <w:p w14:paraId="34F8216F">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1677" w:type="dxa"/>
            <w:tcBorders>
              <w:top w:val="nil"/>
              <w:left w:val="nil"/>
              <w:bottom w:val="nil"/>
              <w:right w:val="nil"/>
            </w:tcBorders>
            <w:shd w:val="clear" w:color="auto" w:fill="auto"/>
            <w:vAlign w:val="center"/>
          </w:tcPr>
          <w:p w14:paraId="133DCAF3">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521" w:type="dxa"/>
            <w:tcBorders>
              <w:top w:val="nil"/>
              <w:left w:val="nil"/>
              <w:bottom w:val="nil"/>
              <w:right w:val="nil"/>
            </w:tcBorders>
            <w:shd w:val="clear" w:color="auto" w:fill="auto"/>
            <w:vAlign w:val="center"/>
          </w:tcPr>
          <w:p w14:paraId="65CA8E9D">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1091" w:type="dxa"/>
            <w:tcBorders>
              <w:top w:val="nil"/>
              <w:left w:val="nil"/>
              <w:bottom w:val="nil"/>
              <w:right w:val="nil"/>
            </w:tcBorders>
            <w:shd w:val="clear" w:color="auto" w:fill="auto"/>
            <w:vAlign w:val="center"/>
          </w:tcPr>
          <w:p w14:paraId="52D67EB9">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505" w:type="dxa"/>
            <w:tcBorders>
              <w:top w:val="nil"/>
              <w:left w:val="nil"/>
              <w:bottom w:val="nil"/>
              <w:right w:val="nil"/>
            </w:tcBorders>
            <w:shd w:val="clear" w:color="auto" w:fill="auto"/>
            <w:vAlign w:val="center"/>
          </w:tcPr>
          <w:p w14:paraId="5907E30B">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456" w:type="dxa"/>
            <w:tcBorders>
              <w:top w:val="nil"/>
              <w:left w:val="nil"/>
              <w:bottom w:val="nil"/>
              <w:right w:val="nil"/>
            </w:tcBorders>
            <w:shd w:val="clear" w:color="auto" w:fill="auto"/>
            <w:vAlign w:val="center"/>
          </w:tcPr>
          <w:p w14:paraId="4666BCA1">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2557" w:type="dxa"/>
            <w:tcBorders>
              <w:top w:val="nil"/>
              <w:left w:val="nil"/>
              <w:bottom w:val="nil"/>
              <w:right w:val="nil"/>
            </w:tcBorders>
            <w:shd w:val="clear" w:color="auto" w:fill="auto"/>
            <w:vAlign w:val="center"/>
          </w:tcPr>
          <w:p w14:paraId="52ABBF1C">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7D7BF8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14103" w:type="dxa"/>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03CD90C1">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部门预算项目支出绩效自评表（2023年度）</w:t>
            </w:r>
          </w:p>
        </w:tc>
      </w:tr>
      <w:tr w14:paraId="695CB9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273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C7C208F">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项目名称</w:t>
            </w:r>
          </w:p>
        </w:tc>
        <w:tc>
          <w:tcPr>
            <w:tcW w:w="11367" w:type="dxa"/>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29EAD8CE">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51080023T000009927660-2023年省预算内基本建设资金（第七批）支出预算</w:t>
            </w:r>
          </w:p>
        </w:tc>
      </w:tr>
      <w:tr w14:paraId="6F797F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2" w:hRule="atLeast"/>
        </w:trPr>
        <w:tc>
          <w:tcPr>
            <w:tcW w:w="273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BBAD545">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主管部门</w:t>
            </w:r>
          </w:p>
        </w:tc>
        <w:tc>
          <w:tcPr>
            <w:tcW w:w="675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50DACB19">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广元市发展和改革委员会部门</w:t>
            </w:r>
          </w:p>
        </w:tc>
        <w:tc>
          <w:tcPr>
            <w:tcW w:w="1091" w:type="dxa"/>
            <w:tcBorders>
              <w:top w:val="nil"/>
              <w:left w:val="nil"/>
              <w:bottom w:val="nil"/>
              <w:right w:val="nil"/>
            </w:tcBorders>
            <w:shd w:val="clear" w:color="auto" w:fill="auto"/>
            <w:vAlign w:val="center"/>
          </w:tcPr>
          <w:p w14:paraId="493F3285">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3518"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3386A5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w:t>
            </w:r>
          </w:p>
        </w:tc>
      </w:tr>
      <w:tr w14:paraId="27094F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68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32A8536">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项目基本情况</w:t>
            </w:r>
          </w:p>
        </w:tc>
        <w:tc>
          <w:tcPr>
            <w:tcW w:w="205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A81A913">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1.项目年度目标完成情况</w:t>
            </w:r>
          </w:p>
        </w:tc>
        <w:tc>
          <w:tcPr>
            <w:tcW w:w="675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0772E4B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项目年度目标</w:t>
            </w:r>
          </w:p>
        </w:tc>
        <w:tc>
          <w:tcPr>
            <w:tcW w:w="4609"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16D493C4">
            <w:pPr>
              <w:keepNext w:val="0"/>
              <w:keepLines w:val="0"/>
              <w:widowControl/>
              <w:suppressLineNumbers w:val="0"/>
              <w:spacing w:before="0" w:beforeAutospacing="0" w:after="0" w:afterAutospacing="0"/>
              <w:ind w:left="0" w:right="0"/>
              <w:jc w:val="center"/>
              <w:textAlignment w:val="center"/>
              <w:rPr>
                <w:rFonts w:hint="eastAsia" w:ascii="黑体" w:hAnsi="黑体" w:eastAsia="黑体" w:cs="黑体"/>
                <w:i w:val="0"/>
                <w:iCs w:val="0"/>
                <w:color w:val="FF0000"/>
                <w:sz w:val="18"/>
                <w:szCs w:val="18"/>
                <w:u w:val="none"/>
              </w:rPr>
            </w:pPr>
            <w:r>
              <w:rPr>
                <w:rFonts w:hint="eastAsia" w:ascii="黑体" w:hAnsi="黑体" w:eastAsia="黑体" w:cs="黑体"/>
                <w:i w:val="0"/>
                <w:iCs w:val="0"/>
                <w:color w:val="FF0000"/>
                <w:kern w:val="0"/>
                <w:sz w:val="18"/>
                <w:szCs w:val="18"/>
                <w:u w:val="none"/>
                <w:lang w:val="en-US" w:eastAsia="zh-CN" w:bidi="ar"/>
              </w:rPr>
              <w:t>年度目标完成情况</w:t>
            </w:r>
          </w:p>
        </w:tc>
      </w:tr>
      <w:tr w14:paraId="119E87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C396D7">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20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98B506">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675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5B50250F">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用于广元市新型智慧城市建设项目、中煤广元煤电一体化项目、打造成渝地区能源安全保障基地项目开展前期工作，推动项目加快建设、尽快形成实物工作量，充分发挥投资拉动作用，全力推动经济运行整体好转、实现质的有效提升和量的合理增长。</w:t>
            </w:r>
          </w:p>
        </w:tc>
        <w:tc>
          <w:tcPr>
            <w:tcW w:w="4609"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3BC2ED19">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有效推动广元市新型智慧城市建设项目、中煤广元煤电一体化项目、打造成渝地区能源安全保障基地项目开展前期工作，推动项目加快建设、尽快形成实物工作量，充分发挥投资拉动作用，全力推动经济运行整体好转、实现质的有效提升和量的合理增长。</w:t>
            </w:r>
          </w:p>
        </w:tc>
      </w:tr>
      <w:tr w14:paraId="0A7577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3"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940D9F">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85D10E">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2.项目实施内容及过程概述</w:t>
            </w:r>
          </w:p>
        </w:tc>
        <w:tc>
          <w:tcPr>
            <w:tcW w:w="11367" w:type="dxa"/>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48C1CB69">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将100万元前期工作激励资金，分别分配中煤广元煤电一体化项目40万元、广元市新型智慧城市建设项目30万元、打造成渝地区能源安全保障基地30万元。</w:t>
            </w:r>
          </w:p>
        </w:tc>
      </w:tr>
      <w:tr w14:paraId="2D6399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68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ABF781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预算执行情况（10分）</w:t>
            </w: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A6B8B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年度预算数（万元）</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79DF1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年初预算</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A8EFF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调整后预算数</w:t>
            </w: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CB3798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预算执行数</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988BB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预算执行率</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ABE7C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E7FA9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得分</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D242E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原因</w:t>
            </w:r>
          </w:p>
        </w:tc>
      </w:tr>
      <w:tr w14:paraId="00BDE4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6"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CF9B4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F9466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总额</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F17DA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2FFDA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3D0AD4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30.00</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D9B2A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30.00%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0530B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92520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3</w:t>
            </w:r>
          </w:p>
        </w:tc>
        <w:tc>
          <w:tcPr>
            <w:tcW w:w="255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9E9A8E3">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6813B0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1"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BAB6E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3B4A8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其中：财政资金</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CB9BF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E2797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100.00</w:t>
            </w: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1DBB1A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30.00</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3A41F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30.00%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A66E7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2019D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25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D0C8D8">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386C4B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7"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A312A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93F84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财政专户管理资金</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8FA89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8823A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4DBCCB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41986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8B4A6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A9752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25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1D5AE0">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4BC75B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0CC66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1DA1D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单位资金</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CD664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73788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785824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828F0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EEAEB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D3269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25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E4CFAE">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3C167F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5C607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50440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其他资金</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DF1A4A">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748B75">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D4A18F9">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8800D4">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5D979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990DF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25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BBE4DA">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44A7A4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68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E81488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绩效指标（90分）</w:t>
            </w: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40306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一级指标</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E6CA6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二级指标</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E66E9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三级指标</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3344C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指标性质</w:t>
            </w:r>
          </w:p>
        </w:tc>
        <w:tc>
          <w:tcPr>
            <w:tcW w:w="1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512C7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指标值</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27D3F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度量单位</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053E4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完成值</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884D4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3FF86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得分</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0E02E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未完成原因分析</w:t>
            </w:r>
          </w:p>
        </w:tc>
      </w:tr>
      <w:tr w14:paraId="275D69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9EDB7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30F3DB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产出指标</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F3ADF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数量指标</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F4E28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指标1：支持对象个数</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FBD83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1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0FB30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3</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D803E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个</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D75CA9">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3</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B09B6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C6385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B04FD6">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1C8948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78"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90920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6D104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70C8C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质量指标</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4BF84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指标1：用于项目前期工作，推动积极扩大有效投资</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88A99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1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B0230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有效推动</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01A08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B0A3BE">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有效推动</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791BA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2EBA3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0379AD">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7F5D7F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F72E58">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0C80E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98574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时效指标</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E0C95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指标1：按期完成资金投用</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C953B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1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D34AE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12</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145D6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月</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298638">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12</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B955F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666F0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E6E1F3">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637698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78"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7C3AE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F7BC1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效益指标</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34AA7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经济效益指标</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6B987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指标1：发挥省预算内资金带动作用，带动当地经济发展</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B2806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1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37DD4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推动项目加快建设，尽快形成实物工作量</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AC303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6C1701">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推动项目加快建设，尽快形成实物工作量</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BAFE5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14574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EC80B2">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0525D4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3097E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5F10A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满意度指标</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BD625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满意度指标</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C98E9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 满足人民群众对基础设施、公共服务和经济社会发展等方面的需求。</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DE1AE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1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0F36B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90</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17329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F79FE5">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67255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B594E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F7522C">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4FA631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023991">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01DA1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成本指标</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B3BCB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经济成本指标</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CCFA1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项目预算控制数</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EC4EF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1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679B2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37E47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万元</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DD75CF">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4091D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19521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132528">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2A2D63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10585"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418FDA0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合计</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83198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266B1C">
            <w:pPr>
              <w:keepNext w:val="0"/>
              <w:keepLines w:val="0"/>
              <w:widowControl/>
              <w:suppressLineNumbers w:val="0"/>
              <w:spacing w:before="0" w:beforeAutospacing="0" w:after="0" w:afterAutospacing="0"/>
              <w:ind w:left="0" w:right="0"/>
              <w:jc w:val="righ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93</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8C0C0B">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192142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3" w:hRule="atLeast"/>
        </w:trPr>
        <w:tc>
          <w:tcPr>
            <w:tcW w:w="6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77F29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评价结论</w:t>
            </w:r>
          </w:p>
        </w:tc>
        <w:tc>
          <w:tcPr>
            <w:tcW w:w="13419"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5593C348">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有效推动广元市新型智慧城市建设项目、中煤广元煤电一体化项目、打造成渝地区能源安全保障基地项目开展前期工作，推动项目加快建设、尽快形成实物工作量，充分发挥投资拉动作用，全力推动经济运行整体好转、实现质的有效提升和量的合理增长。自评得分93分。</w:t>
            </w:r>
          </w:p>
        </w:tc>
      </w:tr>
      <w:tr w14:paraId="7F3373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2" w:hRule="atLeast"/>
        </w:trPr>
        <w:tc>
          <w:tcPr>
            <w:tcW w:w="6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48478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存在问题</w:t>
            </w:r>
          </w:p>
        </w:tc>
        <w:tc>
          <w:tcPr>
            <w:tcW w:w="13419"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60827082">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6B1DBC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3" w:hRule="atLeast"/>
        </w:trPr>
        <w:tc>
          <w:tcPr>
            <w:tcW w:w="6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D5387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改进措施</w:t>
            </w:r>
          </w:p>
        </w:tc>
        <w:tc>
          <w:tcPr>
            <w:tcW w:w="13419"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4F7F3CB1">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7FC11F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7296"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701D68B3">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w:t>
            </w:r>
          </w:p>
        </w:tc>
        <w:tc>
          <w:tcPr>
            <w:tcW w:w="6807"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4FE9451">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w:t>
            </w:r>
          </w:p>
        </w:tc>
      </w:tr>
      <w:tr w14:paraId="22B830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684" w:type="dxa"/>
            <w:tcBorders>
              <w:top w:val="nil"/>
              <w:left w:val="nil"/>
              <w:bottom w:val="nil"/>
              <w:right w:val="nil"/>
            </w:tcBorders>
            <w:shd w:val="clear" w:color="auto" w:fill="auto"/>
            <w:vAlign w:val="center"/>
          </w:tcPr>
          <w:p w14:paraId="0EBCD562">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2052" w:type="dxa"/>
            <w:tcBorders>
              <w:top w:val="nil"/>
              <w:left w:val="nil"/>
              <w:bottom w:val="nil"/>
              <w:right w:val="nil"/>
            </w:tcBorders>
            <w:shd w:val="clear" w:color="auto" w:fill="auto"/>
            <w:vAlign w:val="center"/>
          </w:tcPr>
          <w:p w14:paraId="471D73FF">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1775" w:type="dxa"/>
            <w:tcBorders>
              <w:top w:val="nil"/>
              <w:left w:val="nil"/>
              <w:bottom w:val="nil"/>
              <w:right w:val="nil"/>
            </w:tcBorders>
            <w:shd w:val="clear" w:color="auto" w:fill="auto"/>
            <w:vAlign w:val="center"/>
          </w:tcPr>
          <w:p w14:paraId="6A44DC8D">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2264" w:type="dxa"/>
            <w:tcBorders>
              <w:top w:val="nil"/>
              <w:left w:val="nil"/>
              <w:bottom w:val="nil"/>
              <w:right w:val="nil"/>
            </w:tcBorders>
            <w:shd w:val="clear" w:color="auto" w:fill="auto"/>
            <w:vAlign w:val="center"/>
          </w:tcPr>
          <w:p w14:paraId="44884E78">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521" w:type="dxa"/>
            <w:tcBorders>
              <w:top w:val="nil"/>
              <w:left w:val="nil"/>
              <w:bottom w:val="nil"/>
              <w:right w:val="nil"/>
            </w:tcBorders>
            <w:shd w:val="clear" w:color="auto" w:fill="auto"/>
            <w:vAlign w:val="center"/>
          </w:tcPr>
          <w:p w14:paraId="2E113F0C">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1677" w:type="dxa"/>
            <w:tcBorders>
              <w:top w:val="nil"/>
              <w:left w:val="nil"/>
              <w:bottom w:val="nil"/>
              <w:right w:val="nil"/>
            </w:tcBorders>
            <w:shd w:val="clear" w:color="auto" w:fill="auto"/>
            <w:vAlign w:val="center"/>
          </w:tcPr>
          <w:p w14:paraId="6BEDABDF">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521" w:type="dxa"/>
            <w:tcBorders>
              <w:top w:val="nil"/>
              <w:left w:val="nil"/>
              <w:bottom w:val="nil"/>
              <w:right w:val="nil"/>
            </w:tcBorders>
            <w:shd w:val="clear" w:color="auto" w:fill="auto"/>
            <w:vAlign w:val="center"/>
          </w:tcPr>
          <w:p w14:paraId="72F80DB1">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1091" w:type="dxa"/>
            <w:tcBorders>
              <w:top w:val="nil"/>
              <w:left w:val="nil"/>
              <w:bottom w:val="nil"/>
              <w:right w:val="nil"/>
            </w:tcBorders>
            <w:shd w:val="clear" w:color="auto" w:fill="auto"/>
            <w:vAlign w:val="center"/>
          </w:tcPr>
          <w:p w14:paraId="032E88C4">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505" w:type="dxa"/>
            <w:tcBorders>
              <w:top w:val="nil"/>
              <w:left w:val="nil"/>
              <w:bottom w:val="nil"/>
              <w:right w:val="nil"/>
            </w:tcBorders>
            <w:shd w:val="clear" w:color="auto" w:fill="auto"/>
            <w:vAlign w:val="center"/>
          </w:tcPr>
          <w:p w14:paraId="19B50F62">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456" w:type="dxa"/>
            <w:tcBorders>
              <w:top w:val="nil"/>
              <w:left w:val="nil"/>
              <w:bottom w:val="nil"/>
              <w:right w:val="nil"/>
            </w:tcBorders>
            <w:shd w:val="clear" w:color="auto" w:fill="auto"/>
            <w:vAlign w:val="center"/>
          </w:tcPr>
          <w:p w14:paraId="24E999E7">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2557" w:type="dxa"/>
            <w:tcBorders>
              <w:top w:val="nil"/>
              <w:left w:val="nil"/>
              <w:bottom w:val="nil"/>
              <w:right w:val="nil"/>
            </w:tcBorders>
            <w:shd w:val="clear" w:color="auto" w:fill="auto"/>
            <w:vAlign w:val="center"/>
          </w:tcPr>
          <w:p w14:paraId="0708AFB7">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28B3AE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4" w:hRule="atLeast"/>
        </w:trPr>
        <w:tc>
          <w:tcPr>
            <w:tcW w:w="14103" w:type="dxa"/>
            <w:gridSpan w:val="11"/>
            <w:tcBorders>
              <w:top w:val="single" w:color="000000" w:sz="4" w:space="0"/>
              <w:left w:val="single" w:color="000000" w:sz="4" w:space="0"/>
              <w:bottom w:val="single" w:color="000000" w:sz="4" w:space="0"/>
              <w:right w:val="single" w:color="000000" w:sz="4" w:space="0"/>
            </w:tcBorders>
            <w:shd w:val="clear" w:color="auto" w:fill="auto"/>
            <w:vAlign w:val="center"/>
          </w:tcPr>
          <w:p w14:paraId="21C7964E">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部门预算项目支出绩效自评表（2023年度）</w:t>
            </w:r>
          </w:p>
        </w:tc>
      </w:tr>
      <w:tr w14:paraId="21A262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273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AF8F3CD">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项目名称</w:t>
            </w:r>
          </w:p>
        </w:tc>
        <w:tc>
          <w:tcPr>
            <w:tcW w:w="11367" w:type="dxa"/>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6DAAC289">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51080023T000008814075-商品粮大市奖励资金</w:t>
            </w:r>
          </w:p>
        </w:tc>
      </w:tr>
      <w:tr w14:paraId="34752D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2" w:hRule="atLeast"/>
        </w:trPr>
        <w:tc>
          <w:tcPr>
            <w:tcW w:w="273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35D56C3">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主管部门</w:t>
            </w:r>
          </w:p>
        </w:tc>
        <w:tc>
          <w:tcPr>
            <w:tcW w:w="675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29ACD95C">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广元市发展和改革委员会部门</w:t>
            </w:r>
          </w:p>
        </w:tc>
        <w:tc>
          <w:tcPr>
            <w:tcW w:w="1091" w:type="dxa"/>
            <w:tcBorders>
              <w:top w:val="nil"/>
              <w:left w:val="nil"/>
              <w:bottom w:val="nil"/>
              <w:right w:val="nil"/>
            </w:tcBorders>
            <w:shd w:val="clear" w:color="auto" w:fill="auto"/>
            <w:vAlign w:val="center"/>
          </w:tcPr>
          <w:p w14:paraId="2504EE34">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3518"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69AD86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广元市粮油质量监测站</w:t>
            </w:r>
          </w:p>
        </w:tc>
      </w:tr>
      <w:tr w14:paraId="066C57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68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20A79DF">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项目基本情况</w:t>
            </w:r>
          </w:p>
        </w:tc>
        <w:tc>
          <w:tcPr>
            <w:tcW w:w="205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4A2434C">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1.项目年度目标完成情况</w:t>
            </w:r>
          </w:p>
        </w:tc>
        <w:tc>
          <w:tcPr>
            <w:tcW w:w="675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064307F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项目年度目标</w:t>
            </w:r>
          </w:p>
        </w:tc>
        <w:tc>
          <w:tcPr>
            <w:tcW w:w="4609"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47165B84">
            <w:pPr>
              <w:keepNext w:val="0"/>
              <w:keepLines w:val="0"/>
              <w:widowControl/>
              <w:suppressLineNumbers w:val="0"/>
              <w:spacing w:before="0" w:beforeAutospacing="0" w:after="0" w:afterAutospacing="0"/>
              <w:ind w:left="0" w:right="0"/>
              <w:jc w:val="center"/>
              <w:textAlignment w:val="center"/>
              <w:rPr>
                <w:rFonts w:hint="eastAsia" w:ascii="黑体" w:hAnsi="黑体" w:eastAsia="黑体" w:cs="黑体"/>
                <w:i w:val="0"/>
                <w:iCs w:val="0"/>
                <w:color w:val="FF0000"/>
                <w:sz w:val="18"/>
                <w:szCs w:val="18"/>
                <w:u w:val="none"/>
              </w:rPr>
            </w:pPr>
            <w:r>
              <w:rPr>
                <w:rFonts w:hint="eastAsia" w:ascii="黑体" w:hAnsi="黑体" w:eastAsia="黑体" w:cs="黑体"/>
                <w:i w:val="0"/>
                <w:iCs w:val="0"/>
                <w:color w:val="FF0000"/>
                <w:kern w:val="0"/>
                <w:sz w:val="18"/>
                <w:szCs w:val="18"/>
                <w:u w:val="none"/>
                <w:lang w:val="en-US" w:eastAsia="zh-CN" w:bidi="ar"/>
              </w:rPr>
              <w:t>年度目标完成情况</w:t>
            </w:r>
          </w:p>
        </w:tc>
      </w:tr>
      <w:tr w14:paraId="092B88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00"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E13AFF">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20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AF6191">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675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25F24E07">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1、根据审批后的采购方案执行， 按期完成采购任务</w:t>
            </w:r>
            <w:r>
              <w:rPr>
                <w:rFonts w:hint="eastAsia" w:ascii="宋体" w:hAnsi="宋体" w:cs="宋体"/>
                <w:i w:val="0"/>
                <w:iCs w:val="0"/>
                <w:color w:val="000000"/>
                <w:kern w:val="0"/>
                <w:sz w:val="18"/>
                <w:szCs w:val="18"/>
                <w:u w:val="none"/>
                <w:lang w:val="en-US" w:eastAsia="zh-CN" w:bidi="ar"/>
              </w:rPr>
              <w:t>：</w:t>
            </w:r>
            <w:r>
              <w:rPr>
                <w:rFonts w:hint="default" w:ascii="宋体" w:hAnsi="宋体" w:eastAsia="宋体" w:cs="宋体"/>
                <w:i w:val="0"/>
                <w:iCs w:val="0"/>
                <w:color w:val="000000"/>
                <w:kern w:val="0"/>
                <w:sz w:val="18"/>
                <w:szCs w:val="18"/>
                <w:u w:val="none"/>
                <w:lang w:val="en-US" w:eastAsia="zh-CN" w:bidi="ar"/>
              </w:rPr>
              <w:t xml:space="preserve"> </w:t>
            </w:r>
            <w:r>
              <w:rPr>
                <w:rFonts w:hint="default" w:ascii="宋体" w:hAnsi="宋体" w:eastAsia="宋体" w:cs="宋体"/>
                <w:i w:val="0"/>
                <w:iCs w:val="0"/>
                <w:color w:val="000000"/>
                <w:kern w:val="0"/>
                <w:sz w:val="18"/>
                <w:szCs w:val="18"/>
                <w:u w:val="none"/>
                <w:lang w:val="en-US" w:eastAsia="zh-CN" w:bidi="ar"/>
              </w:rPr>
              <w:br w:type="textWrapping"/>
            </w:r>
            <w:r>
              <w:rPr>
                <w:rFonts w:hint="default" w:ascii="宋体" w:hAnsi="宋体" w:eastAsia="宋体" w:cs="宋体"/>
                <w:i w:val="0"/>
                <w:iCs w:val="0"/>
                <w:color w:val="000000"/>
                <w:kern w:val="0"/>
                <w:sz w:val="18"/>
                <w:szCs w:val="18"/>
                <w:u w:val="none"/>
                <w:lang w:val="en-US" w:eastAsia="zh-CN" w:bidi="ar"/>
              </w:rPr>
              <w:t>2、严格执行政府采购程序相关规定，执行率达到100%;</w:t>
            </w:r>
            <w:r>
              <w:rPr>
                <w:rFonts w:hint="default" w:ascii="宋体" w:hAnsi="宋体" w:eastAsia="宋体" w:cs="宋体"/>
                <w:i w:val="0"/>
                <w:iCs w:val="0"/>
                <w:color w:val="000000"/>
                <w:kern w:val="0"/>
                <w:sz w:val="18"/>
                <w:szCs w:val="18"/>
                <w:u w:val="none"/>
                <w:lang w:val="en-US" w:eastAsia="zh-CN" w:bidi="ar"/>
              </w:rPr>
              <w:br w:type="textWrapping"/>
            </w:r>
            <w:r>
              <w:rPr>
                <w:rFonts w:hint="default" w:ascii="宋体" w:hAnsi="宋体" w:eastAsia="宋体" w:cs="宋体"/>
                <w:i w:val="0"/>
                <w:iCs w:val="0"/>
                <w:color w:val="000000"/>
                <w:kern w:val="0"/>
                <w:sz w:val="18"/>
                <w:szCs w:val="18"/>
                <w:u w:val="none"/>
                <w:lang w:val="en-US" w:eastAsia="zh-CN" w:bidi="ar"/>
              </w:rPr>
              <w:t>3、粮油质量安全检验检测人才队伍进一步优化，能力进一步提升。</w:t>
            </w:r>
          </w:p>
        </w:tc>
        <w:tc>
          <w:tcPr>
            <w:tcW w:w="4609"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3017A63F">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对照年度目标，说明相关任务目标的完成情况（100字以内）</w:t>
            </w:r>
          </w:p>
        </w:tc>
      </w:tr>
      <w:tr w14:paraId="359B23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3"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9B6542">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BD0734">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2.项目实施内容及过程概述</w:t>
            </w:r>
          </w:p>
        </w:tc>
        <w:tc>
          <w:tcPr>
            <w:tcW w:w="11367" w:type="dxa"/>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00A63EAE">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2023年严格按照政府采购程序采购了一批气相色谱仪、超纯水系统、电子天平等前处理、粮油专用快检和微生物监测等专业设备20台（套），总预算150万元，项目预计完成时间为2023年12月，实际完成时间为2023年8月。</w:t>
            </w:r>
          </w:p>
        </w:tc>
      </w:tr>
      <w:tr w14:paraId="0F29F6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68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5E8814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预算执行情况（10分）</w:t>
            </w: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8D93A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年度预算数（万元）</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2FFFF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年初预算</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AB9B1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调整后预算数</w:t>
            </w: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1340E0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预算执行数</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D8B0D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预算执行率</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AC2C4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23E17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得分</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A87F7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原因</w:t>
            </w:r>
          </w:p>
        </w:tc>
      </w:tr>
      <w:tr w14:paraId="164EB2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6"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CC7F9F">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36769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总额</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3F7DD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150.00</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8735F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150.00</w:t>
            </w: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79C94D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149.50</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68607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99.67%</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6A4D5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735D7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255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C9FA5BB">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1.预算执行率=预算执行数/调整后预算数，预算执行率未达到90%的需说明原因（100字以内）;2.年中发生预算调整的（追加或调减），应单独说明理由；3.其他资金包括：社会投入资金、银行贷款.</w:t>
            </w:r>
          </w:p>
        </w:tc>
      </w:tr>
      <w:tr w14:paraId="0F6D02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1"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3F950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E0881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其中：财政资金</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0733E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150.00</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7EA2B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150.00</w:t>
            </w: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859F21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149.50</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F6F0D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99.67%</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4754B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0E483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25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6D5109">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2F8758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7"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D6131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18A39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财政专户管理资金</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B0DBF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D49EB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D56439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7B344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F4AD8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14D40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25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E2275B">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595EE0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1C756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656A4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单位资金</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9FD7D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097BF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0501C8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23A26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0.00%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7F4D7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0488D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25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FCF2F9">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754B91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B2E5F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EDCD2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其他资金</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A31FDB">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EE9BE6">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271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3E1A38C">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EBE87A">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D75C6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87908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255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B32B38">
            <w:pPr>
              <w:keepNext w:val="0"/>
              <w:keepLines w:val="0"/>
              <w:suppressLineNumbers w:val="0"/>
              <w:spacing w:before="0" w:beforeAutospacing="0" w:after="0" w:afterAutospacing="0"/>
              <w:ind w:left="0" w:right="0"/>
              <w:rPr>
                <w:rFonts w:hint="eastAsia" w:ascii="黑体" w:hAnsi="黑体" w:eastAsia="黑体" w:cs="黑体"/>
                <w:i/>
                <w:iCs/>
                <w:color w:val="000000"/>
                <w:sz w:val="18"/>
                <w:szCs w:val="18"/>
                <w:u w:val="none"/>
              </w:rPr>
            </w:pPr>
          </w:p>
        </w:tc>
      </w:tr>
      <w:tr w14:paraId="542170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68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23D36A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绩效指标（90分）</w:t>
            </w: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FAFE0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一级指标</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B2083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二级指标</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D10F9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三级指标</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1EB28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指标性质</w:t>
            </w:r>
          </w:p>
        </w:tc>
        <w:tc>
          <w:tcPr>
            <w:tcW w:w="1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96B0E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指标值</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C98B0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度量单位</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79822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完成值</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05C48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权重</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92972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得分</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0662F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未完成原因分析</w:t>
            </w:r>
          </w:p>
        </w:tc>
      </w:tr>
      <w:tr w14:paraId="6F9542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3527C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30747F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产出指标</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5001B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数量指标</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BE63D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指标1：仪器设备</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24D88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1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706B1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13</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FA23C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台/套</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2EA6C1">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18</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0F968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AB983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20</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C9CBE2">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5ACD89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DAF2A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29C0F5">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0FF21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质量指标</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5AE97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指标1：实验室能力提升</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47823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1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BDB10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F9650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893C52">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12ABF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6F700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858BB2">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79E1C0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8F0A3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299F8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E9FDC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时效指标</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21ED6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指标1：完成时间</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D576E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1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51FDE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12</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58976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月</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AE5338">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2417A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D8E3B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44B124">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243811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87"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71EA4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65F6A5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效益指标</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57B98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经济效益指标</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88C5B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指标1：推动粮食经济高质量发展</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90F40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1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5EF30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指导全市“十四五”期间300万亩优质粮油基地建设，调整种植结构，促进优质品种和特色品种向优势产区集中，实现优质、高产、高效、生态、安全相统一，为助农增收和乡村振兴贡献力量。</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0C1070">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F577F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调整种植结构，促进优质品种和特色品种向优势产区集中</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DBBC0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582DE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89727B">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1CF583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0D964A">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BC54C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77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77C426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社会效益指标</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3143D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指标2：粮油质量安全检验检测能力</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2943B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1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2EF82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明显提高</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2B0EE6">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BF690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明显提高</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9188F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CC7D2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113346">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394844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1"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413C3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895423">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7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E79F7E">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FC64C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指标1：为粮食生产绿色发展提供技术支持</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E2795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1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A07E6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全面贯彻党中央和省、市政府关于粮食安全工作的决策部署，严格落实粮食安全和食品安全党政同责，将粮食安全保障向前推进一公里，守住粮食质量安全的第一道屏障，切实加强全市范围内产新粮食质量安全监测，强化源头污染防控，确保粮食质量安全。</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61AE74">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38B6BA">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强化源头污染防控，确保粮食质量安全</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FB591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FA8A9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662FD3">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216E45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18"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C5B7A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8D1D4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0A530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可持续影响指标</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76F63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指标1：对全市粮食安全方面的影响</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672A5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定性</w:t>
            </w:r>
          </w:p>
        </w:tc>
        <w:tc>
          <w:tcPr>
            <w:tcW w:w="1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159CC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加强广元川北粮食检验监测中心和国家标准化粮油质检示范站建设，为加快建成全国有机产品认证示范市、中国西部重要的绿色农产品供给地和特色农业强市提供技术支撑，深刻把握粮油质量监测能力建设机遇，精准聚焦，牢守粮食质量安全底线，促进全市粮食产业经济高质量发展。</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60FF0C">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2263DC">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促进全市粮食产业经济高质量发展</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E3A03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8D3F2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3D2899">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43505E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FF7497">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6AC72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满意度指标</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A9DDB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服务对象满意度指标</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992CE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粮食企业及农户服务对象满意度</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CCEC0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1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44932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95</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3495D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F07335">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95</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B2163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E0319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57DF2B">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4E9A9C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9"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277B5B">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45C1BF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成本指标</w:t>
            </w:r>
          </w:p>
        </w:tc>
        <w:tc>
          <w:tcPr>
            <w:tcW w:w="177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3412D0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经济成本指标</w:t>
            </w: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9F3D4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指标1：仪器设备采购</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10A35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1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299EB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120</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8C801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万元</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F8F8DC">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120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627D9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DDA18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AF6A80">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103D02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2" w:hRule="atLeast"/>
        </w:trPr>
        <w:tc>
          <w:tcPr>
            <w:tcW w:w="68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C99209">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0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DA70D2">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7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A2FF3D">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22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395B8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指标2：能力提升工作经费</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F0007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w:t>
            </w:r>
          </w:p>
        </w:tc>
        <w:tc>
          <w:tcPr>
            <w:tcW w:w="1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92F74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30</w:t>
            </w:r>
          </w:p>
        </w:tc>
        <w:tc>
          <w:tcPr>
            <w:tcW w:w="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62703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万元</w:t>
            </w:r>
          </w:p>
        </w:tc>
        <w:tc>
          <w:tcPr>
            <w:tcW w:w="10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97D967">
            <w:pPr>
              <w:keepNext w:val="0"/>
              <w:keepLines w:val="0"/>
              <w:widowControl/>
              <w:suppressLineNumbers w:val="0"/>
              <w:spacing w:before="0" w:beforeAutospacing="0" w:after="0" w:afterAutospacing="0"/>
              <w:ind w:left="0" w:right="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30</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6F1AB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2FDA7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5</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73AD38">
            <w:pPr>
              <w:keepNext w:val="0"/>
              <w:keepLines w:val="0"/>
              <w:suppressLineNumbers w:val="0"/>
              <w:spacing w:before="0" w:beforeAutospacing="0" w:after="0" w:afterAutospacing="0"/>
              <w:ind w:left="0" w:right="0"/>
              <w:jc w:val="center"/>
              <w:rPr>
                <w:rFonts w:hint="eastAsia" w:ascii="微软雅黑" w:hAnsi="微软雅黑" w:eastAsia="微软雅黑" w:cs="微软雅黑"/>
                <w:i/>
                <w:iCs/>
                <w:color w:val="000000"/>
                <w:sz w:val="16"/>
                <w:szCs w:val="16"/>
                <w:u w:val="none"/>
              </w:rPr>
            </w:pPr>
          </w:p>
        </w:tc>
      </w:tr>
      <w:tr w14:paraId="68AD92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10585"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36ACE8F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合计</w:t>
            </w:r>
          </w:p>
        </w:tc>
        <w:tc>
          <w:tcPr>
            <w:tcW w:w="5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01CC2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75B74D">
            <w:pPr>
              <w:keepNext w:val="0"/>
              <w:keepLines w:val="0"/>
              <w:widowControl/>
              <w:suppressLineNumbers w:val="0"/>
              <w:spacing w:before="0" w:beforeAutospacing="0" w:after="0" w:afterAutospacing="0"/>
              <w:ind w:left="0" w:right="0"/>
              <w:jc w:val="right"/>
              <w:textAlignment w:val="center"/>
              <w:rPr>
                <w:rFonts w:hint="default" w:ascii="宋体" w:hAnsi="宋体" w:eastAsia="宋体" w:cs="宋体"/>
                <w:i w:val="0"/>
                <w:iCs w:val="0"/>
                <w:color w:val="000000"/>
                <w:sz w:val="18"/>
                <w:szCs w:val="18"/>
                <w:u w:val="none"/>
              </w:rPr>
            </w:pPr>
            <w:r>
              <w:rPr>
                <w:rFonts w:hint="default" w:ascii="宋体" w:hAnsi="宋体" w:eastAsia="宋体" w:cs="宋体"/>
                <w:i w:val="0"/>
                <w:iCs w:val="0"/>
                <w:color w:val="000000"/>
                <w:kern w:val="0"/>
                <w:sz w:val="18"/>
                <w:szCs w:val="18"/>
                <w:u w:val="none"/>
                <w:lang w:val="en-US" w:eastAsia="zh-CN" w:bidi="ar"/>
              </w:rPr>
              <w:t>100</w:t>
            </w:r>
          </w:p>
        </w:tc>
        <w:tc>
          <w:tcPr>
            <w:tcW w:w="25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3BA8EB">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14:paraId="588D12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3" w:hRule="atLeast"/>
        </w:trPr>
        <w:tc>
          <w:tcPr>
            <w:tcW w:w="6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A3DCD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评价结论</w:t>
            </w:r>
          </w:p>
        </w:tc>
        <w:tc>
          <w:tcPr>
            <w:tcW w:w="13419"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65F87EF2">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项目历时7个月，采购仪器设备20台（套），全部验收安装调试合格，项目的实施及时，有效提高了粮油质量安全检验检测能力，发挥了良好的社会效益。自评得分100分。</w:t>
            </w:r>
          </w:p>
        </w:tc>
      </w:tr>
      <w:tr w14:paraId="665CE3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2" w:hRule="atLeast"/>
        </w:trPr>
        <w:tc>
          <w:tcPr>
            <w:tcW w:w="6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0D7CF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存在问题</w:t>
            </w:r>
          </w:p>
        </w:tc>
        <w:tc>
          <w:tcPr>
            <w:tcW w:w="13419"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471CF55A">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2CC9A5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3" w:hRule="atLeast"/>
        </w:trPr>
        <w:tc>
          <w:tcPr>
            <w:tcW w:w="6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0215F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FF0000"/>
                <w:sz w:val="18"/>
                <w:szCs w:val="18"/>
                <w:u w:val="none"/>
              </w:rPr>
            </w:pPr>
            <w:r>
              <w:rPr>
                <w:rFonts w:hint="default" w:ascii="宋体" w:hAnsi="宋体" w:eastAsia="宋体" w:cs="宋体"/>
                <w:i w:val="0"/>
                <w:iCs w:val="0"/>
                <w:color w:val="FF0000"/>
                <w:kern w:val="0"/>
                <w:sz w:val="18"/>
                <w:szCs w:val="18"/>
                <w:u w:val="none"/>
                <w:lang w:val="en-US" w:eastAsia="zh-CN" w:bidi="ar"/>
              </w:rPr>
              <w:t>改进措施</w:t>
            </w:r>
          </w:p>
        </w:tc>
        <w:tc>
          <w:tcPr>
            <w:tcW w:w="13419" w:type="dxa"/>
            <w:gridSpan w:val="10"/>
            <w:tcBorders>
              <w:top w:val="single" w:color="000000" w:sz="4" w:space="0"/>
              <w:left w:val="single" w:color="000000" w:sz="4" w:space="0"/>
              <w:bottom w:val="single" w:color="000000" w:sz="4" w:space="0"/>
              <w:right w:val="single" w:color="000000" w:sz="4" w:space="0"/>
            </w:tcBorders>
            <w:shd w:val="clear" w:color="auto" w:fill="auto"/>
            <w:vAlign w:val="center"/>
          </w:tcPr>
          <w:p w14:paraId="60F4AB3D">
            <w:pPr>
              <w:keepNext w:val="0"/>
              <w:keepLines w:val="0"/>
              <w:widowControl/>
              <w:suppressLineNumbers w:val="0"/>
              <w:spacing w:before="0" w:beforeAutospacing="0" w:after="0" w:afterAutospacing="0"/>
              <w:ind w:left="0" w:right="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14:paraId="2D84FB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7296"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1D8FF155">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w:t>
            </w:r>
          </w:p>
        </w:tc>
        <w:tc>
          <w:tcPr>
            <w:tcW w:w="6807"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AF2F7F2">
            <w:pPr>
              <w:keepNext w:val="0"/>
              <w:keepLines w:val="0"/>
              <w:widowControl/>
              <w:suppressLineNumbers w:val="0"/>
              <w:spacing w:before="0" w:beforeAutospacing="0" w:after="0" w:afterAutospacing="0"/>
              <w:ind w:left="0" w:right="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w:t>
            </w:r>
          </w:p>
        </w:tc>
      </w:tr>
    </w:tbl>
    <w:p w14:paraId="727F9140">
      <w:pPr>
        <w:keepNext w:val="0"/>
        <w:keepLines w:val="0"/>
        <w:widowControl w:val="0"/>
        <w:suppressLineNumbers w:val="0"/>
        <w:spacing w:before="0" w:beforeAutospacing="0" w:after="0" w:afterAutospacing="0"/>
        <w:ind w:left="1280" w:right="0" w:hanging="640"/>
        <w:jc w:val="both"/>
        <w:rPr>
          <w:rFonts w:hint="default" w:ascii="Times New Roman" w:hAnsi="Times New Roman" w:eastAsia="仿宋_GB2312" w:cs="Times New Roman"/>
          <w:kern w:val="2"/>
          <w:sz w:val="32"/>
          <w:szCs w:val="32"/>
          <w:lang w:val="en-US" w:eastAsia="zh-CN" w:bidi="ar"/>
        </w:rPr>
      </w:pPr>
    </w:p>
    <w:p w14:paraId="2AB95D6D">
      <w:pPr>
        <w:keepNext w:val="0"/>
        <w:keepLines w:val="0"/>
        <w:widowControl w:val="0"/>
        <w:suppressLineNumbers w:val="0"/>
        <w:spacing w:before="0" w:beforeAutospacing="0" w:after="0" w:afterAutospacing="0"/>
        <w:ind w:left="1280" w:right="0" w:hanging="640"/>
        <w:jc w:val="both"/>
        <w:rPr>
          <w:rFonts w:hint="default" w:ascii="Times New Roman" w:hAnsi="Times New Roman" w:eastAsia="仿宋_GB2312" w:cs="Times New Roman"/>
          <w:kern w:val="2"/>
          <w:sz w:val="32"/>
          <w:szCs w:val="32"/>
          <w:lang w:val="en-US" w:eastAsia="zh-CN" w:bidi="ar"/>
        </w:rPr>
      </w:pPr>
    </w:p>
    <w:p w14:paraId="7DB3E446">
      <w:pPr>
        <w:pStyle w:val="16"/>
        <w:rPr>
          <w:rFonts w:hint="default" w:ascii="Times New Roman" w:hAnsi="Times New Roman" w:eastAsia="仿宋_GB2312" w:cs="Times New Roman"/>
          <w:kern w:val="2"/>
          <w:sz w:val="32"/>
          <w:szCs w:val="32"/>
          <w:lang w:val="en-US" w:eastAsia="zh-CN" w:bidi="ar"/>
        </w:rPr>
      </w:pPr>
    </w:p>
    <w:p w14:paraId="510EF1B8">
      <w:pPr>
        <w:rPr>
          <w:rFonts w:hint="default" w:ascii="Times New Roman" w:hAnsi="Times New Roman" w:eastAsia="仿宋_GB2312" w:cs="Times New Roman"/>
          <w:kern w:val="2"/>
          <w:sz w:val="32"/>
          <w:szCs w:val="32"/>
          <w:lang w:val="en-US" w:eastAsia="zh-CN" w:bidi="ar"/>
        </w:rPr>
      </w:pPr>
    </w:p>
    <w:p w14:paraId="7B56D068">
      <w:pPr>
        <w:pStyle w:val="16"/>
        <w:rPr>
          <w:rFonts w:hint="default" w:ascii="Times New Roman" w:hAnsi="Times New Roman" w:eastAsia="仿宋_GB2312" w:cs="Times New Roman"/>
          <w:kern w:val="2"/>
          <w:sz w:val="32"/>
          <w:szCs w:val="32"/>
          <w:lang w:val="en-US" w:eastAsia="zh-CN" w:bidi="ar"/>
        </w:rPr>
      </w:pPr>
    </w:p>
    <w:p w14:paraId="5E160672">
      <w:pPr>
        <w:rPr>
          <w:rFonts w:hint="default" w:ascii="Times New Roman" w:hAnsi="Times New Roman" w:eastAsia="仿宋_GB2312" w:cs="Times New Roman"/>
          <w:kern w:val="2"/>
          <w:sz w:val="32"/>
          <w:szCs w:val="32"/>
          <w:lang w:val="en-US" w:eastAsia="zh-CN" w:bidi="ar"/>
        </w:rPr>
      </w:pPr>
    </w:p>
    <w:p w14:paraId="26CC3902">
      <w:pPr>
        <w:pStyle w:val="16"/>
        <w:rPr>
          <w:rFonts w:hint="default" w:ascii="Times New Roman" w:hAnsi="Times New Roman" w:eastAsia="仿宋_GB2312" w:cs="Times New Roman"/>
          <w:kern w:val="2"/>
          <w:sz w:val="32"/>
          <w:szCs w:val="32"/>
          <w:lang w:val="en-US" w:eastAsia="zh-CN" w:bidi="ar"/>
        </w:rPr>
      </w:pPr>
    </w:p>
    <w:p w14:paraId="10C4CD54">
      <w:pPr>
        <w:pStyle w:val="19"/>
        <w:ind w:left="0" w:leftChars="0" w:firstLine="0" w:firstLineChars="0"/>
        <w:rPr>
          <w:rFonts w:hint="eastAsia" w:ascii="黑体" w:hAnsi="黑体" w:eastAsia="黑体"/>
          <w:color w:val="auto"/>
          <w:sz w:val="44"/>
          <w:szCs w:val="44"/>
          <w:highlight w:val="none"/>
        </w:rPr>
      </w:pPr>
    </w:p>
    <w:p w14:paraId="088DEA18">
      <w:pPr>
        <w:pStyle w:val="19"/>
        <w:rPr>
          <w:rFonts w:hint="eastAsia" w:ascii="黑体" w:hAnsi="黑体" w:eastAsia="黑体"/>
          <w:color w:val="auto"/>
          <w:sz w:val="44"/>
          <w:szCs w:val="44"/>
          <w:highlight w:val="none"/>
        </w:rPr>
      </w:pPr>
    </w:p>
    <w:p w14:paraId="3EE2BFA9">
      <w:pPr>
        <w:pStyle w:val="19"/>
        <w:rPr>
          <w:rFonts w:hint="eastAsia" w:ascii="黑体" w:hAnsi="黑体" w:eastAsia="黑体"/>
          <w:color w:val="auto"/>
          <w:sz w:val="44"/>
          <w:szCs w:val="44"/>
          <w:highlight w:val="none"/>
        </w:rPr>
      </w:pPr>
    </w:p>
    <w:p w14:paraId="45879B91">
      <w:pPr>
        <w:pStyle w:val="41"/>
        <w:keepNext w:val="0"/>
        <w:keepLines w:val="0"/>
        <w:pageBreakBefore w:val="0"/>
        <w:widowControl w:val="0"/>
        <w:suppressAutoHyphens/>
        <w:kinsoku/>
        <w:wordWrap/>
        <w:overflowPunct/>
        <w:topLinePunct w:val="0"/>
        <w:autoSpaceDE/>
        <w:autoSpaceDN/>
        <w:bidi w:val="0"/>
        <w:spacing w:line="578" w:lineRule="exact"/>
        <w:ind w:left="0" w:leftChars="0"/>
        <w:jc w:val="left"/>
        <w:textAlignment w:val="auto"/>
        <w:rPr>
          <w:rFonts w:hint="eastAsia" w:ascii="黑体" w:hAnsi="黑体" w:eastAsia="黑体" w:cs="黑体"/>
          <w:color w:val="auto"/>
          <w:kern w:val="0"/>
          <w:sz w:val="32"/>
          <w:szCs w:val="32"/>
          <w:highlight w:val="none"/>
          <w:shd w:val="clear" w:color="auto" w:fill="FFFFFF"/>
          <w:lang w:val="en-US" w:eastAsia="zh-CN"/>
        </w:rPr>
      </w:pPr>
      <w:r>
        <w:rPr>
          <w:rFonts w:hint="eastAsia" w:ascii="黑体" w:hAnsi="黑体" w:eastAsia="黑体" w:cs="黑体"/>
          <w:color w:val="auto"/>
          <w:kern w:val="0"/>
          <w:sz w:val="32"/>
          <w:szCs w:val="32"/>
          <w:highlight w:val="none"/>
          <w:shd w:val="clear" w:color="auto" w:fill="FFFFFF"/>
          <w:lang w:val="zh-CN"/>
        </w:rPr>
        <w:t>附件</w:t>
      </w:r>
      <w:r>
        <w:rPr>
          <w:rFonts w:hint="eastAsia" w:ascii="黑体" w:hAnsi="黑体" w:eastAsia="黑体" w:cs="黑体"/>
          <w:color w:val="auto"/>
          <w:kern w:val="0"/>
          <w:sz w:val="32"/>
          <w:szCs w:val="32"/>
          <w:highlight w:val="none"/>
          <w:shd w:val="clear" w:color="auto" w:fill="FFFFFF"/>
          <w:lang w:val="en-US" w:eastAsia="zh-CN"/>
        </w:rPr>
        <w:t>2</w:t>
      </w:r>
    </w:p>
    <w:p w14:paraId="63CE5B6C">
      <w:pPr>
        <w:pStyle w:val="41"/>
        <w:keepNext w:val="0"/>
        <w:keepLines w:val="0"/>
        <w:pageBreakBefore w:val="0"/>
        <w:widowControl w:val="0"/>
        <w:suppressAutoHyphens/>
        <w:kinsoku/>
        <w:wordWrap/>
        <w:overflowPunct/>
        <w:topLinePunct w:val="0"/>
        <w:autoSpaceDE/>
        <w:autoSpaceDN/>
        <w:bidi w:val="0"/>
        <w:spacing w:line="578" w:lineRule="exact"/>
        <w:ind w:left="0" w:leftChars="0"/>
        <w:jc w:val="center"/>
        <w:textAlignment w:val="auto"/>
        <w:rPr>
          <w:rFonts w:hint="eastAsia" w:ascii="方正小标宋简体" w:hAnsi="方正小标宋简体" w:eastAsia="方正小标宋简体" w:cs="方正小标宋简体"/>
          <w:color w:val="auto"/>
          <w:kern w:val="2"/>
          <w:sz w:val="44"/>
          <w:szCs w:val="44"/>
          <w:highlight w:val="none"/>
          <w:lang w:val="en-US" w:eastAsia="zh-CN"/>
        </w:rPr>
      </w:pPr>
      <w:r>
        <w:rPr>
          <w:rFonts w:hint="eastAsia" w:ascii="方正小标宋简体" w:hAnsi="方正小标宋简体" w:eastAsia="方正小标宋简体" w:cs="方正小标宋简体"/>
          <w:color w:val="auto"/>
          <w:kern w:val="2"/>
          <w:sz w:val="44"/>
          <w:szCs w:val="44"/>
          <w:highlight w:val="none"/>
          <w:lang w:val="en-US" w:eastAsia="zh-CN"/>
        </w:rPr>
        <w:t>专项资金预算项目绩效自评报告</w:t>
      </w:r>
    </w:p>
    <w:p w14:paraId="0FF51EA6">
      <w:pPr>
        <w:spacing w:line="576" w:lineRule="exact"/>
        <w:jc w:val="center"/>
        <w:rPr>
          <w:rFonts w:hint="eastAsia" w:ascii="方正小标宋简体" w:eastAsia="方正小标宋简体"/>
          <w:sz w:val="44"/>
          <w:szCs w:val="44"/>
          <w:lang w:eastAsia="zh-CN"/>
        </w:rPr>
      </w:pPr>
    </w:p>
    <w:p w14:paraId="2136A1C8">
      <w:pPr>
        <w:widowControl w:val="0"/>
        <w:spacing w:line="578" w:lineRule="exact"/>
        <w:jc w:val="center"/>
        <w:rPr>
          <w:rFonts w:ascii="方正小标宋简体" w:hAnsi="方正小标宋简体" w:eastAsia="方正小标宋简体" w:cs="方正小标宋简体"/>
          <w:color w:val="auto"/>
          <w:kern w:val="2"/>
          <w:sz w:val="44"/>
          <w:szCs w:val="44"/>
          <w:lang w:val="en-US" w:eastAsia="zh-CN" w:bidi="ar-SA"/>
        </w:rPr>
      </w:pPr>
      <w:r>
        <w:rPr>
          <w:rFonts w:hint="eastAsia" w:ascii="方正小标宋简体" w:hAnsi="方正小标宋简体" w:eastAsia="方正小标宋简体" w:cs="方正小标宋简体"/>
          <w:color w:val="auto"/>
          <w:kern w:val="2"/>
          <w:sz w:val="44"/>
          <w:szCs w:val="44"/>
          <w:lang w:val="en-US" w:eastAsia="zh-CN" w:bidi="ar-SA"/>
        </w:rPr>
        <w:t>广元市推进“数字政府”建设专题培训会</w:t>
      </w:r>
    </w:p>
    <w:p w14:paraId="6BD46C56">
      <w:pPr>
        <w:widowControl w:val="0"/>
        <w:spacing w:line="578" w:lineRule="exact"/>
        <w:jc w:val="center"/>
        <w:rPr>
          <w:rFonts w:ascii="方正小标宋简体" w:hAnsi="方正小标宋简体" w:eastAsia="方正小标宋简体" w:cs="方正小标宋简体"/>
          <w:color w:val="auto"/>
          <w:kern w:val="2"/>
          <w:sz w:val="44"/>
          <w:szCs w:val="44"/>
          <w:lang w:val="en-US" w:eastAsia="zh-CN" w:bidi="ar-SA"/>
        </w:rPr>
      </w:pPr>
      <w:r>
        <w:rPr>
          <w:rFonts w:hint="eastAsia" w:ascii="方正小标宋简体" w:hAnsi="方正小标宋简体" w:eastAsia="方正小标宋简体" w:cs="方正小标宋简体"/>
          <w:color w:val="auto"/>
          <w:kern w:val="2"/>
          <w:sz w:val="44"/>
          <w:szCs w:val="44"/>
          <w:lang w:val="en-US" w:eastAsia="zh-CN" w:bidi="ar-SA"/>
        </w:rPr>
        <w:t>专项预算项目绩效评价报告范本</w:t>
      </w:r>
    </w:p>
    <w:p w14:paraId="7CD21C79">
      <w:pPr>
        <w:widowControl w:val="0"/>
        <w:spacing w:line="578" w:lineRule="exact"/>
        <w:ind w:firstLine="640"/>
        <w:jc w:val="center"/>
        <w:rPr>
          <w:rFonts w:ascii="宋体" w:hAnsi="宋体" w:eastAsia="宋体" w:cs="Times New Roman"/>
          <w:color w:val="auto"/>
          <w:kern w:val="2"/>
          <w:sz w:val="32"/>
          <w:szCs w:val="32"/>
          <w:lang w:val="zh-CN" w:eastAsia="zh-CN" w:bidi="ar-SA"/>
        </w:rPr>
      </w:pPr>
    </w:p>
    <w:p w14:paraId="3BA5E9D5">
      <w:pPr>
        <w:adjustRightInd w:val="0"/>
        <w:snapToGrid w:val="0"/>
        <w:spacing w:line="578" w:lineRule="exact"/>
        <w:ind w:firstLine="640" w:firstLineChars="200"/>
        <w:rPr>
          <w:rFonts w:ascii="黑体" w:hAnsi="宋体" w:eastAsia="黑体" w:cs="Times New Roman"/>
          <w:sz w:val="32"/>
          <w:szCs w:val="32"/>
          <w:lang w:val="zh-CN"/>
        </w:rPr>
      </w:pPr>
      <w:r>
        <w:rPr>
          <w:rFonts w:hint="eastAsia" w:ascii="黑体" w:hAnsi="宋体" w:eastAsia="黑体" w:cs="Times New Roman"/>
          <w:sz w:val="32"/>
          <w:szCs w:val="32"/>
        </w:rPr>
        <w:t>一、</w:t>
      </w:r>
      <w:r>
        <w:rPr>
          <w:rFonts w:hint="eastAsia" w:ascii="黑体" w:hAnsi="宋体" w:eastAsia="黑体" w:cs="Times New Roman"/>
          <w:sz w:val="32"/>
          <w:szCs w:val="32"/>
          <w:lang w:val="zh-CN"/>
        </w:rPr>
        <w:t>项目概况</w:t>
      </w:r>
    </w:p>
    <w:p w14:paraId="5A5C18FF">
      <w:pPr>
        <w:spacing w:line="576" w:lineRule="exact"/>
        <w:ind w:firstLine="643" w:firstLineChars="200"/>
        <w:rPr>
          <w:rFonts w:ascii="仿宋_GB2312" w:hAnsi="仿宋_GB2312" w:eastAsia="仿宋_GB2312" w:cs="仿宋_GB2312"/>
          <w:kern w:val="0"/>
          <w:sz w:val="32"/>
          <w:szCs w:val="32"/>
          <w:shd w:val="clear" w:color="auto" w:fill="FFFFFF"/>
        </w:rPr>
      </w:pPr>
      <w:r>
        <w:rPr>
          <w:rFonts w:hint="eastAsia" w:ascii="楷体_GB2312" w:hAnsi="宋体" w:eastAsia="楷体_GB2312" w:cs="Times New Roman"/>
          <w:b/>
          <w:sz w:val="32"/>
          <w:szCs w:val="32"/>
          <w:lang w:val="zh-CN"/>
        </w:rPr>
        <w:t>（一）设立背景及基本情况。</w:t>
      </w:r>
      <w:r>
        <w:rPr>
          <w:rFonts w:hint="eastAsia" w:ascii="仿宋_GB2312" w:hAnsi="仿宋_GB2312" w:eastAsia="仿宋_GB2312" w:cs="仿宋_GB2312"/>
          <w:kern w:val="0"/>
          <w:sz w:val="32"/>
          <w:szCs w:val="32"/>
          <w:shd w:val="clear" w:color="auto" w:fill="FFFFFF"/>
        </w:rPr>
        <w:t>2022年国务院印发《关于加强数字政府建设的指导意见》（国发〔2022〕14号），就主动顺应经济社会数字化转型趋势，充分释放数字化发展红利，全面开创数字政府建设新局面作出部署。为适应新一轮科技革命和产业变革趋势，借助数字技术应用推动转变政府职能，高质量建设法治政府、廉洁政府和服务型政府，根据</w:t>
      </w:r>
      <w:r>
        <w:rPr>
          <w:rFonts w:hint="eastAsia" w:ascii="仿宋_GB2312" w:hAnsi="Times New Roman" w:eastAsia="仿宋_GB2312" w:cs="Times New Roman"/>
          <w:sz w:val="32"/>
          <w:szCs w:val="32"/>
        </w:rPr>
        <w:t>市委组织部《关于印发2023年市级重点专题培训项目计划的通知》（广组训〔2023〕10号）安排</w:t>
      </w:r>
      <w:r>
        <w:rPr>
          <w:rFonts w:hint="eastAsia" w:ascii="仿宋_GB2312" w:hAnsi="仿宋_GB2312" w:eastAsia="仿宋_GB2312" w:cs="仿宋_GB2312"/>
          <w:kern w:val="0"/>
          <w:sz w:val="32"/>
          <w:szCs w:val="32"/>
          <w:shd w:val="clear" w:color="auto" w:fill="FFFFFF"/>
        </w:rPr>
        <w:t>，我委</w:t>
      </w:r>
      <w:r>
        <w:rPr>
          <w:rFonts w:hint="eastAsia" w:ascii="仿宋_GB2312" w:hAnsi="Times New Roman" w:eastAsia="仿宋_GB2312" w:cs="Times New Roman"/>
          <w:sz w:val="32"/>
          <w:szCs w:val="32"/>
        </w:rPr>
        <w:t>托浙江大学在杭州市开展了为期7天（含往返时间）的“广元市推进‘数字政府’专题培训”，参训人员53人，培训费用15万元，费用从全市干部教育培训经费中解决。</w:t>
      </w:r>
    </w:p>
    <w:p w14:paraId="5D7847ED">
      <w:pPr>
        <w:adjustRightInd w:val="0"/>
        <w:snapToGrid w:val="0"/>
        <w:spacing w:line="578" w:lineRule="exact"/>
        <w:ind w:firstLine="643" w:firstLineChars="200"/>
        <w:rPr>
          <w:rFonts w:ascii="仿宋_GB2312" w:hAnsi="Times New Roman" w:eastAsia="仿宋_GB2312" w:cs="Times New Roman"/>
          <w:sz w:val="32"/>
          <w:szCs w:val="32"/>
        </w:rPr>
      </w:pPr>
      <w:r>
        <w:rPr>
          <w:rFonts w:hint="eastAsia" w:ascii="楷体_GB2312" w:hAnsi="宋体" w:eastAsia="楷体_GB2312" w:cs="Times New Roman"/>
          <w:b/>
          <w:sz w:val="32"/>
          <w:szCs w:val="32"/>
          <w:lang w:val="zh-CN"/>
        </w:rPr>
        <w:t>（二）</w:t>
      </w:r>
      <w:r>
        <w:rPr>
          <w:rFonts w:ascii="楷体_GB2312" w:hAnsi="宋体" w:eastAsia="楷体_GB2312" w:cs="Times New Roman"/>
          <w:b/>
          <w:sz w:val="32"/>
          <w:szCs w:val="32"/>
        </w:rPr>
        <w:t>实施目的及支持方向</w:t>
      </w:r>
      <w:r>
        <w:rPr>
          <w:rFonts w:hint="eastAsia" w:ascii="楷体_GB2312" w:hAnsi="宋体" w:eastAsia="楷体_GB2312" w:cs="Times New Roman"/>
          <w:b/>
          <w:sz w:val="32"/>
          <w:szCs w:val="32"/>
        </w:rPr>
        <w:t>。</w:t>
      </w:r>
      <w:r>
        <w:rPr>
          <w:rFonts w:hint="eastAsia" w:ascii="仿宋_GB2312" w:hAnsi="Times New Roman" w:eastAsia="仿宋_GB2312" w:cs="Times New Roman"/>
          <w:sz w:val="32"/>
          <w:szCs w:val="32"/>
        </w:rPr>
        <w:t>经市委组织部同意后市财政局从全市干部教育培训经费向市发展改革委拨付，全程严格按照相关规定执行。</w:t>
      </w:r>
    </w:p>
    <w:p w14:paraId="1670D5BC">
      <w:pPr>
        <w:snapToGrid w:val="0"/>
        <w:spacing w:line="576" w:lineRule="exact"/>
        <w:ind w:firstLine="640" w:firstLineChars="200"/>
        <w:contextualSpacing/>
        <w:rPr>
          <w:rFonts w:ascii="仿宋_GB2312" w:hAnsi="仿宋_GB2312" w:eastAsia="仿宋_GB2312" w:cs="仿宋_GB2312"/>
          <w:kern w:val="0"/>
          <w:sz w:val="32"/>
          <w:szCs w:val="32"/>
          <w:shd w:val="clear" w:color="auto" w:fill="FFFFFF"/>
        </w:rPr>
      </w:pPr>
      <w:r>
        <w:rPr>
          <w:rFonts w:hint="eastAsia" w:ascii="仿宋_GB2312" w:hAnsi="Times New Roman" w:eastAsia="仿宋_GB2312" w:cs="Times New Roman"/>
          <w:sz w:val="32"/>
          <w:szCs w:val="32"/>
        </w:rPr>
        <w:t>项目旨在加强干部数字意识、提升干部数字素养。采取“专题辅导+研讨交流+情景模拟+现场教学+典型示范”相结合的培训模式，就大数据时代下的智慧城市与城市大脑建设、以数字化改革牵引全面深化改革、政府数字化转型与数据治理、大数据应用及网络安全等数字化转型发展的浙江实践等课题展开培训。</w:t>
      </w:r>
    </w:p>
    <w:p w14:paraId="4A2C14E2">
      <w:pPr>
        <w:widowControl/>
        <w:adjustRightInd w:val="0"/>
        <w:snapToGrid w:val="0"/>
        <w:spacing w:line="578" w:lineRule="exact"/>
        <w:ind w:firstLine="643" w:firstLineChars="200"/>
        <w:contextualSpacing/>
        <w:jc w:val="left"/>
        <w:rPr>
          <w:rFonts w:ascii="仿宋_GB2312" w:hAnsi="Times New Roman" w:eastAsia="仿宋_GB2312" w:cs="Times New Roman"/>
          <w:sz w:val="32"/>
          <w:szCs w:val="32"/>
        </w:rPr>
      </w:pPr>
      <w:r>
        <w:rPr>
          <w:rFonts w:hint="eastAsia" w:ascii="楷体_GB2312" w:hAnsi="宋体" w:eastAsia="楷体_GB2312" w:cs="Times New Roman"/>
          <w:b/>
          <w:sz w:val="32"/>
          <w:szCs w:val="32"/>
          <w:lang w:val="zh-CN"/>
        </w:rPr>
        <w:t>（三）</w:t>
      </w:r>
      <w:r>
        <w:rPr>
          <w:rFonts w:ascii="楷体_GB2312" w:hAnsi="宋体" w:eastAsia="楷体_GB2312" w:cs="Times New Roman"/>
          <w:b/>
          <w:sz w:val="32"/>
          <w:szCs w:val="32"/>
        </w:rPr>
        <w:t>预算安排及分配管理</w:t>
      </w:r>
      <w:r>
        <w:rPr>
          <w:rFonts w:hint="eastAsia" w:ascii="楷体_GB2312" w:hAnsi="宋体" w:eastAsia="楷体_GB2312" w:cs="Times New Roman"/>
          <w:b/>
          <w:sz w:val="32"/>
          <w:szCs w:val="32"/>
          <w:lang w:val="zh-CN"/>
        </w:rPr>
        <w:t>。</w:t>
      </w:r>
      <w:r>
        <w:rPr>
          <w:rFonts w:hint="eastAsia" w:ascii="仿宋_GB2312" w:hAnsi="Times New Roman" w:eastAsia="仿宋_GB2312" w:cs="Times New Roman"/>
          <w:sz w:val="32"/>
          <w:szCs w:val="32"/>
        </w:rPr>
        <w:t>培训费用15万元，与浙江大学继续教育学院协商确定。</w:t>
      </w:r>
    </w:p>
    <w:p w14:paraId="33738873">
      <w:pPr>
        <w:adjustRightInd w:val="0"/>
        <w:snapToGrid w:val="0"/>
        <w:spacing w:line="578" w:lineRule="exact"/>
        <w:ind w:firstLine="643" w:firstLineChars="200"/>
        <w:rPr>
          <w:rFonts w:ascii="仿宋_GB2312" w:hAnsi="仿宋_GB2312" w:eastAsia="仿宋_GB2312" w:cs="仿宋_GB2312"/>
          <w:kern w:val="0"/>
          <w:sz w:val="32"/>
          <w:szCs w:val="32"/>
          <w:shd w:val="clear" w:color="auto" w:fill="FFFFFF"/>
        </w:rPr>
      </w:pPr>
      <w:r>
        <w:rPr>
          <w:rFonts w:hint="eastAsia" w:ascii="楷体_GB2312" w:hAnsi="宋体" w:eastAsia="楷体_GB2312" w:cs="Times New Roman"/>
          <w:b/>
          <w:sz w:val="32"/>
          <w:szCs w:val="32"/>
          <w:lang w:val="zh-CN"/>
        </w:rPr>
        <w:t>（四）项目绩效目标设置。</w:t>
      </w:r>
      <w:r>
        <w:rPr>
          <w:rFonts w:hint="eastAsia" w:ascii="仿宋_GB2312" w:hAnsi="仿宋_GB2312" w:eastAsia="仿宋_GB2312" w:cs="仿宋_GB2312"/>
          <w:kern w:val="0"/>
          <w:sz w:val="32"/>
          <w:szCs w:val="32"/>
          <w:shd w:val="clear" w:color="auto" w:fill="FFFFFF"/>
        </w:rPr>
        <w:t>以</w:t>
      </w:r>
      <w:r>
        <w:rPr>
          <w:rFonts w:hint="eastAsia" w:ascii="仿宋_GB2312" w:hAnsi="Times New Roman" w:eastAsia="仿宋_GB2312" w:cs="Times New Roman"/>
          <w:sz w:val="32"/>
          <w:szCs w:val="32"/>
        </w:rPr>
        <w:t>广元市推进‘数字政府’专题培训”</w:t>
      </w:r>
      <w:r>
        <w:rPr>
          <w:rFonts w:hint="eastAsia" w:ascii="仿宋_GB2312" w:hAnsi="仿宋_GB2312" w:eastAsia="仿宋_GB2312" w:cs="仿宋_GB2312"/>
          <w:kern w:val="0"/>
          <w:sz w:val="32"/>
          <w:szCs w:val="32"/>
          <w:shd w:val="clear" w:color="auto" w:fill="FFFFFF"/>
        </w:rPr>
        <w:t>为主题，开展为期7天（含往返时间）的培训，设置绩效目标含培训活动顺利、按时完成，参训干部获得关于我市如何建设数字政府的启发。围绕绩效目标，在培训过程中记录培训人数、调研点位数、会议质量、满意度、培训费用等定量指标，通过课后交流、围绕我市具体问题开展分组和集中交流研讨，结业测试等方式检验参训人员是否获得启发、推进数字政府工作能力有无提升。</w:t>
      </w:r>
    </w:p>
    <w:p w14:paraId="2DB594D3">
      <w:pPr>
        <w:adjustRightInd w:val="0"/>
        <w:snapToGrid w:val="0"/>
        <w:spacing w:line="578" w:lineRule="exact"/>
        <w:ind w:firstLine="640" w:firstLineChars="200"/>
        <w:rPr>
          <w:rFonts w:ascii="黑体" w:hAnsi="宋体" w:eastAsia="黑体" w:cs="Times New Roman"/>
          <w:sz w:val="32"/>
          <w:szCs w:val="32"/>
        </w:rPr>
      </w:pPr>
      <w:r>
        <w:rPr>
          <w:rFonts w:hint="eastAsia" w:ascii="黑体" w:hAnsi="宋体" w:eastAsia="黑体" w:cs="Times New Roman"/>
          <w:sz w:val="32"/>
          <w:szCs w:val="32"/>
        </w:rPr>
        <w:t>二、评价实施</w:t>
      </w:r>
    </w:p>
    <w:p w14:paraId="17FD6CD3">
      <w:pPr>
        <w:spacing w:line="578" w:lineRule="exact"/>
        <w:ind w:firstLine="640"/>
        <w:rPr>
          <w:rFonts w:ascii="Times New Roman" w:hAnsi="Times New Roman" w:eastAsia="仿宋_GB2312" w:cs="Times New Roman"/>
          <w:sz w:val="32"/>
          <w:szCs w:val="32"/>
        </w:rPr>
      </w:pPr>
      <w:r>
        <w:rPr>
          <w:rFonts w:hint="eastAsia" w:ascii="楷体_GB2312" w:hAnsi="宋体" w:eastAsia="楷体_GB2312" w:cs="Times New Roman"/>
          <w:b/>
          <w:sz w:val="32"/>
          <w:szCs w:val="32"/>
          <w:lang w:val="zh-CN"/>
        </w:rPr>
        <w:t>（一）评价目的。</w:t>
      </w:r>
      <w:r>
        <w:rPr>
          <w:rFonts w:hint="eastAsia" w:ascii="Times New Roman" w:hAnsi="Times New Roman" w:eastAsia="仿宋_GB2312" w:cs="Times New Roman"/>
          <w:sz w:val="32"/>
          <w:szCs w:val="32"/>
        </w:rPr>
        <w:t>为组织培训和预算安排提供重要参考依据，进一步提高预算编制科学性、合理性，从源头上防控财政资源配置的低效无效，优化财政支出结构，提高财政资源配置效率和财政资金使用效益。</w:t>
      </w:r>
    </w:p>
    <w:p w14:paraId="5F4FFC11">
      <w:pPr>
        <w:adjustRightInd w:val="0"/>
        <w:snapToGrid w:val="0"/>
        <w:spacing w:line="578" w:lineRule="exact"/>
        <w:ind w:firstLine="643" w:firstLineChars="200"/>
        <w:rPr>
          <w:rFonts w:ascii="Times New Roman" w:hAnsi="Times New Roman" w:eastAsia="仿宋_GB2312" w:cs="Times New Roman"/>
          <w:color w:val="FF0000"/>
          <w:sz w:val="32"/>
          <w:szCs w:val="32"/>
        </w:rPr>
      </w:pPr>
      <w:r>
        <w:rPr>
          <w:rFonts w:hint="eastAsia" w:ascii="楷体_GB2312" w:hAnsi="宋体" w:eastAsia="楷体_GB2312" w:cs="Times New Roman"/>
          <w:b/>
          <w:sz w:val="32"/>
          <w:szCs w:val="32"/>
          <w:lang w:val="zh-CN"/>
        </w:rPr>
        <w:t>（二）预设问题及评价重点。</w:t>
      </w:r>
      <w:r>
        <w:rPr>
          <w:rFonts w:hint="eastAsia" w:ascii="Times New Roman" w:hAnsi="Times New Roman" w:eastAsia="仿宋_GB2312" w:cs="Times New Roman"/>
          <w:sz w:val="32"/>
          <w:szCs w:val="32"/>
        </w:rPr>
        <w:t>培训申报内容与具体实施内容是否相符、培训方案是否合理可行，资金使用是否合理。</w:t>
      </w:r>
    </w:p>
    <w:p w14:paraId="43581310">
      <w:pPr>
        <w:adjustRightInd w:val="0"/>
        <w:snapToGrid w:val="0"/>
        <w:spacing w:line="578" w:lineRule="exact"/>
        <w:ind w:firstLine="643" w:firstLineChars="200"/>
        <w:rPr>
          <w:rFonts w:ascii="仿宋_GB2312" w:hAnsi="Times New Roman" w:eastAsia="仿宋_GB2312" w:cs="Times New Roman"/>
          <w:sz w:val="32"/>
          <w:szCs w:val="32"/>
        </w:rPr>
      </w:pPr>
      <w:r>
        <w:rPr>
          <w:rFonts w:hint="eastAsia" w:ascii="楷体_GB2312" w:hAnsi="宋体" w:eastAsia="楷体_GB2312" w:cs="Times New Roman"/>
          <w:b/>
          <w:sz w:val="32"/>
          <w:szCs w:val="32"/>
          <w:lang w:val="zh-CN"/>
        </w:rPr>
        <w:t>（三）评价选点。</w:t>
      </w:r>
      <w:r>
        <w:rPr>
          <w:rFonts w:hint="eastAsia" w:ascii="仿宋_GB2312" w:hAnsi="Times New Roman" w:eastAsia="仿宋_GB2312" w:cs="Times New Roman"/>
          <w:sz w:val="32"/>
          <w:szCs w:val="32"/>
        </w:rPr>
        <w:t>培训由浙江大学在杭州市开展，为期7天（含往返时间），主题为“广元市推进‘数字政府’专题培训”，参训人员53人，参观点位5处，组织研讨1场，结业测试1次。</w:t>
      </w:r>
    </w:p>
    <w:p w14:paraId="657C0EAA">
      <w:pPr>
        <w:spacing w:line="578" w:lineRule="exact"/>
        <w:ind w:firstLine="640"/>
        <w:rPr>
          <w:rFonts w:ascii="仿宋_GB2312" w:hAnsi="Times New Roman" w:eastAsia="仿宋_GB2312" w:cs="Times New Roman"/>
          <w:sz w:val="32"/>
          <w:szCs w:val="32"/>
        </w:rPr>
      </w:pPr>
      <w:r>
        <w:rPr>
          <w:rFonts w:hint="eastAsia" w:ascii="楷体_GB2312" w:hAnsi="宋体" w:eastAsia="楷体_GB2312" w:cs="Times New Roman"/>
          <w:b/>
          <w:sz w:val="32"/>
          <w:szCs w:val="32"/>
          <w:lang w:val="zh-CN"/>
        </w:rPr>
        <w:t>（四）评价方法。</w:t>
      </w:r>
      <w:r>
        <w:rPr>
          <w:rFonts w:hint="eastAsia" w:ascii="仿宋_GB2312" w:hAnsi="Times New Roman" w:eastAsia="仿宋_GB2312" w:cs="Times New Roman"/>
          <w:sz w:val="32"/>
          <w:szCs w:val="32"/>
        </w:rPr>
        <w:t>围绕绩效目标，在培训过程中记录培训人数、调研点位数、会议质量、满意度、培训费用等定量指标，通过课后交流、围绕我市具体问题开展分组和集中交流研讨，结业测试等方式检验参训人员是否获得启发、推进数字政府工作能力有无提升。培训结束后通过整理培训过程中上述资料开展自评价。</w:t>
      </w:r>
    </w:p>
    <w:p w14:paraId="3FDF0995">
      <w:pPr>
        <w:spacing w:line="578" w:lineRule="exact"/>
        <w:ind w:firstLine="640"/>
        <w:rPr>
          <w:rFonts w:ascii="仿宋" w:hAnsi="仿宋" w:eastAsia="仿宋" w:cs="Times New Roman"/>
          <w:sz w:val="32"/>
          <w:szCs w:val="32"/>
          <w:highlight w:val="yellow"/>
        </w:rPr>
      </w:pPr>
      <w:r>
        <w:rPr>
          <w:rFonts w:hint="eastAsia" w:ascii="楷体_GB2312" w:hAnsi="宋体" w:eastAsia="楷体_GB2312" w:cs="Times New Roman"/>
          <w:b/>
          <w:sz w:val="32"/>
          <w:szCs w:val="32"/>
          <w:lang w:val="zh-CN"/>
        </w:rPr>
        <w:t>（五）评价组织。</w:t>
      </w:r>
      <w:r>
        <w:rPr>
          <w:rFonts w:hint="eastAsia" w:ascii="仿宋_GB2312" w:hAnsi="Times New Roman" w:eastAsia="仿宋_GB2312" w:cs="Times New Roman"/>
          <w:sz w:val="32"/>
          <w:szCs w:val="32"/>
        </w:rPr>
        <w:t>评价组人员由市发展改革委主要领导、分管产业发展科、办公室（财务室、后勤中心）负责领导及产业发展科、办公室（财务室、后勤中心）科室负责人等组成。办公室负责统筹评价活动、审核财务活动，产业发展科负责提供各项指标佐证材料，形成自评报告。</w:t>
      </w:r>
    </w:p>
    <w:p w14:paraId="4E284442">
      <w:pPr>
        <w:adjustRightInd w:val="0"/>
        <w:snapToGrid w:val="0"/>
        <w:spacing w:line="578" w:lineRule="exact"/>
        <w:ind w:firstLine="640" w:firstLineChars="200"/>
        <w:rPr>
          <w:rFonts w:ascii="仿宋_GB2312" w:hAnsi="宋体" w:eastAsia="仿宋_GB2312" w:cs="Times New Roman"/>
          <w:sz w:val="32"/>
          <w:szCs w:val="32"/>
          <w:lang w:val="zh-CN"/>
        </w:rPr>
      </w:pPr>
      <w:r>
        <w:rPr>
          <w:rFonts w:hint="eastAsia" w:ascii="黑体" w:hAnsi="宋体" w:eastAsia="黑体" w:cs="Times New Roman"/>
          <w:sz w:val="32"/>
          <w:szCs w:val="32"/>
        </w:rPr>
        <w:t>三、绩效分析</w:t>
      </w:r>
    </w:p>
    <w:p w14:paraId="4F0CA5D7">
      <w:pPr>
        <w:spacing w:line="578" w:lineRule="exact"/>
        <w:ind w:firstLine="640"/>
        <w:rPr>
          <w:rFonts w:ascii="楷体_GB2312" w:hAnsi="宋体" w:eastAsia="楷体_GB2312" w:cs="Times New Roman"/>
          <w:b/>
          <w:sz w:val="32"/>
          <w:szCs w:val="32"/>
        </w:rPr>
      </w:pPr>
      <w:r>
        <w:rPr>
          <w:rFonts w:hint="eastAsia" w:ascii="楷体_GB2312" w:hAnsi="宋体" w:eastAsia="楷体_GB2312" w:cs="Times New Roman"/>
          <w:b/>
          <w:sz w:val="32"/>
          <w:szCs w:val="32"/>
          <w:lang w:val="zh-CN"/>
        </w:rPr>
        <w:t>（一）</w:t>
      </w:r>
      <w:r>
        <w:rPr>
          <w:rFonts w:hint="eastAsia" w:ascii="楷体_GB2312" w:hAnsi="宋体" w:eastAsia="楷体_GB2312" w:cs="Times New Roman"/>
          <w:b/>
          <w:sz w:val="32"/>
          <w:szCs w:val="32"/>
        </w:rPr>
        <w:t>通用指标</w:t>
      </w:r>
      <w:r>
        <w:rPr>
          <w:rFonts w:ascii="Times New Roman" w:hAnsi="Times New Roman" w:eastAsia="楷体_GB2312" w:cs="Times New Roman"/>
          <w:b/>
          <w:bCs/>
          <w:color w:val="000000"/>
          <w:kern w:val="0"/>
          <w:sz w:val="32"/>
          <w:szCs w:val="32"/>
          <w:shd w:val="clear" w:color="auto" w:fill="FFFFFF"/>
          <w:lang w:val="zh-CN"/>
        </w:rPr>
        <w:t>绩效分析。</w:t>
      </w:r>
    </w:p>
    <w:p w14:paraId="28F5D114">
      <w:pPr>
        <w:spacing w:line="578" w:lineRule="exact"/>
        <w:ind w:firstLine="640"/>
        <w:rPr>
          <w:rFonts w:ascii="Times New Roman" w:hAnsi="Times New Roman" w:eastAsia="仿宋_GB2312" w:cs="Times New Roman"/>
          <w:sz w:val="32"/>
          <w:szCs w:val="32"/>
        </w:rPr>
      </w:pPr>
      <w:r>
        <w:rPr>
          <w:rFonts w:hint="eastAsia" w:ascii="楷体_GB2312" w:hAnsi="楷体_GB2312" w:eastAsia="楷体_GB2312" w:cs="楷体_GB2312"/>
          <w:sz w:val="32"/>
          <w:szCs w:val="32"/>
        </w:rPr>
        <w:t>1.项目决策。</w:t>
      </w:r>
      <w:r>
        <w:rPr>
          <w:rFonts w:hint="eastAsia" w:ascii="Times New Roman" w:hAnsi="Times New Roman" w:eastAsia="仿宋_GB2312" w:cs="Times New Roman"/>
          <w:sz w:val="32"/>
          <w:szCs w:val="32"/>
        </w:rPr>
        <w:t>围绕决策程序、规划论证、资金投向进行绩效分析。项目决策程序严密，项目绩效目标设置科学合理，项目资金与相关行业事业发展相匹配，聚焦数字政府建设等重点领域和新型智慧城市建设等重点项目。绩效分析得分18分。</w:t>
      </w:r>
    </w:p>
    <w:p w14:paraId="4099093E">
      <w:pPr>
        <w:spacing w:line="578" w:lineRule="exact"/>
        <w:ind w:firstLine="640"/>
        <w:rPr>
          <w:rFonts w:ascii="Times New Roman" w:hAnsi="Times New Roman" w:eastAsia="仿宋_GB2312" w:cs="Times New Roman"/>
          <w:sz w:val="32"/>
          <w:szCs w:val="32"/>
        </w:rPr>
      </w:pPr>
      <w:r>
        <w:rPr>
          <w:rFonts w:hint="eastAsia" w:ascii="楷体_GB2312" w:hAnsi="楷体_GB2312" w:eastAsia="楷体_GB2312" w:cs="楷体_GB2312"/>
          <w:sz w:val="32"/>
          <w:szCs w:val="32"/>
        </w:rPr>
        <w:t>2.项目管理。</w:t>
      </w:r>
      <w:r>
        <w:rPr>
          <w:rFonts w:hint="eastAsia" w:ascii="Times New Roman" w:hAnsi="Times New Roman" w:eastAsia="仿宋_GB2312" w:cs="Times New Roman"/>
          <w:sz w:val="32"/>
          <w:szCs w:val="32"/>
        </w:rPr>
        <w:t>围绕制度办法、分配管理、绩效监管进行绩效分析。培训方案等管理制度体系健全完善、要素完备，不存在管理制度缺失情况。培训方案审批符合相关要求，决策程序符合要求，及时高效，培训开展严格按照要求全面完成绩效目标、绩效评价等预算绩效管理工作。绩效分析得分18分。</w:t>
      </w:r>
    </w:p>
    <w:p w14:paraId="3CEB47DD">
      <w:pPr>
        <w:spacing w:line="578" w:lineRule="exact"/>
        <w:ind w:firstLine="640"/>
        <w:rPr>
          <w:rFonts w:ascii="Times New Roman" w:hAnsi="Times New Roman" w:eastAsia="仿宋_GB2312" w:cs="Times New Roman"/>
          <w:sz w:val="32"/>
          <w:szCs w:val="32"/>
        </w:rPr>
      </w:pPr>
      <w:r>
        <w:rPr>
          <w:rFonts w:hint="eastAsia" w:ascii="Times New Roman" w:hAnsi="Times New Roman" w:eastAsia="仿宋_GB2312" w:cs="Times New Roman"/>
          <w:sz w:val="32"/>
          <w:szCs w:val="32"/>
        </w:rPr>
        <w:t>3.</w:t>
      </w:r>
      <w:r>
        <w:rPr>
          <w:rFonts w:hint="eastAsia" w:ascii="楷体_GB2312" w:hAnsi="楷体_GB2312" w:eastAsia="楷体_GB2312" w:cs="楷体_GB2312"/>
          <w:sz w:val="32"/>
          <w:szCs w:val="32"/>
        </w:rPr>
        <w:t>项目实施。</w:t>
      </w:r>
      <w:r>
        <w:rPr>
          <w:rFonts w:hint="eastAsia" w:ascii="Times New Roman" w:hAnsi="Times New Roman" w:eastAsia="仿宋_GB2312" w:cs="Times New Roman"/>
          <w:sz w:val="32"/>
          <w:szCs w:val="32"/>
        </w:rPr>
        <w:t>培训工作严格围绕预算</w:t>
      </w:r>
      <w:r>
        <w:rPr>
          <w:rFonts w:hint="eastAsia" w:ascii="Times New Roman" w:hAnsi="Times New Roman" w:eastAsia="仿宋_GB2312" w:cs="Times New Roman"/>
          <w:sz w:val="32"/>
          <w:szCs w:val="32"/>
          <w:lang w:val="zh-CN"/>
        </w:rPr>
        <w:t>执行</w:t>
      </w:r>
      <w:r>
        <w:rPr>
          <w:rFonts w:hint="eastAsia" w:ascii="Times New Roman" w:hAnsi="Times New Roman" w:eastAsia="仿宋_GB2312" w:cs="Times New Roman"/>
          <w:sz w:val="32"/>
          <w:szCs w:val="32"/>
        </w:rPr>
        <w:t>，资金使用符合绩效目标，培训资金财政拨付、单位执行到位。培训费15万元，由市财政局承担，费用从全市干部教育培训经费中解决。往返交通费及食宿费由学员按相关规定回所在单位报销。绩效分析得分9分。</w:t>
      </w:r>
    </w:p>
    <w:p w14:paraId="0C78CC94">
      <w:pPr>
        <w:spacing w:line="578" w:lineRule="exact"/>
        <w:ind w:firstLine="640" w:firstLineChars="200"/>
        <w:rPr>
          <w:rFonts w:ascii="Times New Roman" w:hAnsi="Times New Roman" w:eastAsia="仿宋_GB2312" w:cs="Times New Roman"/>
          <w:sz w:val="32"/>
          <w:szCs w:val="32"/>
        </w:rPr>
      </w:pPr>
      <w:r>
        <w:rPr>
          <w:rFonts w:hint="eastAsia" w:ascii="楷体_GB2312" w:hAnsi="楷体_GB2312" w:eastAsia="楷体_GB2312" w:cs="楷体_GB2312"/>
          <w:sz w:val="32"/>
          <w:szCs w:val="32"/>
        </w:rPr>
        <w:t>4.项目结果。</w:t>
      </w:r>
      <w:r>
        <w:rPr>
          <w:rFonts w:hint="eastAsia" w:ascii="Times New Roman" w:hAnsi="Times New Roman" w:eastAsia="仿宋_GB2312" w:cs="Times New Roman"/>
          <w:sz w:val="32"/>
          <w:szCs w:val="32"/>
        </w:rPr>
        <w:t>围绕目标完成、完成时效进行绩效分析。项目完成预期目标，实施结果是与绩效目标相匹配，培训慕白已实现。培训实际完成时间与计划完成时间一致。绩效分析得分9分。</w:t>
      </w:r>
    </w:p>
    <w:p w14:paraId="06C4A837">
      <w:pPr>
        <w:spacing w:line="578" w:lineRule="exact"/>
        <w:ind w:firstLine="643" w:firstLineChars="200"/>
        <w:rPr>
          <w:rFonts w:ascii="Times New Roman" w:hAnsi="Times New Roman" w:eastAsia="仿宋_GB2312" w:cs="Times New Roman"/>
          <w:sz w:val="32"/>
          <w:szCs w:val="32"/>
        </w:rPr>
      </w:pPr>
      <w:r>
        <w:rPr>
          <w:rFonts w:hint="eastAsia" w:ascii="楷体_GB2312" w:hAnsi="宋体" w:eastAsia="楷体_GB2312" w:cs="Times New Roman"/>
          <w:b/>
          <w:sz w:val="32"/>
          <w:szCs w:val="32"/>
          <w:lang w:val="zh-CN"/>
        </w:rPr>
        <w:t>（二）</w:t>
      </w:r>
      <w:r>
        <w:rPr>
          <w:rFonts w:hint="eastAsia" w:ascii="楷体_GB2312" w:hAnsi="宋体" w:eastAsia="楷体_GB2312" w:cs="Times New Roman"/>
          <w:b/>
          <w:sz w:val="32"/>
          <w:szCs w:val="32"/>
        </w:rPr>
        <w:t>专用指标</w:t>
      </w:r>
      <w:r>
        <w:rPr>
          <w:rFonts w:ascii="Times New Roman" w:hAnsi="Times New Roman" w:eastAsia="楷体_GB2312" w:cs="Times New Roman"/>
          <w:b/>
          <w:bCs/>
          <w:color w:val="000000"/>
          <w:kern w:val="0"/>
          <w:sz w:val="32"/>
          <w:szCs w:val="32"/>
          <w:shd w:val="clear" w:color="auto" w:fill="FFFFFF"/>
          <w:lang w:val="zh-CN"/>
        </w:rPr>
        <w:t>绩效分析。</w:t>
      </w:r>
      <w:r>
        <w:rPr>
          <w:rFonts w:hint="eastAsia" w:ascii="Times New Roman" w:hAnsi="Times New Roman" w:eastAsia="仿宋_GB2312" w:cs="Times New Roman"/>
          <w:sz w:val="32"/>
          <w:szCs w:val="32"/>
        </w:rPr>
        <w:t>培训工作已完成，培训目标已达成。培训53人，现场参观点位5个，培训满意度100%。绩效分析得分30分。</w:t>
      </w:r>
    </w:p>
    <w:p w14:paraId="003E215B">
      <w:pPr>
        <w:spacing w:line="578" w:lineRule="exact"/>
        <w:ind w:firstLine="640"/>
        <w:rPr>
          <w:rFonts w:ascii="Times New Roman" w:hAnsi="Times New Roman" w:eastAsia="仿宋_GB2312" w:cs="Times New Roman"/>
          <w:sz w:val="32"/>
          <w:szCs w:val="32"/>
        </w:rPr>
      </w:pPr>
      <w:r>
        <w:rPr>
          <w:rFonts w:hint="eastAsia" w:ascii="楷体_GB2312" w:hAnsi="宋体" w:eastAsia="楷体_GB2312" w:cs="Times New Roman"/>
          <w:b/>
          <w:sz w:val="32"/>
          <w:szCs w:val="32"/>
          <w:lang w:val="zh-CN"/>
        </w:rPr>
        <w:t>（三）</w:t>
      </w:r>
      <w:r>
        <w:rPr>
          <w:rFonts w:hint="eastAsia" w:ascii="楷体_GB2312" w:hAnsi="宋体" w:eastAsia="楷体_GB2312" w:cs="Times New Roman"/>
          <w:b/>
          <w:sz w:val="32"/>
          <w:szCs w:val="32"/>
        </w:rPr>
        <w:t>个性指标</w:t>
      </w:r>
      <w:r>
        <w:rPr>
          <w:rFonts w:ascii="Times New Roman" w:hAnsi="Times New Roman" w:eastAsia="楷体_GB2312" w:cs="Times New Roman"/>
          <w:b/>
          <w:bCs/>
          <w:color w:val="000000"/>
          <w:kern w:val="0"/>
          <w:sz w:val="32"/>
          <w:szCs w:val="32"/>
          <w:shd w:val="clear" w:color="auto" w:fill="FFFFFF"/>
          <w:lang w:val="zh-CN"/>
        </w:rPr>
        <w:t>绩效分析。</w:t>
      </w:r>
      <w:r>
        <w:rPr>
          <w:rFonts w:hint="eastAsia" w:ascii="Times New Roman" w:hAnsi="Times New Roman" w:eastAsia="仿宋_GB2312" w:cs="Times New Roman"/>
          <w:sz w:val="32"/>
          <w:szCs w:val="32"/>
        </w:rPr>
        <w:t>无适用个性指标。</w:t>
      </w:r>
    </w:p>
    <w:p w14:paraId="78196BF9">
      <w:pPr>
        <w:widowControl/>
        <w:tabs>
          <w:tab w:val="left" w:pos="2160"/>
        </w:tabs>
        <w:spacing w:line="600" w:lineRule="exact"/>
        <w:ind w:firstLine="640" w:firstLineChars="200"/>
        <w:jc w:val="left"/>
        <w:rPr>
          <w:rFonts w:ascii="黑体" w:hAnsi="宋体" w:eastAsia="黑体" w:cs="Times New Roman"/>
          <w:kern w:val="0"/>
          <w:position w:val="3"/>
          <w:sz w:val="32"/>
          <w:szCs w:val="32"/>
          <w:lang w:val="en-US" w:eastAsia="zh-CN" w:bidi="ar-SA"/>
        </w:rPr>
      </w:pPr>
      <w:r>
        <w:rPr>
          <w:rFonts w:hint="eastAsia" w:ascii="黑体" w:hAnsi="宋体" w:eastAsia="黑体" w:cs="Times New Roman"/>
          <w:kern w:val="0"/>
          <w:position w:val="3"/>
          <w:sz w:val="32"/>
          <w:szCs w:val="32"/>
          <w:lang w:val="en-US" w:eastAsia="zh-CN" w:bidi="ar-SA"/>
        </w:rPr>
        <w:t>四、评价结论</w:t>
      </w:r>
    </w:p>
    <w:p w14:paraId="2A93B309">
      <w:pPr>
        <w:widowControl/>
        <w:tabs>
          <w:tab w:val="left" w:pos="2160"/>
        </w:tabs>
        <w:spacing w:line="600" w:lineRule="exact"/>
        <w:ind w:firstLine="640" w:firstLineChars="200"/>
        <w:jc w:val="left"/>
        <w:rPr>
          <w:rFonts w:ascii="仿宋_GB2312" w:hAnsi="仿宋_GB2312" w:eastAsia="仿宋_GB2312" w:cs="仿宋_GB2312"/>
          <w:kern w:val="0"/>
          <w:position w:val="3"/>
          <w:sz w:val="32"/>
          <w:szCs w:val="32"/>
          <w:lang w:val="en-US" w:eastAsia="zh-CN" w:bidi="ar-SA"/>
        </w:rPr>
      </w:pPr>
      <w:r>
        <w:rPr>
          <w:rFonts w:hint="eastAsia" w:ascii="仿宋_GB2312" w:hAnsi="仿宋_GB2312" w:eastAsia="仿宋_GB2312" w:cs="仿宋_GB2312"/>
          <w:kern w:val="0"/>
          <w:position w:val="3"/>
          <w:sz w:val="32"/>
          <w:szCs w:val="32"/>
          <w:lang w:val="en-US" w:eastAsia="zh-CN" w:bidi="ar-SA"/>
        </w:rPr>
        <w:t>评价总分84分，得分84分。培训按预期开展，培训过程全员遵守培训规定，参训人员53人均获得较大提升，对我市数字政府建设有重要积极意义，《关于我市推进“数字政府”专题培训有关情况的报告》为我市建设数字政府指明了路径。</w:t>
      </w:r>
    </w:p>
    <w:p w14:paraId="33BDD2F8">
      <w:pPr>
        <w:widowControl/>
        <w:tabs>
          <w:tab w:val="left" w:pos="2160"/>
        </w:tabs>
        <w:spacing w:line="600" w:lineRule="exact"/>
        <w:ind w:firstLine="640" w:firstLineChars="200"/>
        <w:jc w:val="left"/>
        <w:rPr>
          <w:rFonts w:ascii="黑体" w:hAnsi="宋体" w:eastAsia="黑体" w:cs="Times New Roman"/>
          <w:kern w:val="0"/>
          <w:position w:val="3"/>
          <w:sz w:val="32"/>
          <w:szCs w:val="32"/>
          <w:lang w:val="en-US" w:eastAsia="zh-CN" w:bidi="ar-SA"/>
        </w:rPr>
      </w:pPr>
      <w:r>
        <w:rPr>
          <w:rFonts w:hint="eastAsia" w:ascii="黑体" w:hAnsi="宋体" w:eastAsia="黑体" w:cs="Times New Roman"/>
          <w:kern w:val="0"/>
          <w:position w:val="3"/>
          <w:sz w:val="32"/>
          <w:szCs w:val="32"/>
          <w:lang w:val="en-US" w:eastAsia="zh-CN" w:bidi="ar-SA"/>
        </w:rPr>
        <w:t>五、存在主要问题</w:t>
      </w:r>
    </w:p>
    <w:p w14:paraId="33AD37F1">
      <w:pPr>
        <w:widowControl/>
        <w:tabs>
          <w:tab w:val="left" w:pos="2160"/>
        </w:tabs>
        <w:spacing w:line="600" w:lineRule="exact"/>
        <w:ind w:firstLine="640" w:firstLineChars="200"/>
        <w:jc w:val="left"/>
        <w:rPr>
          <w:rFonts w:ascii="仿宋_GB2312" w:hAnsi="仿宋_GB2312" w:eastAsia="仿宋_GB2312" w:cs="仿宋_GB2312"/>
          <w:kern w:val="0"/>
          <w:position w:val="0"/>
          <w:sz w:val="32"/>
          <w:szCs w:val="32"/>
          <w:lang w:val="en-US" w:eastAsia="zh-CN" w:bidi="ar-SA"/>
        </w:rPr>
      </w:pPr>
      <w:r>
        <w:rPr>
          <w:rFonts w:hint="eastAsia" w:ascii="仿宋_GB2312" w:hAnsi="仿宋_GB2312" w:eastAsia="仿宋_GB2312" w:cs="仿宋_GB2312"/>
          <w:kern w:val="0"/>
          <w:position w:val="0"/>
          <w:sz w:val="32"/>
          <w:szCs w:val="32"/>
          <w:lang w:val="en-US" w:eastAsia="zh-CN" w:bidi="ar-SA"/>
        </w:rPr>
        <w:t>无。</w:t>
      </w:r>
    </w:p>
    <w:p w14:paraId="1AD926DA">
      <w:pPr>
        <w:widowControl/>
        <w:tabs>
          <w:tab w:val="left" w:pos="2160"/>
        </w:tabs>
        <w:spacing w:line="600" w:lineRule="exact"/>
        <w:ind w:firstLine="640" w:firstLineChars="200"/>
        <w:jc w:val="left"/>
        <w:rPr>
          <w:rFonts w:ascii="黑体" w:hAnsi="宋体" w:eastAsia="黑体" w:cs="Times New Roman"/>
          <w:kern w:val="0"/>
          <w:position w:val="3"/>
          <w:sz w:val="32"/>
          <w:szCs w:val="32"/>
          <w:lang w:val="zh-CN" w:eastAsia="zh-CN" w:bidi="ar-SA"/>
        </w:rPr>
      </w:pPr>
      <w:r>
        <w:rPr>
          <w:rFonts w:hint="eastAsia" w:ascii="黑体" w:hAnsi="宋体" w:eastAsia="黑体" w:cs="Times New Roman"/>
          <w:kern w:val="0"/>
          <w:position w:val="3"/>
          <w:sz w:val="32"/>
          <w:szCs w:val="32"/>
          <w:lang w:val="zh-CN" w:eastAsia="zh-CN" w:bidi="ar-SA"/>
        </w:rPr>
        <w:t>六、改进建议</w:t>
      </w:r>
    </w:p>
    <w:p w14:paraId="65ECB25C">
      <w:pPr>
        <w:tabs>
          <w:tab w:val="left" w:pos="1911"/>
        </w:tabs>
        <w:ind w:firstLine="640" w:firstLineChars="200"/>
        <w:jc w:val="left"/>
        <w:rPr>
          <w:rFonts w:ascii="仿宋_GB2312" w:hAnsi="仿宋_GB2312" w:eastAsia="仿宋_GB2312" w:cs="仿宋_GB2312"/>
          <w:kern w:val="0"/>
          <w:sz w:val="32"/>
          <w:szCs w:val="32"/>
        </w:rPr>
      </w:pPr>
      <w:bookmarkStart w:id="115" w:name="_Hlk110546638"/>
      <w:r>
        <w:rPr>
          <w:rFonts w:hint="eastAsia" w:ascii="仿宋_GB2312" w:hAnsi="仿宋_GB2312" w:eastAsia="仿宋_GB2312" w:cs="仿宋_GB2312"/>
          <w:kern w:val="0"/>
          <w:sz w:val="32"/>
          <w:szCs w:val="32"/>
        </w:rPr>
        <w:t>无。</w:t>
      </w:r>
    </w:p>
    <w:bookmarkEnd w:id="115"/>
    <w:p w14:paraId="4ECF72F7">
      <w:pPr>
        <w:snapToGrid w:val="0"/>
        <w:spacing w:line="578" w:lineRule="exact"/>
        <w:ind w:firstLine="640" w:firstLineChars="200"/>
        <w:rPr>
          <w:rFonts w:ascii="Times New Roman" w:hAnsi="Times New Roman" w:eastAsia="仿宋_GB2312" w:cs="Times New Roman"/>
          <w:color w:val="000000"/>
          <w:kern w:val="0"/>
          <w:sz w:val="32"/>
          <w:szCs w:val="32"/>
          <w:shd w:val="clear" w:color="auto" w:fill="FFFFFF"/>
          <w:lang w:val="zh-CN"/>
        </w:rPr>
      </w:pPr>
    </w:p>
    <w:p w14:paraId="20528F2D">
      <w:pPr>
        <w:snapToGrid w:val="0"/>
        <w:spacing w:line="578" w:lineRule="exact"/>
        <w:ind w:firstLine="640" w:firstLineChars="200"/>
        <w:rPr>
          <w:rFonts w:ascii="Times New Roman" w:hAnsi="Times New Roman" w:eastAsia="仿宋_GB2312" w:cs="Times New Roman"/>
          <w:kern w:val="0"/>
          <w:sz w:val="32"/>
          <w:szCs w:val="32"/>
          <w:shd w:val="clear" w:color="auto" w:fill="FFFFFF"/>
        </w:rPr>
      </w:pPr>
      <w:r>
        <w:rPr>
          <w:rFonts w:hint="eastAsia" w:ascii="Times New Roman" w:hAnsi="Times New Roman" w:eastAsia="仿宋_GB2312" w:cs="Times New Roman"/>
          <w:kern w:val="0"/>
          <w:sz w:val="32"/>
          <w:szCs w:val="32"/>
          <w:shd w:val="clear" w:color="auto" w:fill="FFFFFF"/>
        </w:rPr>
        <w:t>附表：1.项目资金分配涉及所有点位自评得分情况表</w:t>
      </w:r>
    </w:p>
    <w:p w14:paraId="1CD71991">
      <w:pPr>
        <w:snapToGrid w:val="0"/>
        <w:spacing w:line="578" w:lineRule="exact"/>
        <w:ind w:firstLine="1600" w:firstLineChars="500"/>
        <w:rPr>
          <w:rFonts w:ascii="Times New Roman" w:hAnsi="Times New Roman" w:eastAsia="仿宋_GB2312" w:cs="Times New Roman"/>
          <w:kern w:val="0"/>
          <w:sz w:val="32"/>
          <w:szCs w:val="32"/>
          <w:shd w:val="clear" w:color="auto" w:fill="FFFFFF"/>
        </w:rPr>
      </w:pPr>
      <w:r>
        <w:rPr>
          <w:rFonts w:hint="eastAsia" w:ascii="Times New Roman" w:hAnsi="Times New Roman" w:eastAsia="仿宋_GB2312" w:cs="Times New Roman"/>
          <w:kern w:val="0"/>
          <w:sz w:val="32"/>
          <w:szCs w:val="32"/>
          <w:shd w:val="clear" w:color="auto" w:fill="FFFFFF"/>
        </w:rPr>
        <w:t>2.专项预算项目绩效目标完成情况自评表</w:t>
      </w:r>
    </w:p>
    <w:p w14:paraId="30FD140C">
      <w:pPr>
        <w:snapToGrid w:val="0"/>
        <w:spacing w:line="578" w:lineRule="exact"/>
        <w:ind w:firstLine="640" w:firstLineChars="200"/>
        <w:rPr>
          <w:rFonts w:ascii="Times New Roman" w:hAnsi="Times New Roman" w:eastAsia="仿宋_GB2312" w:cs="Times New Roman"/>
          <w:color w:val="000000"/>
          <w:kern w:val="0"/>
          <w:sz w:val="32"/>
          <w:szCs w:val="32"/>
          <w:shd w:val="clear" w:color="auto" w:fill="FFFFFF"/>
          <w:lang w:val="zh-CN"/>
        </w:rPr>
      </w:pPr>
      <w:r>
        <w:rPr>
          <w:rFonts w:hint="eastAsia" w:ascii="Times New Roman" w:hAnsi="Times New Roman" w:eastAsia="仿宋_GB2312" w:cs="Times New Roman"/>
          <w:color w:val="000000"/>
          <w:kern w:val="0"/>
          <w:sz w:val="32"/>
          <w:szCs w:val="32"/>
          <w:shd w:val="clear" w:color="auto" w:fill="FFFFFF"/>
          <w:lang w:val="zh-CN"/>
        </w:rPr>
        <w:br w:type="page"/>
      </w:r>
    </w:p>
    <w:p w14:paraId="5F0DF28F">
      <w:pPr>
        <w:widowControl/>
        <w:adjustRightInd w:val="0"/>
        <w:snapToGrid w:val="0"/>
        <w:spacing w:line="578" w:lineRule="exact"/>
        <w:contextualSpacing/>
        <w:jc w:val="left"/>
        <w:rPr>
          <w:rFonts w:ascii="黑体" w:hAnsi="黑体" w:eastAsia="黑体" w:cs="黑体"/>
          <w:kern w:val="0"/>
          <w:sz w:val="32"/>
          <w:szCs w:val="32"/>
          <w:shd w:val="clear" w:color="auto" w:fill="FFFFFF"/>
          <w:lang w:val="zh-CN"/>
        </w:rPr>
      </w:pPr>
      <w:r>
        <w:rPr>
          <w:rFonts w:hint="eastAsia" w:ascii="黑体" w:hAnsi="黑体" w:eastAsia="黑体" w:cs="黑体"/>
          <w:kern w:val="0"/>
          <w:sz w:val="32"/>
          <w:szCs w:val="32"/>
          <w:shd w:val="clear" w:color="auto" w:fill="FFFFFF"/>
          <w:lang w:val="zh-CN"/>
        </w:rPr>
        <w:t>附表</w:t>
      </w:r>
      <w:r>
        <w:rPr>
          <w:rFonts w:hint="eastAsia" w:ascii="黑体" w:hAnsi="黑体" w:eastAsia="黑体" w:cs="黑体"/>
          <w:kern w:val="0"/>
          <w:sz w:val="32"/>
          <w:szCs w:val="32"/>
          <w:shd w:val="clear" w:color="auto" w:fill="FFFFFF"/>
        </w:rPr>
        <w:t>1</w:t>
      </w:r>
    </w:p>
    <w:p w14:paraId="4C16130F">
      <w:pPr>
        <w:spacing w:line="578" w:lineRule="exact"/>
        <w:jc w:val="center"/>
        <w:rPr>
          <w:rFonts w:ascii="方正小标宋_GBK" w:hAnsi="方正小标宋_GBK" w:eastAsia="方正小标宋_GBK" w:cs="方正小标宋_GBK"/>
          <w:sz w:val="40"/>
          <w:szCs w:val="40"/>
        </w:rPr>
      </w:pPr>
      <w:r>
        <w:rPr>
          <w:rFonts w:hint="eastAsia" w:ascii="方正小标宋_GBK" w:hAnsi="方正小标宋_GBK" w:eastAsia="方正小标宋_GBK" w:cs="方正小标宋_GBK"/>
          <w:sz w:val="40"/>
          <w:szCs w:val="40"/>
        </w:rPr>
        <w:t>项目资金分配涉及所有点位自评得分情况表</w:t>
      </w:r>
    </w:p>
    <w:tbl>
      <w:tblPr>
        <w:tblStyle w:val="21"/>
        <w:tblW w:w="88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23"/>
        <w:gridCol w:w="3843"/>
        <w:gridCol w:w="2861"/>
        <w:gridCol w:w="993"/>
      </w:tblGrid>
      <w:tr w14:paraId="73AC98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tcPr>
          <w:p w14:paraId="14766D7D">
            <w:pPr>
              <w:keepNext w:val="0"/>
              <w:keepLines w:val="0"/>
              <w:suppressLineNumbers w:val="0"/>
              <w:spacing w:before="0" w:beforeAutospacing="0" w:after="0" w:afterAutospacing="0" w:line="300" w:lineRule="exact"/>
              <w:ind w:left="0" w:right="0"/>
              <w:jc w:val="center"/>
              <w:rPr>
                <w:rFonts w:hint="default" w:ascii="黑体" w:hAnsi="黑体" w:eastAsia="黑体" w:cs="黑体"/>
                <w:sz w:val="24"/>
                <w:szCs w:val="24"/>
              </w:rPr>
            </w:pPr>
            <w:r>
              <w:rPr>
                <w:rFonts w:hint="eastAsia" w:ascii="黑体" w:hAnsi="黑体" w:eastAsia="黑体" w:cs="黑体"/>
                <w:sz w:val="24"/>
                <w:szCs w:val="24"/>
              </w:rPr>
              <w:t>序号</w:t>
            </w:r>
          </w:p>
        </w:tc>
        <w:tc>
          <w:tcPr>
            <w:tcW w:w="3843" w:type="dxa"/>
          </w:tcPr>
          <w:p w14:paraId="28A330A1">
            <w:pPr>
              <w:keepNext w:val="0"/>
              <w:keepLines w:val="0"/>
              <w:suppressLineNumbers w:val="0"/>
              <w:spacing w:before="0" w:beforeAutospacing="0" w:after="0" w:afterAutospacing="0" w:line="300" w:lineRule="exact"/>
              <w:ind w:left="0" w:right="0"/>
              <w:jc w:val="center"/>
              <w:rPr>
                <w:rFonts w:hint="default" w:ascii="黑体" w:hAnsi="黑体" w:eastAsia="黑体" w:cs="黑体"/>
                <w:sz w:val="24"/>
                <w:szCs w:val="24"/>
              </w:rPr>
            </w:pPr>
            <w:r>
              <w:rPr>
                <w:rFonts w:hint="eastAsia" w:ascii="黑体" w:hAnsi="黑体" w:eastAsia="黑体" w:cs="黑体"/>
                <w:sz w:val="24"/>
                <w:szCs w:val="24"/>
              </w:rPr>
              <w:t>项目资金末端分配点位</w:t>
            </w:r>
          </w:p>
        </w:tc>
        <w:tc>
          <w:tcPr>
            <w:tcW w:w="2861" w:type="dxa"/>
          </w:tcPr>
          <w:p w14:paraId="542406CE">
            <w:pPr>
              <w:keepNext w:val="0"/>
              <w:keepLines w:val="0"/>
              <w:suppressLineNumbers w:val="0"/>
              <w:spacing w:before="0" w:beforeAutospacing="0" w:after="0" w:afterAutospacing="0" w:line="300" w:lineRule="exact"/>
              <w:ind w:left="0" w:right="0"/>
              <w:jc w:val="center"/>
              <w:rPr>
                <w:rFonts w:hint="default" w:ascii="黑体" w:hAnsi="黑体" w:eastAsia="黑体" w:cs="黑体"/>
                <w:sz w:val="24"/>
                <w:szCs w:val="24"/>
              </w:rPr>
            </w:pPr>
            <w:r>
              <w:rPr>
                <w:rFonts w:hint="eastAsia" w:ascii="黑体" w:hAnsi="黑体" w:eastAsia="黑体" w:cs="黑体"/>
                <w:sz w:val="24"/>
                <w:szCs w:val="24"/>
              </w:rPr>
              <w:t>自评得分（百分制）</w:t>
            </w:r>
          </w:p>
        </w:tc>
        <w:tc>
          <w:tcPr>
            <w:tcW w:w="993" w:type="dxa"/>
          </w:tcPr>
          <w:p w14:paraId="48BA86AD">
            <w:pPr>
              <w:keepNext w:val="0"/>
              <w:keepLines w:val="0"/>
              <w:suppressLineNumbers w:val="0"/>
              <w:spacing w:before="0" w:beforeAutospacing="0" w:after="0" w:afterAutospacing="0" w:line="300" w:lineRule="exact"/>
              <w:ind w:left="0" w:right="0"/>
              <w:jc w:val="center"/>
              <w:rPr>
                <w:rFonts w:hint="default" w:ascii="黑体" w:hAnsi="黑体" w:eastAsia="黑体" w:cs="黑体"/>
                <w:sz w:val="24"/>
                <w:szCs w:val="24"/>
              </w:rPr>
            </w:pPr>
            <w:r>
              <w:rPr>
                <w:rFonts w:hint="eastAsia" w:ascii="黑体" w:hAnsi="黑体" w:eastAsia="黑体" w:cs="黑体"/>
                <w:sz w:val="24"/>
                <w:szCs w:val="24"/>
              </w:rPr>
              <w:t>备注</w:t>
            </w:r>
          </w:p>
        </w:tc>
      </w:tr>
      <w:tr w14:paraId="489C69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tcPr>
          <w:p w14:paraId="756BDE19">
            <w:pPr>
              <w:keepNext w:val="0"/>
              <w:keepLines w:val="0"/>
              <w:suppressLineNumbers w:val="0"/>
              <w:spacing w:before="0" w:beforeAutospacing="0" w:after="0" w:afterAutospacing="0" w:line="300" w:lineRule="exact"/>
              <w:ind w:left="0" w:right="0"/>
              <w:jc w:val="center"/>
              <w:rPr>
                <w:rFonts w:hint="default" w:ascii="宋体" w:hAnsi="宋体" w:eastAsia="宋体" w:cs="宋体"/>
                <w:sz w:val="24"/>
                <w:szCs w:val="24"/>
              </w:rPr>
            </w:pPr>
            <w:r>
              <w:rPr>
                <w:rFonts w:hint="eastAsia" w:ascii="宋体" w:hAnsi="宋体" w:eastAsia="宋体" w:cs="宋体"/>
                <w:sz w:val="24"/>
                <w:szCs w:val="24"/>
              </w:rPr>
              <w:t>1</w:t>
            </w:r>
          </w:p>
        </w:tc>
        <w:tc>
          <w:tcPr>
            <w:tcW w:w="3843" w:type="dxa"/>
          </w:tcPr>
          <w:p w14:paraId="0C91D281">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c>
          <w:tcPr>
            <w:tcW w:w="2861" w:type="dxa"/>
          </w:tcPr>
          <w:p w14:paraId="5423A5EE">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c>
          <w:tcPr>
            <w:tcW w:w="993" w:type="dxa"/>
          </w:tcPr>
          <w:p w14:paraId="212BBC75">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r>
      <w:tr w14:paraId="2DD5EE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tcPr>
          <w:p w14:paraId="170A33FD">
            <w:pPr>
              <w:keepNext w:val="0"/>
              <w:keepLines w:val="0"/>
              <w:suppressLineNumbers w:val="0"/>
              <w:spacing w:before="0" w:beforeAutospacing="0" w:after="0" w:afterAutospacing="0" w:line="300" w:lineRule="exact"/>
              <w:ind w:left="0" w:right="0"/>
              <w:jc w:val="center"/>
              <w:rPr>
                <w:rFonts w:hint="default" w:ascii="宋体" w:hAnsi="宋体" w:eastAsia="宋体" w:cs="宋体"/>
                <w:sz w:val="24"/>
                <w:szCs w:val="24"/>
              </w:rPr>
            </w:pPr>
            <w:r>
              <w:rPr>
                <w:rFonts w:hint="eastAsia" w:ascii="宋体" w:hAnsi="宋体" w:eastAsia="宋体" w:cs="宋体"/>
                <w:sz w:val="24"/>
                <w:szCs w:val="24"/>
              </w:rPr>
              <w:t>2</w:t>
            </w:r>
          </w:p>
        </w:tc>
        <w:tc>
          <w:tcPr>
            <w:tcW w:w="3843" w:type="dxa"/>
          </w:tcPr>
          <w:p w14:paraId="44401337">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c>
          <w:tcPr>
            <w:tcW w:w="2861" w:type="dxa"/>
          </w:tcPr>
          <w:p w14:paraId="6DC7A52A">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c>
          <w:tcPr>
            <w:tcW w:w="993" w:type="dxa"/>
          </w:tcPr>
          <w:p w14:paraId="59D54577">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r>
      <w:tr w14:paraId="0EC1FB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tcPr>
          <w:p w14:paraId="12CEAD76">
            <w:pPr>
              <w:keepNext w:val="0"/>
              <w:keepLines w:val="0"/>
              <w:suppressLineNumbers w:val="0"/>
              <w:spacing w:before="0" w:beforeAutospacing="0" w:after="0" w:afterAutospacing="0" w:line="300" w:lineRule="exact"/>
              <w:ind w:left="0" w:right="0"/>
              <w:jc w:val="center"/>
              <w:rPr>
                <w:rFonts w:hint="default" w:ascii="宋体" w:hAnsi="宋体" w:eastAsia="宋体" w:cs="宋体"/>
                <w:sz w:val="24"/>
                <w:szCs w:val="24"/>
              </w:rPr>
            </w:pPr>
            <w:r>
              <w:rPr>
                <w:rFonts w:hint="eastAsia" w:ascii="宋体" w:hAnsi="宋体" w:eastAsia="宋体" w:cs="宋体"/>
                <w:sz w:val="24"/>
                <w:szCs w:val="24"/>
              </w:rPr>
              <w:t>3</w:t>
            </w:r>
          </w:p>
        </w:tc>
        <w:tc>
          <w:tcPr>
            <w:tcW w:w="3843" w:type="dxa"/>
          </w:tcPr>
          <w:p w14:paraId="03FD44DD">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c>
          <w:tcPr>
            <w:tcW w:w="2861" w:type="dxa"/>
          </w:tcPr>
          <w:p w14:paraId="364FFF7F">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c>
          <w:tcPr>
            <w:tcW w:w="993" w:type="dxa"/>
          </w:tcPr>
          <w:p w14:paraId="111394A7">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r>
      <w:tr w14:paraId="176562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tcPr>
          <w:p w14:paraId="4376B1EE">
            <w:pPr>
              <w:keepNext w:val="0"/>
              <w:keepLines w:val="0"/>
              <w:suppressLineNumbers w:val="0"/>
              <w:spacing w:before="0" w:beforeAutospacing="0" w:after="0" w:afterAutospacing="0" w:line="300" w:lineRule="exact"/>
              <w:ind w:left="0" w:right="0"/>
              <w:jc w:val="center"/>
              <w:rPr>
                <w:rFonts w:hint="default" w:ascii="宋体" w:hAnsi="宋体" w:eastAsia="宋体" w:cs="宋体"/>
                <w:sz w:val="24"/>
                <w:szCs w:val="24"/>
              </w:rPr>
            </w:pPr>
            <w:r>
              <w:rPr>
                <w:rFonts w:hint="eastAsia" w:ascii="宋体" w:hAnsi="宋体" w:eastAsia="宋体" w:cs="宋体"/>
                <w:sz w:val="24"/>
                <w:szCs w:val="24"/>
              </w:rPr>
              <w:t>4</w:t>
            </w:r>
          </w:p>
        </w:tc>
        <w:tc>
          <w:tcPr>
            <w:tcW w:w="3843" w:type="dxa"/>
          </w:tcPr>
          <w:p w14:paraId="09F77411">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c>
          <w:tcPr>
            <w:tcW w:w="2861" w:type="dxa"/>
          </w:tcPr>
          <w:p w14:paraId="35F0AB62">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c>
          <w:tcPr>
            <w:tcW w:w="993" w:type="dxa"/>
          </w:tcPr>
          <w:p w14:paraId="1385AD6B">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r>
      <w:tr w14:paraId="0C8EFF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tcPr>
          <w:p w14:paraId="6EE32826">
            <w:pPr>
              <w:keepNext w:val="0"/>
              <w:keepLines w:val="0"/>
              <w:suppressLineNumbers w:val="0"/>
              <w:spacing w:before="0" w:beforeAutospacing="0" w:after="0" w:afterAutospacing="0" w:line="300" w:lineRule="exact"/>
              <w:ind w:left="0" w:right="0"/>
              <w:jc w:val="center"/>
              <w:rPr>
                <w:rFonts w:hint="default" w:ascii="宋体" w:hAnsi="宋体" w:eastAsia="宋体" w:cs="宋体"/>
                <w:sz w:val="24"/>
                <w:szCs w:val="24"/>
              </w:rPr>
            </w:pPr>
            <w:r>
              <w:rPr>
                <w:rFonts w:hint="eastAsia" w:ascii="宋体" w:hAnsi="宋体" w:eastAsia="宋体" w:cs="宋体"/>
                <w:sz w:val="24"/>
                <w:szCs w:val="24"/>
              </w:rPr>
              <w:t>5</w:t>
            </w:r>
          </w:p>
        </w:tc>
        <w:tc>
          <w:tcPr>
            <w:tcW w:w="3843" w:type="dxa"/>
          </w:tcPr>
          <w:p w14:paraId="2FFE81C7">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c>
          <w:tcPr>
            <w:tcW w:w="2861" w:type="dxa"/>
          </w:tcPr>
          <w:p w14:paraId="5EEE6522">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c>
          <w:tcPr>
            <w:tcW w:w="993" w:type="dxa"/>
          </w:tcPr>
          <w:p w14:paraId="041FE3E1">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r>
      <w:tr w14:paraId="48102A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tcPr>
          <w:p w14:paraId="1FF96A26">
            <w:pPr>
              <w:keepNext w:val="0"/>
              <w:keepLines w:val="0"/>
              <w:suppressLineNumbers w:val="0"/>
              <w:spacing w:before="0" w:beforeAutospacing="0" w:after="0" w:afterAutospacing="0" w:line="300" w:lineRule="exact"/>
              <w:ind w:left="0" w:right="0"/>
              <w:jc w:val="center"/>
              <w:rPr>
                <w:rFonts w:hint="default" w:ascii="宋体" w:hAnsi="宋体" w:eastAsia="宋体" w:cs="宋体"/>
                <w:sz w:val="24"/>
                <w:szCs w:val="24"/>
              </w:rPr>
            </w:pPr>
            <w:r>
              <w:rPr>
                <w:rFonts w:hint="eastAsia" w:ascii="宋体" w:hAnsi="宋体" w:eastAsia="宋体" w:cs="宋体"/>
                <w:sz w:val="24"/>
                <w:szCs w:val="24"/>
              </w:rPr>
              <w:t>6</w:t>
            </w:r>
          </w:p>
        </w:tc>
        <w:tc>
          <w:tcPr>
            <w:tcW w:w="3843" w:type="dxa"/>
          </w:tcPr>
          <w:p w14:paraId="0D92DC2F">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c>
          <w:tcPr>
            <w:tcW w:w="2861" w:type="dxa"/>
          </w:tcPr>
          <w:p w14:paraId="6F2EB1FF">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c>
          <w:tcPr>
            <w:tcW w:w="993" w:type="dxa"/>
          </w:tcPr>
          <w:p w14:paraId="5FF15DB3">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r>
      <w:tr w14:paraId="15C791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tcPr>
          <w:p w14:paraId="28CBCCAB">
            <w:pPr>
              <w:keepNext w:val="0"/>
              <w:keepLines w:val="0"/>
              <w:suppressLineNumbers w:val="0"/>
              <w:spacing w:before="0" w:beforeAutospacing="0" w:after="0" w:afterAutospacing="0" w:line="300" w:lineRule="exact"/>
              <w:ind w:left="0" w:right="0"/>
              <w:jc w:val="center"/>
              <w:rPr>
                <w:rFonts w:hint="default" w:ascii="宋体" w:hAnsi="宋体" w:eastAsia="宋体" w:cs="宋体"/>
                <w:sz w:val="24"/>
                <w:szCs w:val="24"/>
              </w:rPr>
            </w:pPr>
            <w:r>
              <w:rPr>
                <w:rFonts w:hint="eastAsia" w:ascii="宋体" w:hAnsi="宋体" w:eastAsia="宋体" w:cs="宋体"/>
                <w:sz w:val="24"/>
                <w:szCs w:val="24"/>
              </w:rPr>
              <w:t>7</w:t>
            </w:r>
          </w:p>
        </w:tc>
        <w:tc>
          <w:tcPr>
            <w:tcW w:w="3843" w:type="dxa"/>
          </w:tcPr>
          <w:p w14:paraId="74BC04A4">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c>
          <w:tcPr>
            <w:tcW w:w="2861" w:type="dxa"/>
          </w:tcPr>
          <w:p w14:paraId="68B11727">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c>
          <w:tcPr>
            <w:tcW w:w="993" w:type="dxa"/>
          </w:tcPr>
          <w:p w14:paraId="652EB370">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r>
      <w:tr w14:paraId="37DE92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tcPr>
          <w:p w14:paraId="2A4F9931">
            <w:pPr>
              <w:keepNext w:val="0"/>
              <w:keepLines w:val="0"/>
              <w:suppressLineNumbers w:val="0"/>
              <w:spacing w:before="0" w:beforeAutospacing="0" w:after="0" w:afterAutospacing="0" w:line="300" w:lineRule="exact"/>
              <w:ind w:left="0" w:right="0"/>
              <w:jc w:val="center"/>
              <w:rPr>
                <w:rFonts w:hint="default" w:ascii="宋体" w:hAnsi="宋体" w:eastAsia="宋体" w:cs="宋体"/>
                <w:sz w:val="24"/>
                <w:szCs w:val="24"/>
              </w:rPr>
            </w:pPr>
            <w:r>
              <w:rPr>
                <w:rFonts w:hint="eastAsia" w:ascii="宋体" w:hAnsi="宋体" w:eastAsia="宋体" w:cs="宋体"/>
                <w:sz w:val="24"/>
                <w:szCs w:val="24"/>
              </w:rPr>
              <w:t>8</w:t>
            </w:r>
          </w:p>
        </w:tc>
        <w:tc>
          <w:tcPr>
            <w:tcW w:w="3843" w:type="dxa"/>
          </w:tcPr>
          <w:p w14:paraId="6F424332">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c>
          <w:tcPr>
            <w:tcW w:w="2861" w:type="dxa"/>
          </w:tcPr>
          <w:p w14:paraId="4CE92C8E">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c>
          <w:tcPr>
            <w:tcW w:w="993" w:type="dxa"/>
          </w:tcPr>
          <w:p w14:paraId="16B529B0">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r>
      <w:tr w14:paraId="3640A8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tcPr>
          <w:p w14:paraId="40D49131">
            <w:pPr>
              <w:keepNext w:val="0"/>
              <w:keepLines w:val="0"/>
              <w:suppressLineNumbers w:val="0"/>
              <w:spacing w:before="0" w:beforeAutospacing="0" w:after="0" w:afterAutospacing="0" w:line="300" w:lineRule="exact"/>
              <w:ind w:left="0" w:right="0"/>
              <w:jc w:val="center"/>
              <w:rPr>
                <w:rFonts w:hint="default" w:ascii="宋体" w:hAnsi="宋体" w:eastAsia="宋体" w:cs="宋体"/>
                <w:sz w:val="24"/>
                <w:szCs w:val="24"/>
              </w:rPr>
            </w:pPr>
            <w:r>
              <w:rPr>
                <w:rFonts w:hint="eastAsia" w:ascii="宋体" w:hAnsi="宋体" w:eastAsia="宋体" w:cs="宋体"/>
                <w:sz w:val="24"/>
                <w:szCs w:val="24"/>
              </w:rPr>
              <w:t>……</w:t>
            </w:r>
          </w:p>
        </w:tc>
        <w:tc>
          <w:tcPr>
            <w:tcW w:w="3843" w:type="dxa"/>
          </w:tcPr>
          <w:p w14:paraId="6580EF9D">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c>
          <w:tcPr>
            <w:tcW w:w="2861" w:type="dxa"/>
          </w:tcPr>
          <w:p w14:paraId="1AD5FA2E">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c>
          <w:tcPr>
            <w:tcW w:w="993" w:type="dxa"/>
          </w:tcPr>
          <w:p w14:paraId="7630BE5E">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r>
    </w:tbl>
    <w:p w14:paraId="6322327E">
      <w:pPr>
        <w:spacing w:line="400" w:lineRule="exact"/>
        <w:jc w:val="left"/>
        <w:rPr>
          <w:rFonts w:ascii="宋体" w:hAnsi="宋体" w:eastAsia="宋体" w:cs="宋体"/>
          <w:sz w:val="21"/>
          <w:szCs w:val="21"/>
        </w:rPr>
      </w:pPr>
      <w:r>
        <w:rPr>
          <w:rFonts w:hint="eastAsia" w:ascii="宋体" w:hAnsi="宋体" w:eastAsia="宋体" w:cs="宋体"/>
          <w:sz w:val="21"/>
          <w:szCs w:val="21"/>
        </w:rPr>
        <w:t>备注：1.项目资金末端分配点位包括市本级、县（区）、市级部门下属单位及一次性单位等。</w:t>
      </w:r>
    </w:p>
    <w:p w14:paraId="0AD394A6">
      <w:pPr>
        <w:spacing w:line="400" w:lineRule="exact"/>
        <w:ind w:firstLine="630" w:firstLineChars="300"/>
        <w:jc w:val="left"/>
        <w:rPr>
          <w:rFonts w:ascii="宋体" w:hAnsi="宋体" w:eastAsia="宋体" w:cs="宋体"/>
          <w:sz w:val="21"/>
          <w:szCs w:val="21"/>
        </w:rPr>
      </w:pPr>
      <w:r>
        <w:rPr>
          <w:rFonts w:hint="eastAsia" w:ascii="宋体" w:hAnsi="宋体" w:eastAsia="宋体" w:cs="宋体"/>
          <w:sz w:val="21"/>
          <w:szCs w:val="21"/>
        </w:rPr>
        <w:t>2.自评得分（百分制）从高到低划分为优、良、中、差四个档次，各个档次数量占比分别为20%、20%、55%、5%，且不同档次间得分分值应体现差异化，同档次得分分值相同的比例不超过该档次总数量的10%。</w:t>
      </w:r>
    </w:p>
    <w:p w14:paraId="24D3469E">
      <w:pPr>
        <w:rPr>
          <w:rFonts w:ascii="Times New Roman" w:hAnsi="Times New Roman" w:eastAsia="仿宋_GB2312" w:cs="Times New Roman"/>
          <w:sz w:val="32"/>
          <w:szCs w:val="24"/>
        </w:rPr>
      </w:pPr>
      <w:r>
        <w:rPr>
          <w:rFonts w:hint="eastAsia" w:ascii="Times New Roman" w:hAnsi="Times New Roman" w:eastAsia="仿宋_GB2312" w:cs="Times New Roman"/>
          <w:sz w:val="32"/>
          <w:szCs w:val="24"/>
        </w:rPr>
        <w:br w:type="page"/>
      </w:r>
    </w:p>
    <w:p w14:paraId="5463C144">
      <w:pPr>
        <w:widowControl w:val="0"/>
        <w:spacing w:after="0" w:line="578" w:lineRule="exact"/>
        <w:ind w:left="0" w:leftChars="0" w:firstLine="0" w:firstLineChars="0"/>
        <w:jc w:val="both"/>
        <w:rPr>
          <w:rFonts w:ascii="Times New Roman" w:hAnsi="Times New Roman" w:eastAsia="黑体" w:cs="Times New Roman"/>
          <w:kern w:val="2"/>
          <w:sz w:val="32"/>
          <w:szCs w:val="24"/>
          <w:lang w:val="en-US" w:eastAsia="zh-CN" w:bidi="ar-SA"/>
        </w:rPr>
      </w:pPr>
      <w:r>
        <w:rPr>
          <w:rFonts w:ascii="Times New Roman" w:hAnsi="Times New Roman" w:eastAsia="黑体" w:cs="Times New Roman"/>
          <w:kern w:val="2"/>
          <w:sz w:val="32"/>
          <w:szCs w:val="24"/>
          <w:lang w:val="en-US" w:eastAsia="zh-CN" w:bidi="ar-SA"/>
        </w:rPr>
        <w:t>附表2</w:t>
      </w:r>
    </w:p>
    <w:tbl>
      <w:tblPr>
        <w:tblStyle w:val="20"/>
        <w:tblW w:w="10233" w:type="dxa"/>
        <w:jc w:val="center"/>
        <w:tblLayout w:type="fixed"/>
        <w:tblCellMar>
          <w:top w:w="15" w:type="dxa"/>
          <w:left w:w="15" w:type="dxa"/>
          <w:bottom w:w="15" w:type="dxa"/>
          <w:right w:w="15" w:type="dxa"/>
        </w:tblCellMar>
      </w:tblPr>
      <w:tblGrid>
        <w:gridCol w:w="652"/>
        <w:gridCol w:w="1081"/>
        <w:gridCol w:w="1250"/>
        <w:gridCol w:w="1312"/>
        <w:gridCol w:w="1080"/>
        <w:gridCol w:w="2370"/>
        <w:gridCol w:w="705"/>
        <w:gridCol w:w="780"/>
        <w:gridCol w:w="1003"/>
      </w:tblGrid>
      <w:tr w14:paraId="1234B069">
        <w:tblPrEx>
          <w:tblCellMar>
            <w:top w:w="15" w:type="dxa"/>
            <w:left w:w="15" w:type="dxa"/>
            <w:bottom w:w="15" w:type="dxa"/>
            <w:right w:w="15" w:type="dxa"/>
          </w:tblCellMar>
        </w:tblPrEx>
        <w:trPr>
          <w:trHeight w:val="576" w:hRule="atLeast"/>
          <w:jc w:val="center"/>
        </w:trPr>
        <w:tc>
          <w:tcPr>
            <w:tcW w:w="10233" w:type="dxa"/>
            <w:gridSpan w:val="9"/>
            <w:shd w:val="clear" w:color="auto" w:fill="auto"/>
            <w:vAlign w:val="center"/>
          </w:tcPr>
          <w:p w14:paraId="15698EC3">
            <w:pPr>
              <w:keepNext w:val="0"/>
              <w:keepLines w:val="0"/>
              <w:widowControl/>
              <w:suppressLineNumbers w:val="0"/>
              <w:spacing w:before="0" w:beforeAutospacing="0" w:after="0" w:afterAutospacing="0" w:line="600" w:lineRule="exact"/>
              <w:ind w:left="0" w:right="0"/>
              <w:jc w:val="center"/>
              <w:textAlignment w:val="center"/>
              <w:rPr>
                <w:rFonts w:hint="default" w:ascii="黑体" w:hAnsi="宋体" w:eastAsia="黑体" w:cs="黑体"/>
                <w:color w:val="000000"/>
                <w:sz w:val="30"/>
                <w:szCs w:val="30"/>
              </w:rPr>
            </w:pPr>
            <w:r>
              <w:rPr>
                <w:rFonts w:hint="eastAsia" w:ascii="方正小标宋简体" w:hAnsi="方正小标宋简体" w:eastAsia="方正小标宋简体" w:cs="方正小标宋简体"/>
                <w:color w:val="000000"/>
                <w:kern w:val="0"/>
                <w:sz w:val="40"/>
                <w:szCs w:val="40"/>
              </w:rPr>
              <w:t>专项预算项目绩效目标完成情况自评表</w:t>
            </w:r>
          </w:p>
        </w:tc>
      </w:tr>
      <w:tr w14:paraId="2FAD74C9">
        <w:tblPrEx>
          <w:tblCellMar>
            <w:top w:w="15" w:type="dxa"/>
            <w:left w:w="15" w:type="dxa"/>
            <w:bottom w:w="15" w:type="dxa"/>
            <w:right w:w="15" w:type="dxa"/>
          </w:tblCellMar>
        </w:tblPrEx>
        <w:trPr>
          <w:trHeight w:val="23" w:hRule="atLeast"/>
          <w:jc w:val="center"/>
        </w:trPr>
        <w:tc>
          <w:tcPr>
            <w:tcW w:w="4295"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6B4B0E0F">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项目名称</w:t>
            </w:r>
          </w:p>
        </w:tc>
        <w:tc>
          <w:tcPr>
            <w:tcW w:w="593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57051B1E">
            <w:pPr>
              <w:keepNext w:val="0"/>
              <w:keepLines w:val="0"/>
              <w:suppressLineNumbers w:val="0"/>
              <w:spacing w:before="0" w:beforeAutospacing="0" w:after="0" w:afterAutospacing="0" w:line="300" w:lineRule="exact"/>
              <w:ind w:left="0" w:right="0"/>
              <w:rPr>
                <w:rFonts w:hint="default" w:ascii="宋体" w:hAnsi="宋体" w:eastAsia="宋体" w:cs="宋体"/>
                <w:color w:val="000000"/>
                <w:sz w:val="24"/>
                <w:szCs w:val="24"/>
              </w:rPr>
            </w:pPr>
            <w:r>
              <w:rPr>
                <w:rFonts w:hint="eastAsia" w:ascii="宋体" w:hAnsi="宋体" w:eastAsia="宋体" w:cs="宋体"/>
                <w:color w:val="000000"/>
                <w:sz w:val="24"/>
                <w:szCs w:val="24"/>
              </w:rPr>
              <w:t>广元市推进“数字政府”建设专题培训会</w:t>
            </w:r>
          </w:p>
        </w:tc>
      </w:tr>
      <w:tr w14:paraId="5DF90A8F">
        <w:tblPrEx>
          <w:tblCellMar>
            <w:top w:w="15" w:type="dxa"/>
            <w:left w:w="15" w:type="dxa"/>
            <w:bottom w:w="15" w:type="dxa"/>
            <w:right w:w="15" w:type="dxa"/>
          </w:tblCellMar>
        </w:tblPrEx>
        <w:trPr>
          <w:trHeight w:val="23" w:hRule="atLeast"/>
          <w:jc w:val="center"/>
        </w:trPr>
        <w:tc>
          <w:tcPr>
            <w:tcW w:w="4295"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0E8CC089">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预算单位</w:t>
            </w:r>
          </w:p>
        </w:tc>
        <w:tc>
          <w:tcPr>
            <w:tcW w:w="593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77F14420">
            <w:pPr>
              <w:keepNext w:val="0"/>
              <w:keepLines w:val="0"/>
              <w:suppressLineNumbers w:val="0"/>
              <w:spacing w:before="0" w:beforeAutospacing="0" w:after="0" w:afterAutospacing="0" w:line="300" w:lineRule="exact"/>
              <w:ind w:left="0" w:right="0"/>
              <w:rPr>
                <w:rFonts w:hint="default" w:ascii="宋体" w:hAnsi="宋体" w:eastAsia="宋体" w:cs="宋体"/>
                <w:color w:val="000000"/>
                <w:sz w:val="24"/>
                <w:szCs w:val="24"/>
              </w:rPr>
            </w:pPr>
            <w:r>
              <w:rPr>
                <w:rFonts w:hint="eastAsia" w:ascii="宋体" w:hAnsi="宋体" w:eastAsia="宋体" w:cs="宋体"/>
                <w:color w:val="000000"/>
                <w:sz w:val="24"/>
                <w:szCs w:val="24"/>
              </w:rPr>
              <w:t>广元市发展和改革委员会</w:t>
            </w:r>
          </w:p>
        </w:tc>
      </w:tr>
      <w:tr w14:paraId="7B63EDC6">
        <w:tblPrEx>
          <w:tblCellMar>
            <w:top w:w="15" w:type="dxa"/>
            <w:left w:w="15" w:type="dxa"/>
            <w:bottom w:w="15" w:type="dxa"/>
            <w:right w:w="15" w:type="dxa"/>
          </w:tblCellMar>
        </w:tblPrEx>
        <w:trPr>
          <w:trHeight w:val="23" w:hRule="atLeast"/>
          <w:jc w:val="center"/>
        </w:trPr>
        <w:tc>
          <w:tcPr>
            <w:tcW w:w="4295"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498AC593">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项目类型</w:t>
            </w:r>
          </w:p>
        </w:tc>
        <w:tc>
          <w:tcPr>
            <w:tcW w:w="593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1644B2A0">
            <w:pPr>
              <w:keepNext w:val="0"/>
              <w:keepLines w:val="0"/>
              <w:suppressLineNumbers w:val="0"/>
              <w:spacing w:before="0" w:beforeAutospacing="0" w:after="0" w:afterAutospacing="0" w:line="300" w:lineRule="exact"/>
              <w:ind w:left="0" w:right="0"/>
              <w:jc w:val="left"/>
              <w:rPr>
                <w:rFonts w:hint="default" w:ascii="宋体" w:hAnsi="宋体" w:eastAsia="宋体" w:cs="宋体"/>
                <w:color w:val="000000"/>
                <w:sz w:val="24"/>
                <w:szCs w:val="24"/>
              </w:rPr>
            </w:pPr>
            <w:r>
              <w:rPr>
                <w:rFonts w:hint="eastAsia" w:ascii="宋体" w:hAnsi="宋体" w:eastAsia="宋体" w:cs="宋体"/>
                <w:color w:val="000000"/>
                <w:sz w:val="24"/>
                <w:szCs w:val="24"/>
              </w:rPr>
              <w:t>培训</w:t>
            </w:r>
          </w:p>
        </w:tc>
      </w:tr>
      <w:tr w14:paraId="7C0A6A18">
        <w:tblPrEx>
          <w:tblCellMar>
            <w:top w:w="15" w:type="dxa"/>
            <w:left w:w="15" w:type="dxa"/>
            <w:bottom w:w="15" w:type="dxa"/>
            <w:right w:w="15" w:type="dxa"/>
          </w:tblCellMar>
        </w:tblPrEx>
        <w:trPr>
          <w:trHeight w:val="23" w:hRule="atLeast"/>
          <w:jc w:val="center"/>
        </w:trPr>
        <w:tc>
          <w:tcPr>
            <w:tcW w:w="65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7BABE3D">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项目 概况</w:t>
            </w:r>
          </w:p>
        </w:tc>
        <w:tc>
          <w:tcPr>
            <w:tcW w:w="364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9E09BC5">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宋体"/>
                <w:color w:val="000000"/>
                <w:kern w:val="0"/>
                <w:sz w:val="24"/>
                <w:szCs w:val="24"/>
              </w:rPr>
            </w:pPr>
            <w:r>
              <w:rPr>
                <w:rFonts w:hint="default" w:ascii="宋体" w:hAnsi="宋体" w:eastAsia="宋体" w:cs="宋体"/>
                <w:color w:val="000000"/>
                <w:kern w:val="0"/>
                <w:sz w:val="24"/>
                <w:szCs w:val="24"/>
              </w:rPr>
              <w:t>中长期规划（名称、文号，仅指</w:t>
            </w:r>
          </w:p>
          <w:p w14:paraId="21C9AE33">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常年项目）</w:t>
            </w:r>
          </w:p>
        </w:tc>
        <w:tc>
          <w:tcPr>
            <w:tcW w:w="593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712D4459">
            <w:pPr>
              <w:keepNext w:val="0"/>
              <w:keepLines w:val="0"/>
              <w:suppressLineNumbers w:val="0"/>
              <w:spacing w:before="0" w:beforeAutospacing="0" w:after="0" w:afterAutospacing="0" w:line="300" w:lineRule="exact"/>
              <w:ind w:left="0" w:right="0"/>
              <w:jc w:val="left"/>
              <w:rPr>
                <w:rFonts w:hint="default" w:ascii="宋体" w:hAnsi="宋体" w:eastAsia="宋体" w:cs="宋体"/>
                <w:color w:val="000000"/>
                <w:sz w:val="24"/>
                <w:szCs w:val="24"/>
              </w:rPr>
            </w:pPr>
          </w:p>
        </w:tc>
      </w:tr>
      <w:tr w14:paraId="788ED51D">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8A0FFCA">
            <w:pPr>
              <w:keepNext w:val="0"/>
              <w:keepLines w:val="0"/>
              <w:suppressLineNumbers w:val="0"/>
              <w:spacing w:before="0" w:beforeAutospacing="0" w:after="0" w:afterAutospacing="0" w:line="300" w:lineRule="exact"/>
              <w:ind w:left="0" w:right="0"/>
              <w:rPr>
                <w:rFonts w:hint="default" w:ascii="宋体" w:hAnsi="宋体" w:eastAsia="宋体" w:cs="宋体"/>
                <w:color w:val="000000"/>
                <w:sz w:val="24"/>
                <w:szCs w:val="24"/>
              </w:rPr>
            </w:pPr>
          </w:p>
        </w:tc>
        <w:tc>
          <w:tcPr>
            <w:tcW w:w="364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C447FE9">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资金管理办法（名称、文号）</w:t>
            </w:r>
          </w:p>
        </w:tc>
        <w:tc>
          <w:tcPr>
            <w:tcW w:w="593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D771D35">
            <w:pPr>
              <w:keepNext w:val="0"/>
              <w:keepLines w:val="0"/>
              <w:suppressLineNumbers w:val="0"/>
              <w:spacing w:before="0" w:beforeAutospacing="0" w:after="0" w:afterAutospacing="0" w:line="300" w:lineRule="exact"/>
              <w:ind w:left="0" w:right="0"/>
              <w:jc w:val="left"/>
              <w:rPr>
                <w:rFonts w:hint="default" w:ascii="宋体" w:hAnsi="宋体" w:eastAsia="宋体" w:cs="宋体"/>
                <w:color w:val="000000"/>
                <w:sz w:val="24"/>
                <w:szCs w:val="24"/>
              </w:rPr>
            </w:pPr>
          </w:p>
        </w:tc>
      </w:tr>
      <w:tr w14:paraId="2B486F6F">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C00585">
            <w:pPr>
              <w:keepNext w:val="0"/>
              <w:keepLines w:val="0"/>
              <w:suppressLineNumbers w:val="0"/>
              <w:spacing w:before="0" w:beforeAutospacing="0" w:after="0" w:afterAutospacing="0" w:line="300" w:lineRule="exact"/>
              <w:ind w:left="0" w:right="0"/>
              <w:rPr>
                <w:rFonts w:hint="default" w:ascii="宋体" w:hAnsi="宋体" w:eastAsia="宋体" w:cs="宋体"/>
                <w:color w:val="000000"/>
                <w:sz w:val="24"/>
                <w:szCs w:val="24"/>
              </w:rPr>
            </w:pPr>
          </w:p>
        </w:tc>
        <w:tc>
          <w:tcPr>
            <w:tcW w:w="364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78AC279">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绩效分配方式</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ADF6C9">
            <w:pPr>
              <w:keepNext w:val="0"/>
              <w:keepLines w:val="0"/>
              <w:widowControl/>
              <w:suppressLineNumbers w:val="0"/>
              <w:spacing w:before="0" w:beforeAutospacing="0" w:after="0" w:afterAutospacing="0" w:line="300" w:lineRule="exact"/>
              <w:ind w:left="0" w:right="0"/>
              <w:jc w:val="left"/>
              <w:textAlignment w:val="center"/>
              <w:rPr>
                <w:rFonts w:hint="default" w:ascii="Wingdings 2" w:hAnsi="Wingdings 2" w:eastAsia="Wingdings 2" w:cs="Wingdings 2"/>
                <w:color w:val="000000"/>
                <w:sz w:val="24"/>
                <w:szCs w:val="24"/>
              </w:rPr>
            </w:pPr>
            <w:r>
              <w:rPr>
                <w:rFonts w:hint="default" w:ascii="Wingdings 2" w:hAnsi="Wingdings 2" w:eastAsia="Wingdings 2" w:cs="Wingdings 2"/>
                <w:color w:val="000000"/>
                <w:kern w:val="0"/>
                <w:sz w:val="24"/>
                <w:szCs w:val="24"/>
              </w:rPr>
              <w:sym w:font="Wingdings 2" w:char="00A3"/>
            </w:r>
            <w:r>
              <w:rPr>
                <w:rFonts w:hint="default" w:ascii="宋体" w:hAnsi="宋体" w:eastAsia="宋体" w:cs="宋体"/>
                <w:color w:val="000000"/>
                <w:kern w:val="0"/>
                <w:sz w:val="24"/>
                <w:szCs w:val="24"/>
              </w:rPr>
              <w:t>因素法</w:t>
            </w:r>
          </w:p>
        </w:tc>
        <w:tc>
          <w:tcPr>
            <w:tcW w:w="307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D99C9B9">
            <w:pPr>
              <w:keepNext w:val="0"/>
              <w:keepLines w:val="0"/>
              <w:widowControl/>
              <w:suppressLineNumbers w:val="0"/>
              <w:spacing w:before="0" w:beforeAutospacing="0" w:after="0" w:afterAutospacing="0" w:line="300" w:lineRule="exact"/>
              <w:ind w:left="0" w:right="0"/>
              <w:jc w:val="center"/>
              <w:textAlignment w:val="center"/>
              <w:rPr>
                <w:rFonts w:hint="default" w:ascii="Wingdings 2" w:hAnsi="Wingdings 2" w:eastAsia="Wingdings 2" w:cs="Wingdings 2"/>
                <w:color w:val="000000"/>
                <w:sz w:val="24"/>
                <w:szCs w:val="24"/>
              </w:rPr>
            </w:pPr>
            <w:r>
              <w:rPr>
                <w:rFonts w:hint="default" w:ascii="Wingdings 2" w:hAnsi="Wingdings 2" w:eastAsia="Wingdings 2" w:cs="Wingdings 2"/>
                <w:color w:val="000000"/>
                <w:kern w:val="0"/>
                <w:sz w:val="24"/>
                <w:szCs w:val="24"/>
              </w:rPr>
              <w:t>项目法</w:t>
            </w:r>
          </w:p>
        </w:tc>
        <w:tc>
          <w:tcPr>
            <w:tcW w:w="7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D95697">
            <w:pPr>
              <w:keepNext w:val="0"/>
              <w:keepLines w:val="0"/>
              <w:widowControl/>
              <w:suppressLineNumbers w:val="0"/>
              <w:spacing w:before="0" w:beforeAutospacing="0" w:after="0" w:afterAutospacing="0" w:line="300" w:lineRule="exact"/>
              <w:ind w:left="0" w:right="0"/>
              <w:jc w:val="center"/>
              <w:textAlignment w:val="center"/>
              <w:rPr>
                <w:rFonts w:hint="default" w:ascii="Wingdings 2" w:hAnsi="Wingdings 2" w:eastAsia="Wingdings 2" w:cs="Wingdings 2"/>
                <w:color w:val="000000"/>
                <w:sz w:val="24"/>
                <w:szCs w:val="24"/>
              </w:rPr>
            </w:pPr>
            <w:r>
              <w:rPr>
                <w:rFonts w:hint="default" w:ascii="Wingdings 2" w:hAnsi="Wingdings 2" w:eastAsia="Wingdings 2" w:cs="Wingdings 2"/>
                <w:color w:val="000000"/>
                <w:kern w:val="0"/>
                <w:sz w:val="24"/>
                <w:szCs w:val="24"/>
              </w:rPr>
              <w:t></w:t>
            </w:r>
            <w:r>
              <w:rPr>
                <w:rFonts w:hint="default" w:ascii="宋体" w:hAnsi="宋体" w:eastAsia="宋体" w:cs="宋体"/>
                <w:color w:val="000000"/>
                <w:kern w:val="0"/>
                <w:sz w:val="24"/>
                <w:szCs w:val="24"/>
              </w:rPr>
              <w:t>据实据效</w:t>
            </w:r>
          </w:p>
        </w:tc>
        <w:tc>
          <w:tcPr>
            <w:tcW w:w="10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5771DD">
            <w:pPr>
              <w:keepNext w:val="0"/>
              <w:keepLines w:val="0"/>
              <w:widowControl/>
              <w:suppressLineNumbers w:val="0"/>
              <w:spacing w:before="0" w:beforeAutospacing="0" w:after="0" w:afterAutospacing="0" w:line="300" w:lineRule="exact"/>
              <w:ind w:left="0" w:right="0"/>
              <w:jc w:val="center"/>
              <w:textAlignment w:val="center"/>
              <w:rPr>
                <w:rFonts w:hint="default" w:ascii="Wingdings 2" w:hAnsi="Wingdings 2" w:eastAsia="Wingdings 2" w:cs="Wingdings 2"/>
                <w:color w:val="000000"/>
                <w:sz w:val="24"/>
                <w:szCs w:val="24"/>
              </w:rPr>
            </w:pPr>
            <w:r>
              <w:rPr>
                <w:rFonts w:hint="default" w:ascii="Wingdings 2" w:hAnsi="Wingdings 2" w:eastAsia="Wingdings 2" w:cs="Wingdings 2"/>
                <w:color w:val="000000"/>
                <w:kern w:val="0"/>
                <w:sz w:val="24"/>
                <w:szCs w:val="24"/>
              </w:rPr>
              <w:sym w:font="Wingdings 2" w:char="0052"/>
            </w:r>
            <w:r>
              <w:rPr>
                <w:rFonts w:hint="default" w:ascii="宋体" w:hAnsi="宋体" w:eastAsia="宋体" w:cs="宋体"/>
                <w:color w:val="000000"/>
                <w:kern w:val="0"/>
                <w:sz w:val="24"/>
                <w:szCs w:val="24"/>
              </w:rPr>
              <w:t>因素法与项目法相结合</w:t>
            </w:r>
          </w:p>
        </w:tc>
      </w:tr>
      <w:tr w14:paraId="0738E7F2">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854CE5A">
            <w:pPr>
              <w:keepNext w:val="0"/>
              <w:keepLines w:val="0"/>
              <w:suppressLineNumbers w:val="0"/>
              <w:spacing w:before="0" w:beforeAutospacing="0" w:after="0" w:afterAutospacing="0" w:line="300" w:lineRule="exact"/>
              <w:ind w:left="0" w:right="0"/>
              <w:rPr>
                <w:rFonts w:hint="default" w:ascii="宋体" w:hAnsi="宋体" w:eastAsia="宋体" w:cs="宋体"/>
                <w:color w:val="000000"/>
                <w:sz w:val="24"/>
                <w:szCs w:val="24"/>
              </w:rPr>
            </w:pPr>
          </w:p>
        </w:tc>
        <w:tc>
          <w:tcPr>
            <w:tcW w:w="364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4674AE8">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立项依据</w:t>
            </w:r>
          </w:p>
        </w:tc>
        <w:tc>
          <w:tcPr>
            <w:tcW w:w="593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0DD98B51">
            <w:pPr>
              <w:keepNext w:val="0"/>
              <w:keepLines w:val="0"/>
              <w:suppressLineNumbers w:val="0"/>
              <w:spacing w:before="0" w:beforeAutospacing="0" w:after="0" w:afterAutospacing="0" w:line="300" w:lineRule="exact"/>
              <w:ind w:left="0" w:right="0"/>
              <w:jc w:val="left"/>
              <w:rPr>
                <w:rFonts w:hint="default" w:ascii="宋体" w:hAnsi="宋体" w:eastAsia="宋体" w:cs="宋体"/>
                <w:color w:val="000000"/>
                <w:sz w:val="24"/>
                <w:szCs w:val="24"/>
              </w:rPr>
            </w:pPr>
            <w:r>
              <w:rPr>
                <w:rFonts w:hint="eastAsia" w:ascii="宋体" w:hAnsi="宋体" w:eastAsia="宋体" w:cs="宋体"/>
                <w:color w:val="000000"/>
                <w:sz w:val="18"/>
                <w:szCs w:val="18"/>
              </w:rPr>
              <w:t>市委组织部《关于印发2023年市级重点专题培训项目计划的通知》（广组训〔2023〕10号）</w:t>
            </w:r>
          </w:p>
        </w:tc>
      </w:tr>
      <w:tr w14:paraId="752C03F3">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F1E89D4">
            <w:pPr>
              <w:keepNext w:val="0"/>
              <w:keepLines w:val="0"/>
              <w:suppressLineNumbers w:val="0"/>
              <w:spacing w:before="0" w:beforeAutospacing="0" w:after="0" w:afterAutospacing="0" w:line="300" w:lineRule="exact"/>
              <w:ind w:left="0" w:right="0"/>
              <w:rPr>
                <w:rFonts w:hint="default" w:ascii="宋体" w:hAnsi="宋体" w:eastAsia="宋体" w:cs="宋体"/>
                <w:color w:val="000000"/>
                <w:sz w:val="24"/>
                <w:szCs w:val="24"/>
              </w:rPr>
            </w:pPr>
          </w:p>
        </w:tc>
        <w:tc>
          <w:tcPr>
            <w:tcW w:w="364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3BFDF95">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使用范围</w:t>
            </w:r>
          </w:p>
        </w:tc>
        <w:tc>
          <w:tcPr>
            <w:tcW w:w="593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F1927E0">
            <w:pPr>
              <w:keepNext w:val="0"/>
              <w:keepLines w:val="0"/>
              <w:suppressLineNumbers w:val="0"/>
              <w:spacing w:before="0" w:beforeAutospacing="0" w:after="0" w:afterAutospacing="0" w:line="300" w:lineRule="exact"/>
              <w:ind w:left="0" w:right="0"/>
              <w:jc w:val="left"/>
              <w:rPr>
                <w:rFonts w:hint="default" w:ascii="宋体" w:hAnsi="宋体" w:eastAsia="宋体" w:cs="宋体"/>
                <w:color w:val="000000"/>
                <w:sz w:val="24"/>
                <w:szCs w:val="24"/>
              </w:rPr>
            </w:pPr>
          </w:p>
        </w:tc>
      </w:tr>
      <w:tr w14:paraId="02D09806">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010020">
            <w:pPr>
              <w:keepNext w:val="0"/>
              <w:keepLines w:val="0"/>
              <w:suppressLineNumbers w:val="0"/>
              <w:spacing w:before="0" w:beforeAutospacing="0" w:after="0" w:afterAutospacing="0" w:line="300" w:lineRule="exact"/>
              <w:ind w:left="0" w:right="0"/>
              <w:rPr>
                <w:rFonts w:hint="default" w:ascii="宋体" w:hAnsi="宋体" w:eastAsia="宋体" w:cs="宋体"/>
                <w:color w:val="000000"/>
                <w:sz w:val="24"/>
                <w:szCs w:val="24"/>
              </w:rPr>
            </w:pPr>
          </w:p>
        </w:tc>
        <w:tc>
          <w:tcPr>
            <w:tcW w:w="364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A0EB73B">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申报（补助）条件</w:t>
            </w:r>
          </w:p>
        </w:tc>
        <w:tc>
          <w:tcPr>
            <w:tcW w:w="593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797DDE0C">
            <w:pPr>
              <w:keepNext w:val="0"/>
              <w:keepLines w:val="0"/>
              <w:suppressLineNumbers w:val="0"/>
              <w:spacing w:before="0" w:beforeAutospacing="0" w:after="0" w:afterAutospacing="0" w:line="300" w:lineRule="exact"/>
              <w:ind w:left="0" w:right="0"/>
              <w:jc w:val="left"/>
              <w:rPr>
                <w:rFonts w:hint="default" w:ascii="宋体" w:hAnsi="宋体" w:eastAsia="宋体" w:cs="宋体"/>
                <w:color w:val="000000"/>
                <w:sz w:val="24"/>
                <w:szCs w:val="24"/>
              </w:rPr>
            </w:pPr>
          </w:p>
        </w:tc>
      </w:tr>
      <w:tr w14:paraId="15EA99DF">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4AAF67">
            <w:pPr>
              <w:keepNext w:val="0"/>
              <w:keepLines w:val="0"/>
              <w:suppressLineNumbers w:val="0"/>
              <w:spacing w:before="0" w:beforeAutospacing="0" w:after="0" w:afterAutospacing="0" w:line="300" w:lineRule="exact"/>
              <w:ind w:left="0" w:right="0"/>
              <w:rPr>
                <w:rFonts w:hint="default" w:ascii="宋体" w:hAnsi="宋体" w:eastAsia="宋体" w:cs="宋体"/>
                <w:color w:val="000000"/>
                <w:sz w:val="24"/>
                <w:szCs w:val="24"/>
              </w:rPr>
            </w:pPr>
          </w:p>
        </w:tc>
        <w:tc>
          <w:tcPr>
            <w:tcW w:w="364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1114765">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项目起止年限</w:t>
            </w:r>
          </w:p>
        </w:tc>
        <w:tc>
          <w:tcPr>
            <w:tcW w:w="593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0A4AFA0A">
            <w:pPr>
              <w:keepNext w:val="0"/>
              <w:keepLines w:val="0"/>
              <w:suppressLineNumbers w:val="0"/>
              <w:spacing w:before="0" w:beforeAutospacing="0" w:after="0" w:afterAutospacing="0" w:line="300" w:lineRule="exact"/>
              <w:ind w:left="0" w:right="0"/>
              <w:rPr>
                <w:rFonts w:hint="default" w:ascii="宋体" w:hAnsi="宋体" w:eastAsia="宋体" w:cs="宋体"/>
                <w:color w:val="000000"/>
                <w:sz w:val="24"/>
                <w:szCs w:val="24"/>
              </w:rPr>
            </w:pPr>
            <w:r>
              <w:rPr>
                <w:rFonts w:hint="eastAsia" w:ascii="宋体" w:hAnsi="宋体" w:eastAsia="宋体" w:cs="宋体"/>
                <w:color w:val="000000"/>
                <w:sz w:val="24"/>
                <w:szCs w:val="24"/>
              </w:rPr>
              <w:t>2023年5月15日至6月19日</w:t>
            </w:r>
          </w:p>
        </w:tc>
      </w:tr>
      <w:tr w14:paraId="5066AC00">
        <w:tblPrEx>
          <w:tblCellMar>
            <w:top w:w="15" w:type="dxa"/>
            <w:left w:w="15" w:type="dxa"/>
            <w:bottom w:w="15" w:type="dxa"/>
            <w:right w:w="15" w:type="dxa"/>
          </w:tblCellMar>
        </w:tblPrEx>
        <w:trPr>
          <w:trHeight w:val="23" w:hRule="atLeast"/>
          <w:jc w:val="center"/>
        </w:trPr>
        <w:tc>
          <w:tcPr>
            <w:tcW w:w="1733" w:type="dxa"/>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986D90A">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kern w:val="0"/>
                <w:sz w:val="24"/>
                <w:szCs w:val="24"/>
              </w:rPr>
            </w:pPr>
            <w:r>
              <w:rPr>
                <w:rFonts w:hint="default" w:ascii="宋体" w:hAnsi="宋体" w:eastAsia="宋体" w:cs="宋体"/>
                <w:color w:val="000000"/>
                <w:kern w:val="0"/>
                <w:sz w:val="24"/>
                <w:szCs w:val="24"/>
              </w:rPr>
              <w:t>项目资金</w:t>
            </w:r>
          </w:p>
          <w:p w14:paraId="339A6FDF">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（万元）</w:t>
            </w:r>
          </w:p>
        </w:tc>
        <w:tc>
          <w:tcPr>
            <w:tcW w:w="256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A317719">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 xml:space="preserve">  年度资金总额：</w:t>
            </w:r>
          </w:p>
        </w:tc>
        <w:tc>
          <w:tcPr>
            <w:tcW w:w="593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7DC2F57A">
            <w:pPr>
              <w:keepNext w:val="0"/>
              <w:keepLines w:val="0"/>
              <w:suppressLineNumbers w:val="0"/>
              <w:spacing w:before="0" w:beforeAutospacing="0" w:after="0" w:afterAutospacing="0" w:line="300" w:lineRule="exact"/>
              <w:ind w:left="0" w:right="0"/>
              <w:jc w:val="right"/>
              <w:rPr>
                <w:rFonts w:hint="default" w:ascii="宋体" w:hAnsi="宋体" w:eastAsia="宋体" w:cs="宋体"/>
                <w:color w:val="000000"/>
                <w:sz w:val="24"/>
                <w:szCs w:val="24"/>
              </w:rPr>
            </w:pPr>
          </w:p>
        </w:tc>
      </w:tr>
      <w:tr w14:paraId="058C02D8">
        <w:tblPrEx>
          <w:tblCellMar>
            <w:top w:w="15" w:type="dxa"/>
            <w:left w:w="15" w:type="dxa"/>
            <w:bottom w:w="15" w:type="dxa"/>
            <w:right w:w="15" w:type="dxa"/>
          </w:tblCellMar>
        </w:tblPrEx>
        <w:trPr>
          <w:trHeight w:val="23" w:hRule="atLeast"/>
          <w:jc w:val="center"/>
        </w:trPr>
        <w:tc>
          <w:tcPr>
            <w:tcW w:w="1733"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86F6F2">
            <w:pPr>
              <w:keepNext w:val="0"/>
              <w:keepLines w:val="0"/>
              <w:suppressLineNumbers w:val="0"/>
              <w:spacing w:before="0" w:beforeAutospacing="0" w:after="0" w:afterAutospacing="0" w:line="300" w:lineRule="exact"/>
              <w:ind w:left="0" w:right="0"/>
              <w:rPr>
                <w:rFonts w:hint="default" w:ascii="宋体" w:hAnsi="宋体" w:eastAsia="宋体" w:cs="宋体"/>
                <w:color w:val="000000"/>
                <w:sz w:val="24"/>
                <w:szCs w:val="24"/>
              </w:rPr>
            </w:pPr>
          </w:p>
        </w:tc>
        <w:tc>
          <w:tcPr>
            <w:tcW w:w="256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5B4F582">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其中：财政拨款</w:t>
            </w:r>
          </w:p>
        </w:tc>
        <w:tc>
          <w:tcPr>
            <w:tcW w:w="593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758AA491">
            <w:pPr>
              <w:keepNext w:val="0"/>
              <w:keepLines w:val="0"/>
              <w:suppressLineNumbers w:val="0"/>
              <w:spacing w:before="0" w:beforeAutospacing="0" w:after="0" w:afterAutospacing="0" w:line="300" w:lineRule="exact"/>
              <w:ind w:left="0" w:right="0"/>
              <w:jc w:val="right"/>
              <w:rPr>
                <w:rFonts w:hint="default" w:ascii="宋体" w:hAnsi="宋体" w:eastAsia="宋体" w:cs="宋体"/>
                <w:color w:val="000000"/>
                <w:sz w:val="24"/>
                <w:szCs w:val="24"/>
              </w:rPr>
            </w:pPr>
          </w:p>
        </w:tc>
      </w:tr>
      <w:tr w14:paraId="2A02FFA2">
        <w:tblPrEx>
          <w:tblCellMar>
            <w:top w:w="15" w:type="dxa"/>
            <w:left w:w="15" w:type="dxa"/>
            <w:bottom w:w="15" w:type="dxa"/>
            <w:right w:w="15" w:type="dxa"/>
          </w:tblCellMar>
        </w:tblPrEx>
        <w:trPr>
          <w:trHeight w:val="23" w:hRule="atLeast"/>
          <w:jc w:val="center"/>
        </w:trPr>
        <w:tc>
          <w:tcPr>
            <w:tcW w:w="1733"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BE6181">
            <w:pPr>
              <w:keepNext w:val="0"/>
              <w:keepLines w:val="0"/>
              <w:suppressLineNumbers w:val="0"/>
              <w:spacing w:before="0" w:beforeAutospacing="0" w:after="0" w:afterAutospacing="0" w:line="300" w:lineRule="exact"/>
              <w:ind w:left="0" w:right="0"/>
              <w:rPr>
                <w:rFonts w:hint="default" w:ascii="宋体" w:hAnsi="宋体" w:eastAsia="宋体" w:cs="宋体"/>
                <w:color w:val="000000"/>
                <w:sz w:val="24"/>
                <w:szCs w:val="24"/>
              </w:rPr>
            </w:pPr>
          </w:p>
        </w:tc>
        <w:tc>
          <w:tcPr>
            <w:tcW w:w="256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E4CB9EF">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 xml:space="preserve">            其他资金</w:t>
            </w:r>
          </w:p>
        </w:tc>
        <w:tc>
          <w:tcPr>
            <w:tcW w:w="593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74D57DD0">
            <w:pPr>
              <w:keepNext w:val="0"/>
              <w:keepLines w:val="0"/>
              <w:suppressLineNumbers w:val="0"/>
              <w:spacing w:before="0" w:beforeAutospacing="0" w:after="0" w:afterAutospacing="0" w:line="300" w:lineRule="exact"/>
              <w:ind w:left="0" w:right="0"/>
              <w:jc w:val="right"/>
              <w:rPr>
                <w:rFonts w:hint="default" w:ascii="宋体" w:hAnsi="宋体" w:eastAsia="宋体" w:cs="宋体"/>
                <w:color w:val="000000"/>
                <w:sz w:val="24"/>
                <w:szCs w:val="24"/>
              </w:rPr>
            </w:pPr>
          </w:p>
        </w:tc>
      </w:tr>
      <w:tr w14:paraId="3F41FE12">
        <w:tblPrEx>
          <w:tblCellMar>
            <w:top w:w="15" w:type="dxa"/>
            <w:left w:w="15" w:type="dxa"/>
            <w:bottom w:w="15" w:type="dxa"/>
            <w:right w:w="15" w:type="dxa"/>
          </w:tblCellMar>
        </w:tblPrEx>
        <w:trPr>
          <w:trHeight w:val="23" w:hRule="atLeast"/>
          <w:jc w:val="center"/>
        </w:trPr>
        <w:tc>
          <w:tcPr>
            <w:tcW w:w="65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6C07100">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总体 目标</w:t>
            </w:r>
          </w:p>
        </w:tc>
        <w:tc>
          <w:tcPr>
            <w:tcW w:w="9581"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311D9539">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年度目标</w:t>
            </w:r>
          </w:p>
        </w:tc>
      </w:tr>
      <w:tr w14:paraId="7B293C02">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476304">
            <w:pPr>
              <w:keepNext w:val="0"/>
              <w:keepLines w:val="0"/>
              <w:suppressLineNumbers w:val="0"/>
              <w:spacing w:before="0" w:beforeAutospacing="0" w:after="0" w:afterAutospacing="0" w:line="300" w:lineRule="exact"/>
              <w:ind w:left="0" w:right="0"/>
              <w:rPr>
                <w:rFonts w:hint="default" w:ascii="宋体" w:hAnsi="宋体" w:eastAsia="宋体" w:cs="宋体"/>
                <w:color w:val="000000"/>
                <w:sz w:val="24"/>
                <w:szCs w:val="24"/>
              </w:rPr>
            </w:pPr>
          </w:p>
        </w:tc>
        <w:tc>
          <w:tcPr>
            <w:tcW w:w="9581"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3D0456CF">
            <w:pPr>
              <w:keepNext w:val="0"/>
              <w:keepLines w:val="0"/>
              <w:suppressLineNumbers w:val="0"/>
              <w:spacing w:before="0" w:beforeAutospacing="0" w:after="0" w:afterAutospacing="0" w:line="300" w:lineRule="exact"/>
              <w:ind w:left="0" w:right="0"/>
              <w:rPr>
                <w:rFonts w:hint="default" w:ascii="宋体" w:hAnsi="宋体" w:eastAsia="宋体" w:cs="宋体"/>
                <w:color w:val="000000"/>
                <w:sz w:val="24"/>
                <w:szCs w:val="24"/>
              </w:rPr>
            </w:pPr>
            <w:r>
              <w:rPr>
                <w:rFonts w:hint="eastAsia" w:ascii="宋体" w:hAnsi="宋体" w:eastAsia="宋体" w:cs="宋体"/>
                <w:color w:val="000000"/>
                <w:sz w:val="18"/>
                <w:szCs w:val="18"/>
              </w:rPr>
              <w:t>2023年5月15日至6月19日</w:t>
            </w:r>
            <w:r>
              <w:rPr>
                <w:rFonts w:hint="eastAsia" w:ascii="宋体" w:hAnsi="宋体" w:cs="宋体"/>
                <w:color w:val="000000"/>
                <w:sz w:val="18"/>
                <w:szCs w:val="18"/>
                <w:lang w:eastAsia="zh-CN"/>
              </w:rPr>
              <w:t>，</w:t>
            </w:r>
            <w:r>
              <w:rPr>
                <w:rFonts w:hint="eastAsia" w:ascii="宋体" w:hAnsi="宋体" w:eastAsia="宋体" w:cs="宋体"/>
                <w:color w:val="000000"/>
                <w:sz w:val="18"/>
                <w:szCs w:val="18"/>
              </w:rPr>
              <w:t>根据市委组织部《关于印发2023年市级重点专题培训项目计划的通知》（广组训〔2023〕10号）培训计划，市发展改革委委托浙江大学继续教育学院在杭州市举办“广元市推进“数字政府”建设专题培训班”，学习大数据时代下的智慧城市与城市大脑建设，以数字化改革牵引全面深化改革，政府数字化转型与数据治理，大数据应用及网络安全等数字化转型发展的浙江实践等内容，推进我市数字政府建设。</w:t>
            </w:r>
          </w:p>
        </w:tc>
      </w:tr>
      <w:tr w14:paraId="7D201942">
        <w:tblPrEx>
          <w:tblCellMar>
            <w:top w:w="15" w:type="dxa"/>
            <w:left w:w="15" w:type="dxa"/>
            <w:bottom w:w="15" w:type="dxa"/>
            <w:right w:w="15" w:type="dxa"/>
          </w:tblCellMar>
        </w:tblPrEx>
        <w:trPr>
          <w:trHeight w:val="23" w:hRule="atLeast"/>
          <w:jc w:val="center"/>
        </w:trPr>
        <w:tc>
          <w:tcPr>
            <w:tcW w:w="652" w:type="dxa"/>
            <w:vMerge w:val="restart"/>
            <w:tcBorders>
              <w:top w:val="single" w:color="000000" w:sz="4" w:space="0"/>
              <w:left w:val="single" w:color="000000" w:sz="4" w:space="0"/>
              <w:bottom w:val="single" w:color="000000" w:sz="4" w:space="0"/>
            </w:tcBorders>
            <w:shd w:val="clear" w:color="auto" w:fill="auto"/>
            <w:vAlign w:val="center"/>
          </w:tcPr>
          <w:p w14:paraId="67F0DE9A">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绩效 指标</w:t>
            </w:r>
          </w:p>
        </w:tc>
        <w:tc>
          <w:tcPr>
            <w:tcW w:w="10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3A83C2">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一级指标</w:t>
            </w:r>
          </w:p>
        </w:tc>
        <w:tc>
          <w:tcPr>
            <w:tcW w:w="12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D20A83">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二级指标</w:t>
            </w:r>
          </w:p>
        </w:tc>
        <w:tc>
          <w:tcPr>
            <w:tcW w:w="13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58B9F6">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三级指标</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2FE369">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指标性质</w:t>
            </w:r>
          </w:p>
        </w:tc>
        <w:tc>
          <w:tcPr>
            <w:tcW w:w="23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3E7A02">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指标值</w:t>
            </w:r>
          </w:p>
        </w:tc>
        <w:tc>
          <w:tcPr>
            <w:tcW w:w="7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1AF733">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度量单位</w:t>
            </w:r>
          </w:p>
        </w:tc>
        <w:tc>
          <w:tcPr>
            <w:tcW w:w="7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4C195A">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权重</w:t>
            </w:r>
          </w:p>
        </w:tc>
        <w:tc>
          <w:tcPr>
            <w:tcW w:w="10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3C1D1E">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实际完成指标值</w:t>
            </w:r>
          </w:p>
        </w:tc>
      </w:tr>
      <w:tr w14:paraId="1B7754DD">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30FE68C4">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108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0B4E756">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产出指标</w:t>
            </w:r>
          </w:p>
        </w:tc>
        <w:tc>
          <w:tcPr>
            <w:tcW w:w="125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4C58603">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数量指标</w:t>
            </w:r>
          </w:p>
        </w:tc>
        <w:tc>
          <w:tcPr>
            <w:tcW w:w="13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D21FFD">
            <w:pPr>
              <w:keepNext w:val="0"/>
              <w:keepLines w:val="0"/>
              <w:suppressLineNumbers w:val="0"/>
              <w:spacing w:before="0" w:beforeAutospacing="0" w:after="0" w:afterAutospacing="0" w:line="300" w:lineRule="exact"/>
              <w:ind w:left="0" w:right="0"/>
              <w:rPr>
                <w:rFonts w:hint="default" w:ascii="宋体" w:hAnsi="宋体" w:eastAsia="宋体" w:cs="宋体"/>
                <w:color w:val="000000"/>
                <w:sz w:val="18"/>
                <w:szCs w:val="18"/>
              </w:rPr>
            </w:pPr>
            <w:r>
              <w:rPr>
                <w:rFonts w:hint="eastAsia" w:ascii="宋体" w:hAnsi="宋体" w:eastAsia="宋体" w:cs="宋体"/>
                <w:color w:val="000000"/>
                <w:sz w:val="18"/>
                <w:szCs w:val="18"/>
              </w:rPr>
              <w:t>指标1：培训人数</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85C10E">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18"/>
                <w:szCs w:val="18"/>
              </w:rPr>
            </w:pPr>
            <w:r>
              <w:rPr>
                <w:rFonts w:hint="eastAsia" w:ascii="宋体" w:hAnsi="宋体" w:eastAsia="宋体" w:cs="宋体"/>
                <w:color w:val="000000"/>
                <w:sz w:val="18"/>
                <w:szCs w:val="18"/>
              </w:rPr>
              <w:t>定量</w:t>
            </w:r>
          </w:p>
        </w:tc>
        <w:tc>
          <w:tcPr>
            <w:tcW w:w="23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200458">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18"/>
                <w:szCs w:val="18"/>
              </w:rPr>
            </w:pPr>
            <w:r>
              <w:rPr>
                <w:rFonts w:hint="eastAsia" w:ascii="宋体" w:hAnsi="宋体" w:eastAsia="宋体" w:cs="宋体"/>
                <w:color w:val="000000"/>
                <w:sz w:val="18"/>
                <w:szCs w:val="18"/>
              </w:rPr>
              <w:t>53</w:t>
            </w:r>
          </w:p>
        </w:tc>
        <w:tc>
          <w:tcPr>
            <w:tcW w:w="7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CE40A8">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18"/>
                <w:szCs w:val="18"/>
              </w:rPr>
            </w:pPr>
            <w:r>
              <w:rPr>
                <w:rFonts w:hint="eastAsia" w:ascii="宋体" w:hAnsi="宋体" w:eastAsia="宋体" w:cs="宋体"/>
                <w:color w:val="000000"/>
                <w:sz w:val="18"/>
                <w:szCs w:val="18"/>
              </w:rPr>
              <w:t>人</w:t>
            </w:r>
          </w:p>
        </w:tc>
        <w:tc>
          <w:tcPr>
            <w:tcW w:w="7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8B45EF">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18"/>
                <w:szCs w:val="18"/>
              </w:rPr>
            </w:pPr>
            <w:r>
              <w:rPr>
                <w:rFonts w:hint="eastAsia" w:ascii="宋体" w:hAnsi="宋体" w:eastAsia="宋体" w:cs="宋体"/>
                <w:color w:val="000000"/>
                <w:sz w:val="18"/>
                <w:szCs w:val="18"/>
              </w:rPr>
              <w:t>10%</w:t>
            </w:r>
          </w:p>
        </w:tc>
        <w:tc>
          <w:tcPr>
            <w:tcW w:w="10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8BB293">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18"/>
                <w:szCs w:val="18"/>
              </w:rPr>
            </w:pPr>
            <w:r>
              <w:rPr>
                <w:rFonts w:hint="eastAsia" w:ascii="宋体" w:hAnsi="宋体" w:eastAsia="宋体" w:cs="宋体"/>
                <w:color w:val="000000"/>
                <w:sz w:val="18"/>
                <w:szCs w:val="18"/>
              </w:rPr>
              <w:t>53</w:t>
            </w:r>
          </w:p>
        </w:tc>
      </w:tr>
      <w:tr w14:paraId="6D251306">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0507383D">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10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B0A0B6">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12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3570CA">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13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00785D">
            <w:pPr>
              <w:keepNext w:val="0"/>
              <w:keepLines w:val="0"/>
              <w:suppressLineNumbers w:val="0"/>
              <w:spacing w:before="0" w:beforeAutospacing="0" w:after="0" w:afterAutospacing="0" w:line="300" w:lineRule="exact"/>
              <w:ind w:left="0" w:right="0"/>
              <w:rPr>
                <w:rFonts w:hint="default" w:ascii="宋体" w:hAnsi="宋体" w:eastAsia="宋体" w:cs="宋体"/>
                <w:color w:val="000000"/>
                <w:sz w:val="18"/>
                <w:szCs w:val="18"/>
              </w:rPr>
            </w:pPr>
            <w:r>
              <w:rPr>
                <w:rFonts w:hint="eastAsia" w:ascii="宋体" w:hAnsi="宋体" w:eastAsia="宋体" w:cs="宋体"/>
                <w:color w:val="000000"/>
                <w:sz w:val="18"/>
                <w:szCs w:val="18"/>
              </w:rPr>
              <w:t>指标2：组织参加现场点位调研</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543AB1">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18"/>
                <w:szCs w:val="18"/>
              </w:rPr>
            </w:pPr>
            <w:r>
              <w:rPr>
                <w:rFonts w:hint="eastAsia" w:ascii="宋体" w:hAnsi="宋体" w:eastAsia="宋体" w:cs="宋体"/>
                <w:color w:val="000000"/>
                <w:sz w:val="18"/>
                <w:szCs w:val="18"/>
              </w:rPr>
              <w:t>定量</w:t>
            </w:r>
          </w:p>
        </w:tc>
        <w:tc>
          <w:tcPr>
            <w:tcW w:w="23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2AE18D">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18"/>
                <w:szCs w:val="18"/>
              </w:rPr>
            </w:pPr>
            <w:r>
              <w:rPr>
                <w:rFonts w:hint="eastAsia" w:ascii="宋体" w:hAnsi="宋体" w:eastAsia="宋体" w:cs="宋体"/>
                <w:color w:val="000000"/>
                <w:sz w:val="18"/>
                <w:szCs w:val="18"/>
              </w:rPr>
              <w:t>5</w:t>
            </w:r>
          </w:p>
        </w:tc>
        <w:tc>
          <w:tcPr>
            <w:tcW w:w="7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59F0D4">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18"/>
                <w:szCs w:val="18"/>
              </w:rPr>
            </w:pPr>
            <w:r>
              <w:rPr>
                <w:rFonts w:hint="eastAsia" w:ascii="宋体" w:hAnsi="宋体" w:eastAsia="宋体" w:cs="宋体"/>
                <w:color w:val="000000"/>
                <w:sz w:val="18"/>
                <w:szCs w:val="18"/>
              </w:rPr>
              <w:t>个</w:t>
            </w:r>
          </w:p>
        </w:tc>
        <w:tc>
          <w:tcPr>
            <w:tcW w:w="7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A5E9E3">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18"/>
                <w:szCs w:val="18"/>
              </w:rPr>
            </w:pPr>
            <w:r>
              <w:rPr>
                <w:rFonts w:hint="eastAsia" w:ascii="宋体" w:hAnsi="宋体" w:eastAsia="宋体" w:cs="宋体"/>
                <w:color w:val="000000"/>
                <w:sz w:val="18"/>
                <w:szCs w:val="18"/>
              </w:rPr>
              <w:t>10%</w:t>
            </w:r>
          </w:p>
        </w:tc>
        <w:tc>
          <w:tcPr>
            <w:tcW w:w="10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AD9C5E">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18"/>
                <w:szCs w:val="18"/>
              </w:rPr>
            </w:pPr>
            <w:r>
              <w:rPr>
                <w:rFonts w:hint="eastAsia" w:ascii="宋体" w:hAnsi="宋体" w:eastAsia="宋体" w:cs="宋体"/>
                <w:color w:val="000000"/>
                <w:sz w:val="18"/>
                <w:szCs w:val="18"/>
              </w:rPr>
              <w:t>5</w:t>
            </w:r>
          </w:p>
        </w:tc>
      </w:tr>
      <w:tr w14:paraId="7656999B">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243D5AA7">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10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90CCE0">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12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4C16BE">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质量指标</w:t>
            </w:r>
          </w:p>
        </w:tc>
        <w:tc>
          <w:tcPr>
            <w:tcW w:w="13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F3FC64">
            <w:pPr>
              <w:keepNext w:val="0"/>
              <w:keepLines w:val="0"/>
              <w:suppressLineNumbers w:val="0"/>
              <w:spacing w:before="0" w:beforeAutospacing="0" w:after="0" w:afterAutospacing="0" w:line="300" w:lineRule="exact"/>
              <w:ind w:left="0" w:right="0"/>
              <w:rPr>
                <w:rFonts w:hint="default" w:ascii="宋体" w:hAnsi="宋体" w:eastAsia="宋体" w:cs="宋体"/>
                <w:color w:val="000000"/>
                <w:sz w:val="18"/>
                <w:szCs w:val="18"/>
              </w:rPr>
            </w:pPr>
            <w:r>
              <w:rPr>
                <w:rFonts w:hint="eastAsia" w:ascii="宋体" w:hAnsi="宋体" w:eastAsia="宋体" w:cs="宋体"/>
                <w:color w:val="000000"/>
                <w:sz w:val="18"/>
                <w:szCs w:val="18"/>
              </w:rPr>
              <w:t>指标1：会议质量</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79293C">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18"/>
                <w:szCs w:val="18"/>
              </w:rPr>
            </w:pPr>
            <w:r>
              <w:rPr>
                <w:rFonts w:hint="eastAsia" w:ascii="宋体" w:hAnsi="宋体" w:eastAsia="宋体" w:cs="宋体"/>
                <w:color w:val="000000"/>
                <w:sz w:val="18"/>
                <w:szCs w:val="18"/>
              </w:rPr>
              <w:t>定量</w:t>
            </w:r>
          </w:p>
        </w:tc>
        <w:tc>
          <w:tcPr>
            <w:tcW w:w="23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E4B589">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18"/>
                <w:szCs w:val="18"/>
              </w:rPr>
            </w:pPr>
            <w:r>
              <w:rPr>
                <w:rFonts w:hint="eastAsia" w:ascii="宋体" w:hAnsi="宋体" w:eastAsia="宋体" w:cs="宋体"/>
                <w:color w:val="000000"/>
                <w:sz w:val="18"/>
                <w:szCs w:val="18"/>
              </w:rPr>
              <w:t>开展为期5天的“数字政府”专题培训</w:t>
            </w:r>
          </w:p>
        </w:tc>
        <w:tc>
          <w:tcPr>
            <w:tcW w:w="7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AB36EA">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18"/>
                <w:szCs w:val="18"/>
              </w:rPr>
            </w:pPr>
            <w:r>
              <w:rPr>
                <w:rFonts w:hint="eastAsia" w:ascii="宋体" w:hAnsi="宋体" w:eastAsia="宋体" w:cs="宋体"/>
                <w:color w:val="000000"/>
                <w:sz w:val="18"/>
                <w:szCs w:val="18"/>
              </w:rPr>
              <w:t>天</w:t>
            </w:r>
          </w:p>
        </w:tc>
        <w:tc>
          <w:tcPr>
            <w:tcW w:w="7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476E8A">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18"/>
                <w:szCs w:val="18"/>
              </w:rPr>
            </w:pPr>
            <w:r>
              <w:rPr>
                <w:rFonts w:hint="eastAsia" w:ascii="宋体" w:hAnsi="宋体" w:eastAsia="宋体" w:cs="宋体"/>
                <w:color w:val="000000"/>
                <w:sz w:val="18"/>
                <w:szCs w:val="18"/>
              </w:rPr>
              <w:t>10%</w:t>
            </w:r>
          </w:p>
        </w:tc>
        <w:tc>
          <w:tcPr>
            <w:tcW w:w="10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415E18">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18"/>
                <w:szCs w:val="18"/>
              </w:rPr>
            </w:pPr>
            <w:r>
              <w:rPr>
                <w:rFonts w:hint="eastAsia" w:ascii="宋体" w:hAnsi="宋体" w:eastAsia="宋体" w:cs="宋体"/>
                <w:color w:val="000000"/>
                <w:sz w:val="18"/>
                <w:szCs w:val="18"/>
              </w:rPr>
              <w:t>5</w:t>
            </w:r>
          </w:p>
        </w:tc>
      </w:tr>
      <w:tr w14:paraId="2A8AFBD0">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39C01D23">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10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9EBF57">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12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E24044">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时效指标</w:t>
            </w:r>
          </w:p>
        </w:tc>
        <w:tc>
          <w:tcPr>
            <w:tcW w:w="13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342E5B">
            <w:pPr>
              <w:keepNext w:val="0"/>
              <w:keepLines w:val="0"/>
              <w:suppressLineNumbers w:val="0"/>
              <w:spacing w:before="0" w:beforeAutospacing="0" w:after="0" w:afterAutospacing="0" w:line="300" w:lineRule="exact"/>
              <w:ind w:left="0" w:right="0"/>
              <w:rPr>
                <w:rFonts w:hint="default" w:ascii="宋体" w:hAnsi="宋体" w:eastAsia="宋体" w:cs="宋体"/>
                <w:color w:val="000000"/>
                <w:sz w:val="18"/>
                <w:szCs w:val="18"/>
              </w:rPr>
            </w:pPr>
            <w:r>
              <w:rPr>
                <w:rFonts w:hint="eastAsia" w:ascii="宋体" w:hAnsi="宋体" w:eastAsia="宋体" w:cs="宋体"/>
                <w:color w:val="000000"/>
                <w:sz w:val="18"/>
                <w:szCs w:val="18"/>
              </w:rPr>
              <w:t>指标1：完成时间</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3005B5">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18"/>
                <w:szCs w:val="18"/>
              </w:rPr>
            </w:pPr>
            <w:r>
              <w:rPr>
                <w:rFonts w:hint="eastAsia" w:ascii="宋体" w:hAnsi="宋体" w:eastAsia="宋体" w:cs="宋体"/>
                <w:color w:val="000000"/>
                <w:sz w:val="18"/>
                <w:szCs w:val="18"/>
              </w:rPr>
              <w:t>定性</w:t>
            </w:r>
          </w:p>
        </w:tc>
        <w:tc>
          <w:tcPr>
            <w:tcW w:w="23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38B415">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18"/>
                <w:szCs w:val="18"/>
              </w:rPr>
            </w:pPr>
            <w:r>
              <w:rPr>
                <w:rFonts w:hint="eastAsia" w:ascii="宋体" w:hAnsi="宋体" w:eastAsia="宋体" w:cs="宋体"/>
                <w:color w:val="000000"/>
                <w:sz w:val="18"/>
                <w:szCs w:val="18"/>
              </w:rPr>
              <w:t>2023年5月20日前完成。</w:t>
            </w:r>
          </w:p>
        </w:tc>
        <w:tc>
          <w:tcPr>
            <w:tcW w:w="7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291803">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18"/>
                <w:szCs w:val="18"/>
              </w:rPr>
            </w:pPr>
          </w:p>
        </w:tc>
        <w:tc>
          <w:tcPr>
            <w:tcW w:w="7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76B7B9">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18"/>
                <w:szCs w:val="18"/>
              </w:rPr>
            </w:pPr>
            <w:r>
              <w:rPr>
                <w:rFonts w:hint="eastAsia" w:ascii="宋体" w:hAnsi="宋体" w:eastAsia="宋体" w:cs="宋体"/>
                <w:color w:val="000000"/>
                <w:sz w:val="18"/>
                <w:szCs w:val="18"/>
              </w:rPr>
              <w:t>10%</w:t>
            </w:r>
          </w:p>
        </w:tc>
        <w:tc>
          <w:tcPr>
            <w:tcW w:w="10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8DD91E">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18"/>
                <w:szCs w:val="18"/>
              </w:rPr>
            </w:pPr>
            <w:r>
              <w:rPr>
                <w:rFonts w:hint="eastAsia" w:ascii="宋体" w:hAnsi="宋体" w:eastAsia="宋体" w:cs="宋体"/>
                <w:color w:val="000000"/>
                <w:sz w:val="18"/>
                <w:szCs w:val="18"/>
              </w:rPr>
              <w:t>按时完成</w:t>
            </w:r>
          </w:p>
        </w:tc>
      </w:tr>
      <w:tr w14:paraId="75B760C0">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63314EE5">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108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32651F4">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效益指标</w:t>
            </w:r>
          </w:p>
        </w:tc>
        <w:tc>
          <w:tcPr>
            <w:tcW w:w="12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9ADBA5">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kern w:val="0"/>
                <w:sz w:val="24"/>
                <w:szCs w:val="24"/>
              </w:rPr>
            </w:pPr>
            <w:r>
              <w:rPr>
                <w:rFonts w:hint="default" w:ascii="宋体" w:hAnsi="宋体" w:eastAsia="宋体" w:cs="宋体"/>
                <w:color w:val="000000"/>
                <w:kern w:val="0"/>
                <w:sz w:val="24"/>
                <w:szCs w:val="24"/>
              </w:rPr>
              <w:t>经济效益</w:t>
            </w:r>
          </w:p>
          <w:p w14:paraId="310DE3B7">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指标</w:t>
            </w:r>
          </w:p>
        </w:tc>
        <w:tc>
          <w:tcPr>
            <w:tcW w:w="13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518760">
            <w:pPr>
              <w:keepNext w:val="0"/>
              <w:keepLines w:val="0"/>
              <w:suppressLineNumbers w:val="0"/>
              <w:spacing w:before="0" w:beforeAutospacing="0" w:after="0" w:afterAutospacing="0" w:line="300" w:lineRule="exact"/>
              <w:ind w:left="0" w:right="0"/>
              <w:rPr>
                <w:rFonts w:hint="default" w:ascii="宋体" w:hAnsi="宋体" w:eastAsia="宋体" w:cs="宋体"/>
                <w:color w:val="000000"/>
                <w:sz w:val="18"/>
                <w:szCs w:val="18"/>
              </w:rPr>
            </w:pPr>
            <w:r>
              <w:rPr>
                <w:rFonts w:hint="eastAsia" w:ascii="宋体" w:hAnsi="宋体" w:eastAsia="宋体" w:cs="宋体"/>
                <w:color w:val="000000"/>
                <w:sz w:val="18"/>
                <w:szCs w:val="18"/>
              </w:rPr>
              <w:t>指标1：获得启发与收获</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3845C6">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18"/>
                <w:szCs w:val="18"/>
              </w:rPr>
            </w:pPr>
            <w:r>
              <w:rPr>
                <w:rFonts w:hint="eastAsia" w:ascii="宋体" w:hAnsi="宋体" w:eastAsia="宋体" w:cs="宋体"/>
                <w:color w:val="000000"/>
                <w:sz w:val="18"/>
                <w:szCs w:val="18"/>
              </w:rPr>
              <w:t>定性</w:t>
            </w:r>
          </w:p>
        </w:tc>
        <w:tc>
          <w:tcPr>
            <w:tcW w:w="23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C52754">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18"/>
                <w:szCs w:val="18"/>
              </w:rPr>
            </w:pPr>
            <w:r>
              <w:rPr>
                <w:rFonts w:hint="eastAsia" w:ascii="宋体" w:hAnsi="宋体" w:eastAsia="宋体" w:cs="宋体"/>
                <w:color w:val="000000"/>
                <w:sz w:val="18"/>
                <w:szCs w:val="18"/>
              </w:rPr>
              <w:t>在浙江大学培训期间，各位授课老师以城市大脑建设为主线，讲授数字政府建设的探索历程与做法，让我们在推进城市大脑建设上得到了启示与收获。</w:t>
            </w:r>
          </w:p>
        </w:tc>
        <w:tc>
          <w:tcPr>
            <w:tcW w:w="7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500290">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18"/>
                <w:szCs w:val="18"/>
              </w:rPr>
            </w:pPr>
          </w:p>
        </w:tc>
        <w:tc>
          <w:tcPr>
            <w:tcW w:w="7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C2AB14">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18"/>
                <w:szCs w:val="18"/>
              </w:rPr>
            </w:pPr>
            <w:r>
              <w:rPr>
                <w:rFonts w:hint="eastAsia" w:ascii="宋体" w:hAnsi="宋体" w:eastAsia="宋体" w:cs="宋体"/>
                <w:color w:val="000000"/>
                <w:sz w:val="18"/>
                <w:szCs w:val="18"/>
              </w:rPr>
              <w:t>15%</w:t>
            </w:r>
          </w:p>
        </w:tc>
        <w:tc>
          <w:tcPr>
            <w:tcW w:w="10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90E931">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18"/>
                <w:szCs w:val="18"/>
              </w:rPr>
            </w:pPr>
            <w:r>
              <w:rPr>
                <w:rFonts w:hint="eastAsia" w:ascii="宋体" w:hAnsi="宋体" w:eastAsia="宋体" w:cs="宋体"/>
                <w:color w:val="000000"/>
                <w:sz w:val="18"/>
                <w:szCs w:val="18"/>
              </w:rPr>
              <w:t>参训干部在推进城市大脑建设上得到启示与收获。</w:t>
            </w:r>
          </w:p>
        </w:tc>
      </w:tr>
      <w:tr w14:paraId="3BC53C75">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7B34D553">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10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1D957C">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1250" w:type="dxa"/>
            <w:tcBorders>
              <w:top w:val="single" w:color="000000" w:sz="4" w:space="0"/>
              <w:left w:val="single" w:color="000000" w:sz="4" w:space="0"/>
              <w:right w:val="single" w:color="000000" w:sz="4" w:space="0"/>
            </w:tcBorders>
            <w:shd w:val="clear" w:color="auto" w:fill="auto"/>
            <w:vAlign w:val="center"/>
          </w:tcPr>
          <w:p w14:paraId="4F95C914">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kern w:val="0"/>
                <w:sz w:val="24"/>
                <w:szCs w:val="24"/>
              </w:rPr>
            </w:pPr>
            <w:r>
              <w:rPr>
                <w:rFonts w:hint="default" w:ascii="宋体" w:hAnsi="宋体" w:eastAsia="宋体" w:cs="宋体"/>
                <w:color w:val="000000"/>
                <w:kern w:val="0"/>
                <w:sz w:val="24"/>
                <w:szCs w:val="24"/>
              </w:rPr>
              <w:t>社会效益</w:t>
            </w:r>
          </w:p>
          <w:p w14:paraId="5D4BA2E6">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指标</w:t>
            </w:r>
          </w:p>
        </w:tc>
        <w:tc>
          <w:tcPr>
            <w:tcW w:w="13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15388E">
            <w:pPr>
              <w:keepNext w:val="0"/>
              <w:keepLines w:val="0"/>
              <w:suppressLineNumbers w:val="0"/>
              <w:spacing w:before="0" w:beforeAutospacing="0" w:after="0" w:afterAutospacing="0" w:line="300" w:lineRule="exact"/>
              <w:ind w:left="0" w:right="0"/>
              <w:rPr>
                <w:rFonts w:hint="default" w:ascii="宋体" w:hAnsi="宋体" w:eastAsia="宋体" w:cs="宋体"/>
                <w:color w:val="000000"/>
                <w:sz w:val="18"/>
                <w:szCs w:val="18"/>
              </w:rPr>
            </w:pPr>
            <w:r>
              <w:rPr>
                <w:rFonts w:hint="eastAsia" w:ascii="宋体" w:hAnsi="宋体" w:eastAsia="宋体" w:cs="宋体"/>
                <w:color w:val="000000"/>
                <w:sz w:val="18"/>
                <w:szCs w:val="18"/>
              </w:rPr>
              <w:t>指标1：提升推进数字政府工作能力</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6B5271">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18"/>
                <w:szCs w:val="18"/>
              </w:rPr>
            </w:pPr>
            <w:r>
              <w:rPr>
                <w:rFonts w:hint="eastAsia" w:ascii="宋体" w:hAnsi="宋体" w:eastAsia="宋体" w:cs="宋体"/>
                <w:color w:val="000000"/>
                <w:sz w:val="18"/>
                <w:szCs w:val="18"/>
              </w:rPr>
              <w:t>定性</w:t>
            </w:r>
          </w:p>
        </w:tc>
        <w:tc>
          <w:tcPr>
            <w:tcW w:w="23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29B46A">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18"/>
                <w:szCs w:val="18"/>
              </w:rPr>
            </w:pPr>
            <w:r>
              <w:rPr>
                <w:rFonts w:hint="eastAsia" w:ascii="宋体" w:hAnsi="宋体" w:eastAsia="宋体" w:cs="宋体"/>
                <w:color w:val="000000"/>
                <w:sz w:val="18"/>
                <w:szCs w:val="18"/>
              </w:rPr>
              <w:t>采取“专题辅导+研讨交流+情景模拟+现场教学+典型示范”相结合的模式，注重课堂教授、课后交流与实地参观相结合，围绕我市数字政府建设和城市大脑打造的具体问题务实开展分组和集中交流研讨，学员全覆盖发表意见，为我市推进城市大脑建设以及数字政府建设提出了工作建议，提升学员推进数字政府工作能力。</w:t>
            </w:r>
          </w:p>
        </w:tc>
        <w:tc>
          <w:tcPr>
            <w:tcW w:w="7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E39608">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18"/>
                <w:szCs w:val="18"/>
              </w:rPr>
            </w:pPr>
          </w:p>
        </w:tc>
        <w:tc>
          <w:tcPr>
            <w:tcW w:w="7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F77D89">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18"/>
                <w:szCs w:val="18"/>
              </w:rPr>
            </w:pPr>
            <w:r>
              <w:rPr>
                <w:rFonts w:hint="eastAsia" w:ascii="宋体" w:hAnsi="宋体" w:eastAsia="宋体" w:cs="宋体"/>
                <w:color w:val="000000"/>
                <w:sz w:val="18"/>
                <w:szCs w:val="18"/>
              </w:rPr>
              <w:t>20%</w:t>
            </w:r>
          </w:p>
        </w:tc>
        <w:tc>
          <w:tcPr>
            <w:tcW w:w="10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B21B8B">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18"/>
                <w:szCs w:val="18"/>
              </w:rPr>
            </w:pPr>
            <w:r>
              <w:rPr>
                <w:rFonts w:hint="eastAsia" w:ascii="宋体" w:hAnsi="宋体" w:eastAsia="宋体" w:cs="宋体"/>
                <w:color w:val="000000"/>
                <w:sz w:val="18"/>
                <w:szCs w:val="18"/>
              </w:rPr>
              <w:t>多次分组和集中交流研讨，学员全覆盖发表意见，为我市推进城市大脑建设以及数字政府建设提出了工作建议，提升学员推进数字政府工作能力。</w:t>
            </w:r>
          </w:p>
        </w:tc>
      </w:tr>
      <w:tr w14:paraId="7576627E">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0339F9D9">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1081" w:type="dxa"/>
            <w:tcBorders>
              <w:top w:val="single" w:color="000000" w:sz="4" w:space="0"/>
              <w:left w:val="single" w:color="000000" w:sz="4" w:space="0"/>
              <w:right w:val="single" w:color="000000" w:sz="4" w:space="0"/>
            </w:tcBorders>
            <w:shd w:val="clear" w:color="auto" w:fill="auto"/>
            <w:vAlign w:val="center"/>
          </w:tcPr>
          <w:p w14:paraId="3CE481C0">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kern w:val="0"/>
                <w:sz w:val="24"/>
                <w:szCs w:val="24"/>
              </w:rPr>
            </w:pPr>
            <w:r>
              <w:rPr>
                <w:rFonts w:hint="default" w:ascii="宋体" w:hAnsi="宋体" w:eastAsia="宋体" w:cs="宋体"/>
                <w:color w:val="000000"/>
                <w:kern w:val="0"/>
                <w:sz w:val="24"/>
                <w:szCs w:val="24"/>
              </w:rPr>
              <w:t>满意度</w:t>
            </w:r>
          </w:p>
          <w:p w14:paraId="6C70B37A">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指标</w:t>
            </w:r>
          </w:p>
        </w:tc>
        <w:tc>
          <w:tcPr>
            <w:tcW w:w="1250" w:type="dxa"/>
            <w:tcBorders>
              <w:top w:val="single" w:color="000000" w:sz="4" w:space="0"/>
              <w:left w:val="single" w:color="000000" w:sz="4" w:space="0"/>
              <w:right w:val="single" w:color="000000" w:sz="4" w:space="0"/>
            </w:tcBorders>
            <w:shd w:val="clear" w:color="auto" w:fill="auto"/>
            <w:vAlign w:val="center"/>
          </w:tcPr>
          <w:p w14:paraId="634A472C">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kern w:val="0"/>
                <w:sz w:val="24"/>
                <w:szCs w:val="24"/>
              </w:rPr>
            </w:pPr>
            <w:r>
              <w:rPr>
                <w:rFonts w:hint="default" w:ascii="宋体" w:hAnsi="宋体" w:eastAsia="宋体" w:cs="宋体"/>
                <w:color w:val="000000"/>
                <w:kern w:val="0"/>
                <w:sz w:val="24"/>
                <w:szCs w:val="24"/>
              </w:rPr>
              <w:t>服务对象</w:t>
            </w:r>
          </w:p>
          <w:p w14:paraId="0E03B638">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满意度指标</w:t>
            </w:r>
          </w:p>
        </w:tc>
        <w:tc>
          <w:tcPr>
            <w:tcW w:w="13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78D99A">
            <w:pPr>
              <w:keepNext w:val="0"/>
              <w:keepLines w:val="0"/>
              <w:suppressLineNumbers w:val="0"/>
              <w:spacing w:before="0" w:beforeAutospacing="0" w:after="0" w:afterAutospacing="0" w:line="300" w:lineRule="exact"/>
              <w:ind w:left="0" w:right="0"/>
              <w:rPr>
                <w:rFonts w:hint="default" w:ascii="宋体" w:hAnsi="宋体" w:eastAsia="宋体" w:cs="宋体"/>
                <w:color w:val="000000"/>
                <w:sz w:val="18"/>
                <w:szCs w:val="18"/>
              </w:rPr>
            </w:pPr>
            <w:r>
              <w:rPr>
                <w:rFonts w:hint="eastAsia" w:ascii="宋体" w:hAnsi="宋体" w:eastAsia="宋体" w:cs="宋体"/>
                <w:color w:val="000000"/>
                <w:sz w:val="18"/>
                <w:szCs w:val="18"/>
              </w:rPr>
              <w:t>指标1：参会人员满意度</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7DF0E9">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18"/>
                <w:szCs w:val="18"/>
              </w:rPr>
            </w:pPr>
            <w:r>
              <w:rPr>
                <w:rFonts w:hint="eastAsia" w:ascii="宋体" w:hAnsi="宋体" w:eastAsia="宋体" w:cs="宋体"/>
                <w:color w:val="000000"/>
                <w:sz w:val="18"/>
                <w:szCs w:val="18"/>
              </w:rPr>
              <w:t>定量</w:t>
            </w:r>
          </w:p>
        </w:tc>
        <w:tc>
          <w:tcPr>
            <w:tcW w:w="23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E9C803">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18"/>
                <w:szCs w:val="18"/>
              </w:rPr>
            </w:pPr>
            <w:r>
              <w:rPr>
                <w:rFonts w:hint="eastAsia" w:ascii="宋体" w:hAnsi="宋体" w:eastAsia="宋体" w:cs="宋体"/>
                <w:color w:val="000000"/>
                <w:sz w:val="18"/>
                <w:szCs w:val="18"/>
              </w:rPr>
              <w:t>100%</w:t>
            </w:r>
          </w:p>
        </w:tc>
        <w:tc>
          <w:tcPr>
            <w:tcW w:w="7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E7E652">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18"/>
                <w:szCs w:val="18"/>
              </w:rPr>
            </w:pPr>
          </w:p>
        </w:tc>
        <w:tc>
          <w:tcPr>
            <w:tcW w:w="7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D2FC09">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18"/>
                <w:szCs w:val="18"/>
              </w:rPr>
            </w:pPr>
            <w:r>
              <w:rPr>
                <w:rFonts w:hint="eastAsia" w:ascii="宋体" w:hAnsi="宋体" w:eastAsia="宋体" w:cs="宋体"/>
                <w:color w:val="000000"/>
                <w:sz w:val="18"/>
                <w:szCs w:val="18"/>
              </w:rPr>
              <w:t>10%</w:t>
            </w:r>
          </w:p>
        </w:tc>
        <w:tc>
          <w:tcPr>
            <w:tcW w:w="10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7AE698">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18"/>
                <w:szCs w:val="18"/>
              </w:rPr>
            </w:pPr>
          </w:p>
        </w:tc>
      </w:tr>
      <w:tr w14:paraId="09D6D553">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6C31721F">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10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B66851">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成本指标</w:t>
            </w:r>
          </w:p>
        </w:tc>
        <w:tc>
          <w:tcPr>
            <w:tcW w:w="12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0379CD">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kern w:val="0"/>
                <w:sz w:val="24"/>
                <w:szCs w:val="24"/>
              </w:rPr>
            </w:pPr>
            <w:r>
              <w:rPr>
                <w:rFonts w:hint="default" w:ascii="宋体" w:hAnsi="宋体" w:eastAsia="宋体" w:cs="宋体"/>
                <w:color w:val="000000"/>
                <w:kern w:val="0"/>
                <w:sz w:val="24"/>
                <w:szCs w:val="24"/>
              </w:rPr>
              <w:t>经济成本</w:t>
            </w:r>
          </w:p>
          <w:p w14:paraId="40CE3EF9">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指标</w:t>
            </w:r>
          </w:p>
        </w:tc>
        <w:tc>
          <w:tcPr>
            <w:tcW w:w="1312" w:type="dxa"/>
            <w:tcBorders>
              <w:top w:val="single" w:color="000000" w:sz="4" w:space="0"/>
              <w:bottom w:val="single" w:color="000000" w:sz="4" w:space="0"/>
              <w:right w:val="single" w:color="000000" w:sz="4" w:space="0"/>
            </w:tcBorders>
            <w:shd w:val="clear" w:color="auto" w:fill="auto"/>
            <w:vAlign w:val="center"/>
          </w:tcPr>
          <w:p w14:paraId="621C52AA">
            <w:pPr>
              <w:keepNext w:val="0"/>
              <w:keepLines w:val="0"/>
              <w:suppressLineNumbers w:val="0"/>
              <w:spacing w:before="0" w:beforeAutospacing="0" w:after="0" w:afterAutospacing="0" w:line="300" w:lineRule="exact"/>
              <w:ind w:left="0" w:right="0"/>
              <w:rPr>
                <w:rFonts w:hint="default" w:ascii="宋体" w:hAnsi="宋体" w:eastAsia="宋体" w:cs="宋体"/>
                <w:color w:val="000000"/>
                <w:sz w:val="18"/>
                <w:szCs w:val="18"/>
              </w:rPr>
            </w:pPr>
            <w:r>
              <w:rPr>
                <w:rFonts w:hint="eastAsia" w:ascii="宋体" w:hAnsi="宋体" w:eastAsia="宋体" w:cs="宋体"/>
                <w:color w:val="000000"/>
                <w:sz w:val="18"/>
                <w:szCs w:val="18"/>
              </w:rPr>
              <w:t>指标1：培训费用</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91EE9E">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18"/>
                <w:szCs w:val="18"/>
              </w:rPr>
            </w:pPr>
            <w:r>
              <w:rPr>
                <w:rFonts w:hint="eastAsia" w:ascii="宋体" w:hAnsi="宋体" w:eastAsia="宋体" w:cs="宋体"/>
                <w:color w:val="000000"/>
                <w:sz w:val="18"/>
                <w:szCs w:val="18"/>
              </w:rPr>
              <w:t>定量</w:t>
            </w:r>
          </w:p>
        </w:tc>
        <w:tc>
          <w:tcPr>
            <w:tcW w:w="237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D258DE">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18"/>
                <w:szCs w:val="18"/>
              </w:rPr>
            </w:pPr>
            <w:r>
              <w:rPr>
                <w:rFonts w:hint="eastAsia" w:ascii="宋体" w:hAnsi="宋体" w:eastAsia="宋体" w:cs="宋体"/>
                <w:color w:val="000000"/>
                <w:sz w:val="18"/>
                <w:szCs w:val="18"/>
              </w:rPr>
              <w:t>15</w:t>
            </w:r>
          </w:p>
        </w:tc>
        <w:tc>
          <w:tcPr>
            <w:tcW w:w="7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BADDE0">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18"/>
                <w:szCs w:val="18"/>
              </w:rPr>
            </w:pPr>
            <w:r>
              <w:rPr>
                <w:rFonts w:hint="eastAsia" w:ascii="宋体" w:hAnsi="宋体" w:eastAsia="宋体" w:cs="宋体"/>
                <w:color w:val="000000"/>
                <w:sz w:val="18"/>
                <w:szCs w:val="18"/>
              </w:rPr>
              <w:t>万元</w:t>
            </w:r>
          </w:p>
        </w:tc>
        <w:tc>
          <w:tcPr>
            <w:tcW w:w="7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D0B32C">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18"/>
                <w:szCs w:val="18"/>
              </w:rPr>
            </w:pPr>
            <w:r>
              <w:rPr>
                <w:rFonts w:hint="eastAsia" w:ascii="宋体" w:hAnsi="宋体" w:eastAsia="宋体" w:cs="宋体"/>
                <w:color w:val="000000"/>
                <w:sz w:val="18"/>
                <w:szCs w:val="18"/>
              </w:rPr>
              <w:t>15%</w:t>
            </w:r>
          </w:p>
        </w:tc>
        <w:tc>
          <w:tcPr>
            <w:tcW w:w="10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1F5575">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18"/>
                <w:szCs w:val="18"/>
              </w:rPr>
            </w:pPr>
          </w:p>
        </w:tc>
      </w:tr>
    </w:tbl>
    <w:p w14:paraId="2ACDC839">
      <w:pPr>
        <w:spacing w:line="600" w:lineRule="exact"/>
        <w:jc w:val="center"/>
        <w:outlineLvl w:val="9"/>
        <w:rPr>
          <w:rFonts w:hint="eastAsia" w:ascii="黑体" w:hAnsi="黑体" w:eastAsia="黑体"/>
          <w:color w:val="auto"/>
          <w:sz w:val="44"/>
          <w:szCs w:val="44"/>
          <w:highlight w:val="none"/>
        </w:rPr>
      </w:pPr>
    </w:p>
    <w:p w14:paraId="5FFE905C">
      <w:pPr>
        <w:pStyle w:val="19"/>
        <w:rPr>
          <w:rFonts w:hint="eastAsia" w:ascii="黑体" w:hAnsi="黑体" w:eastAsia="黑体"/>
          <w:color w:val="auto"/>
          <w:sz w:val="44"/>
          <w:szCs w:val="44"/>
          <w:highlight w:val="none"/>
        </w:rPr>
      </w:pPr>
    </w:p>
    <w:p w14:paraId="1DA534BA">
      <w:pPr>
        <w:widowControl w:val="0"/>
        <w:spacing w:line="578" w:lineRule="exact"/>
        <w:jc w:val="center"/>
        <w:rPr>
          <w:rFonts w:hint="eastAsia" w:ascii="方正小标宋简体" w:hAnsi="方正小标宋简体" w:eastAsia="方正小标宋简体" w:cs="方正小标宋简体"/>
          <w:color w:val="auto"/>
          <w:kern w:val="2"/>
          <w:sz w:val="44"/>
          <w:szCs w:val="44"/>
          <w:lang w:val="en-US" w:eastAsia="zh-CN" w:bidi="ar-SA"/>
        </w:rPr>
      </w:pPr>
      <w:r>
        <w:rPr>
          <w:rFonts w:hint="eastAsia" w:ascii="方正小标宋简体" w:hAnsi="方正小标宋简体" w:eastAsia="方正小标宋简体" w:cs="方正小标宋简体"/>
          <w:color w:val="auto"/>
          <w:kern w:val="2"/>
          <w:sz w:val="44"/>
          <w:szCs w:val="44"/>
          <w:lang w:val="en-US" w:eastAsia="zh-CN" w:bidi="ar-SA"/>
        </w:rPr>
        <w:t>清洁能源产业专班</w:t>
      </w:r>
    </w:p>
    <w:p w14:paraId="2F8C07AF">
      <w:pPr>
        <w:widowControl w:val="0"/>
        <w:spacing w:line="578" w:lineRule="exact"/>
        <w:jc w:val="center"/>
        <w:rPr>
          <w:rFonts w:ascii="方正小标宋简体" w:hAnsi="方正小标宋简体" w:eastAsia="方正小标宋简体" w:cs="Times New Roman"/>
          <w:color w:val="auto"/>
          <w:kern w:val="2"/>
          <w:sz w:val="44"/>
          <w:szCs w:val="44"/>
          <w:lang w:val="en-US" w:eastAsia="zh-CN" w:bidi="ar-SA"/>
        </w:rPr>
      </w:pPr>
      <w:r>
        <w:rPr>
          <w:rFonts w:hint="eastAsia" w:ascii="方正小标宋简体" w:hAnsi="方正小标宋简体" w:eastAsia="方正小标宋简体" w:cs="方正小标宋简体"/>
          <w:color w:val="auto"/>
          <w:kern w:val="2"/>
          <w:sz w:val="44"/>
          <w:szCs w:val="44"/>
          <w:lang w:val="en-US" w:eastAsia="zh-CN" w:bidi="ar-SA"/>
        </w:rPr>
        <w:t>专项预算项目绩效评价报告</w:t>
      </w:r>
    </w:p>
    <w:p w14:paraId="647DE4C9">
      <w:pPr>
        <w:widowControl w:val="0"/>
        <w:spacing w:line="578" w:lineRule="exact"/>
        <w:ind w:firstLine="640"/>
        <w:jc w:val="center"/>
        <w:rPr>
          <w:rFonts w:ascii="宋体" w:hAnsi="??" w:eastAsia="宋体" w:cs="Times New Roman"/>
          <w:color w:val="auto"/>
          <w:kern w:val="2"/>
          <w:sz w:val="32"/>
          <w:szCs w:val="32"/>
          <w:lang w:val="zh-CN" w:eastAsia="zh-CN" w:bidi="ar-SA"/>
        </w:rPr>
      </w:pPr>
    </w:p>
    <w:p w14:paraId="750E3074">
      <w:pPr>
        <w:adjustRightInd w:val="0"/>
        <w:snapToGrid w:val="0"/>
        <w:spacing w:line="578" w:lineRule="exact"/>
        <w:ind w:firstLine="640" w:firstLineChars="200"/>
        <w:rPr>
          <w:rFonts w:ascii="黑体" w:hAnsi="宋体" w:eastAsia="黑体" w:cs="Times New Roman"/>
          <w:sz w:val="32"/>
          <w:szCs w:val="32"/>
          <w:lang w:val="zh-CN"/>
        </w:rPr>
      </w:pPr>
      <w:r>
        <w:rPr>
          <w:rFonts w:hint="eastAsia" w:ascii="黑体" w:hAnsi="宋体" w:eastAsia="黑体" w:cs="黑体"/>
          <w:sz w:val="32"/>
          <w:szCs w:val="32"/>
        </w:rPr>
        <w:t>一、</w:t>
      </w:r>
      <w:r>
        <w:rPr>
          <w:rFonts w:hint="eastAsia" w:ascii="黑体" w:hAnsi="宋体" w:eastAsia="黑体" w:cs="黑体"/>
          <w:sz w:val="32"/>
          <w:szCs w:val="32"/>
          <w:lang w:val="zh-CN"/>
        </w:rPr>
        <w:t>项目概况</w:t>
      </w:r>
    </w:p>
    <w:p w14:paraId="0908986C">
      <w:pPr>
        <w:widowControl/>
        <w:adjustRightInd w:val="0"/>
        <w:snapToGrid w:val="0"/>
        <w:spacing w:line="578" w:lineRule="exact"/>
        <w:ind w:firstLine="643" w:firstLineChars="200"/>
        <w:jc w:val="left"/>
        <w:rPr>
          <w:rFonts w:ascii="楷体_GB2312" w:hAnsi="宋体" w:eastAsia="楷体_GB2312" w:cs="Times New Roman"/>
          <w:b/>
          <w:bCs/>
          <w:sz w:val="32"/>
          <w:szCs w:val="32"/>
          <w:lang w:val="zh-CN"/>
        </w:rPr>
      </w:pPr>
      <w:r>
        <w:rPr>
          <w:rFonts w:hint="eastAsia" w:ascii="楷体_GB2312" w:hAnsi="宋体" w:eastAsia="楷体_GB2312" w:cs="楷体_GB2312"/>
          <w:b/>
          <w:bCs/>
          <w:sz w:val="32"/>
          <w:szCs w:val="32"/>
          <w:lang w:val="zh-CN"/>
        </w:rPr>
        <w:t>（一）设立背景及基本情况。</w:t>
      </w:r>
      <w:r>
        <w:rPr>
          <w:rFonts w:hint="eastAsia" w:ascii="仿宋_GB2312" w:hAnsi="仿宋_GB2312" w:eastAsia="仿宋_GB2312" w:cs="仿宋_GB2312"/>
          <w:sz w:val="32"/>
          <w:szCs w:val="32"/>
          <w:shd w:val="clear" w:color="auto" w:fill="FFFFFF"/>
        </w:rPr>
        <w:t>大力实施“</w:t>
      </w:r>
      <w:r>
        <w:rPr>
          <w:rFonts w:ascii="仿宋_GB2312" w:hAnsi="仿宋_GB2312" w:eastAsia="仿宋_GB2312" w:cs="仿宋_GB2312"/>
          <w:sz w:val="32"/>
          <w:szCs w:val="32"/>
          <w:shd w:val="clear" w:color="auto" w:fill="FFFFFF"/>
        </w:rPr>
        <w:t>1345</w:t>
      </w:r>
      <w:r>
        <w:rPr>
          <w:rFonts w:hint="eastAsia" w:ascii="仿宋_GB2312" w:hAnsi="仿宋_GB2312" w:eastAsia="仿宋_GB2312" w:cs="仿宋_GB2312"/>
          <w:sz w:val="32"/>
          <w:szCs w:val="32"/>
          <w:shd w:val="clear" w:color="auto" w:fill="FFFFFF"/>
        </w:rPr>
        <w:t>”发展战略，加速推进通道优势向经济优势转变，推动全市能源化工产业高质量发展，加快建设千瓦千瓦级装机能源基地、成渝地区能源安全保障基地。</w:t>
      </w:r>
    </w:p>
    <w:p w14:paraId="46792E9C">
      <w:pPr>
        <w:adjustRightInd w:val="0"/>
        <w:snapToGrid w:val="0"/>
        <w:spacing w:line="578" w:lineRule="exact"/>
        <w:ind w:firstLine="643" w:firstLineChars="200"/>
        <w:rPr>
          <w:rFonts w:ascii="仿宋_GB2312" w:hAnsi="Times New Roman" w:eastAsia="仿宋_GB2312" w:cs="Times New Roman"/>
          <w:kern w:val="0"/>
          <w:sz w:val="32"/>
          <w:szCs w:val="32"/>
          <w:shd w:val="clear" w:color="auto" w:fill="FFFFFF"/>
        </w:rPr>
      </w:pPr>
      <w:r>
        <w:rPr>
          <w:rFonts w:hint="eastAsia" w:ascii="楷体_GB2312" w:hAnsi="宋体" w:eastAsia="楷体_GB2312" w:cs="楷体_GB2312"/>
          <w:b/>
          <w:bCs/>
          <w:sz w:val="32"/>
          <w:szCs w:val="32"/>
          <w:lang w:val="zh-CN"/>
        </w:rPr>
        <w:t>（二）</w:t>
      </w:r>
      <w:r>
        <w:rPr>
          <w:rFonts w:hint="eastAsia" w:ascii="楷体_GB2312" w:hAnsi="宋体" w:eastAsia="楷体_GB2312" w:cs="楷体_GB2312"/>
          <w:b/>
          <w:bCs/>
          <w:sz w:val="32"/>
          <w:szCs w:val="32"/>
        </w:rPr>
        <w:t>实施目的及支持方向。</w:t>
      </w:r>
      <w:r>
        <w:rPr>
          <w:rFonts w:hint="eastAsia" w:ascii="仿宋_GB2312" w:hAnsi="仿宋_GB2312" w:eastAsia="仿宋_GB2312" w:cs="仿宋_GB2312"/>
          <w:kern w:val="0"/>
          <w:sz w:val="32"/>
          <w:szCs w:val="32"/>
          <w:shd w:val="clear" w:color="auto" w:fill="FFFFFF"/>
        </w:rPr>
        <w:t>全面了解广元能源发展现状、存在问题和发展短板，面临机遇和挑战。深入分析广元市建设成渝地区能源安全保障基地优势和面临挑战，充分衔接国家、四川省能源发展战略和要求，高质量研究编写《广元市建设成渝地区能源安全保障基地实施方案》，梳理谋划一批重大能源化工项目，招引一批重大项目落地，推动全市能源化工项目加快建设。</w:t>
      </w:r>
    </w:p>
    <w:p w14:paraId="74EB93EB">
      <w:pPr>
        <w:adjustRightInd w:val="0"/>
        <w:snapToGrid w:val="0"/>
        <w:spacing w:line="578" w:lineRule="exact"/>
        <w:ind w:firstLine="643" w:firstLineChars="200"/>
        <w:rPr>
          <w:rFonts w:ascii="仿宋_GB2312" w:hAnsi="Times New Roman" w:eastAsia="仿宋_GB2312" w:cs="仿宋_GB2312"/>
          <w:kern w:val="0"/>
          <w:sz w:val="32"/>
          <w:szCs w:val="32"/>
          <w:shd w:val="clear" w:color="auto" w:fill="FFFFFF"/>
        </w:rPr>
      </w:pPr>
      <w:r>
        <w:rPr>
          <w:rFonts w:hint="eastAsia" w:ascii="楷体_GB2312" w:hAnsi="宋体" w:eastAsia="楷体_GB2312" w:cs="楷体_GB2312"/>
          <w:b/>
          <w:bCs/>
          <w:sz w:val="32"/>
          <w:szCs w:val="32"/>
          <w:lang w:val="zh-CN"/>
        </w:rPr>
        <w:t>（三）</w:t>
      </w:r>
      <w:r>
        <w:rPr>
          <w:rFonts w:hint="eastAsia" w:ascii="楷体_GB2312" w:hAnsi="宋体" w:eastAsia="楷体_GB2312" w:cs="楷体_GB2312"/>
          <w:b/>
          <w:bCs/>
          <w:sz w:val="32"/>
          <w:szCs w:val="32"/>
        </w:rPr>
        <w:t>预算安排及分配管理</w:t>
      </w:r>
      <w:r>
        <w:rPr>
          <w:rFonts w:hint="eastAsia" w:ascii="楷体_GB2312" w:hAnsi="宋体" w:eastAsia="楷体_GB2312" w:cs="楷体_GB2312"/>
          <w:b/>
          <w:bCs/>
          <w:sz w:val="32"/>
          <w:szCs w:val="32"/>
          <w:lang w:val="zh-CN"/>
        </w:rPr>
        <w:t>。</w:t>
      </w:r>
      <w:r>
        <w:rPr>
          <w:rFonts w:hint="eastAsia" w:ascii="仿宋_GB2312" w:hAnsi="仿宋_GB2312" w:eastAsia="仿宋_GB2312" w:cs="仿宋_GB2312"/>
          <w:kern w:val="0"/>
          <w:sz w:val="32"/>
          <w:szCs w:val="32"/>
          <w:shd w:val="clear" w:color="auto" w:fill="FFFFFF"/>
        </w:rPr>
        <w:t>该费用主要为清洁能源产业专班项目工作经费，包含项目前期论证、</w:t>
      </w:r>
      <w:r>
        <w:rPr>
          <w:rFonts w:hint="eastAsia" w:ascii="仿宋_GB2312" w:hAnsi="Times New Roman" w:eastAsia="仿宋_GB2312" w:cs="仿宋_GB2312"/>
          <w:sz w:val="32"/>
          <w:szCs w:val="32"/>
        </w:rPr>
        <w:t>差旅费、评审费等招引、推动能源化工项目所需的相关费用。</w:t>
      </w:r>
    </w:p>
    <w:p w14:paraId="21C41009">
      <w:pPr>
        <w:adjustRightInd w:val="0"/>
        <w:snapToGrid w:val="0"/>
        <w:spacing w:line="578" w:lineRule="exact"/>
        <w:ind w:firstLine="643" w:firstLineChars="200"/>
        <w:rPr>
          <w:rFonts w:ascii="仿宋_GB2312" w:hAnsi="Times New Roman" w:eastAsia="仿宋_GB2312" w:cs="仿宋_GB2312"/>
          <w:kern w:val="0"/>
          <w:sz w:val="32"/>
          <w:szCs w:val="32"/>
          <w:shd w:val="clear" w:color="auto" w:fill="FFFFFF"/>
          <w:lang w:val="zh-CN"/>
        </w:rPr>
      </w:pPr>
      <w:r>
        <w:rPr>
          <w:rFonts w:hint="eastAsia" w:ascii="楷体_GB2312" w:hAnsi="宋体" w:eastAsia="楷体_GB2312" w:cs="楷体_GB2312"/>
          <w:b/>
          <w:bCs/>
          <w:sz w:val="32"/>
          <w:szCs w:val="32"/>
          <w:lang w:val="zh-CN"/>
        </w:rPr>
        <w:t>（四）项目绩效目标设置。</w:t>
      </w:r>
      <w:r>
        <w:rPr>
          <w:rFonts w:hint="eastAsia" w:ascii="仿宋_GB2312" w:hAnsi="仿宋_GB2312" w:eastAsia="仿宋_GB2312" w:cs="仿宋_GB2312"/>
          <w:kern w:val="0"/>
          <w:sz w:val="32"/>
          <w:szCs w:val="32"/>
          <w:shd w:val="clear" w:color="auto" w:fill="FFFFFF"/>
          <w:lang w:val="zh-CN"/>
        </w:rPr>
        <w:t>从质量、数量、时效、经济效益、社会效益和满意度方面共设置</w:t>
      </w:r>
      <w:r>
        <w:rPr>
          <w:rFonts w:ascii="仿宋_GB2312" w:hAnsi="仿宋_GB2312" w:eastAsia="仿宋_GB2312" w:cs="仿宋_GB2312"/>
          <w:kern w:val="0"/>
          <w:sz w:val="32"/>
          <w:szCs w:val="32"/>
          <w:shd w:val="clear" w:color="auto" w:fill="FFFFFF"/>
        </w:rPr>
        <w:t>8</w:t>
      </w:r>
      <w:r>
        <w:rPr>
          <w:rFonts w:hint="eastAsia" w:ascii="仿宋_GB2312" w:hAnsi="仿宋_GB2312" w:eastAsia="仿宋_GB2312" w:cs="仿宋_GB2312"/>
          <w:kern w:val="0"/>
          <w:sz w:val="32"/>
          <w:szCs w:val="32"/>
          <w:shd w:val="clear" w:color="auto" w:fill="FFFFFF"/>
        </w:rPr>
        <w:t>个三级指标</w:t>
      </w:r>
      <w:r>
        <w:rPr>
          <w:rFonts w:hint="eastAsia" w:ascii="仿宋_GB2312" w:hAnsi="仿宋_GB2312" w:eastAsia="仿宋_GB2312" w:cs="仿宋_GB2312"/>
          <w:kern w:val="0"/>
          <w:sz w:val="32"/>
          <w:szCs w:val="32"/>
          <w:shd w:val="clear" w:color="auto" w:fill="FFFFFF"/>
          <w:lang w:val="zh-CN"/>
        </w:rPr>
        <w:t>，包含签约项目、洽谈项目、培育新进规企业、完成时间、建成成渝地区能源安全保障基地、助力“双碳”目标实现、社会满意度。</w:t>
      </w:r>
    </w:p>
    <w:p w14:paraId="654D1892">
      <w:pPr>
        <w:adjustRightInd w:val="0"/>
        <w:snapToGrid w:val="0"/>
        <w:spacing w:line="578" w:lineRule="exact"/>
        <w:ind w:firstLine="640" w:firstLineChars="200"/>
        <w:rPr>
          <w:rFonts w:ascii="黑体" w:hAnsi="宋体" w:eastAsia="黑体" w:cs="Times New Roman"/>
          <w:sz w:val="32"/>
          <w:szCs w:val="32"/>
        </w:rPr>
      </w:pPr>
      <w:r>
        <w:rPr>
          <w:rFonts w:hint="eastAsia" w:ascii="黑体" w:hAnsi="宋体" w:eastAsia="黑体" w:cs="黑体"/>
          <w:sz w:val="32"/>
          <w:szCs w:val="32"/>
        </w:rPr>
        <w:t>二、评价实施</w:t>
      </w:r>
    </w:p>
    <w:p w14:paraId="69FDAD97">
      <w:pPr>
        <w:spacing w:line="578" w:lineRule="exact"/>
        <w:ind w:firstLine="640"/>
        <w:rPr>
          <w:rFonts w:ascii="仿宋_GB2312" w:hAnsi="Times New Roman" w:eastAsia="仿宋_GB2312" w:cs="仿宋_GB2312"/>
          <w:sz w:val="32"/>
          <w:szCs w:val="32"/>
        </w:rPr>
      </w:pPr>
      <w:r>
        <w:rPr>
          <w:rFonts w:hint="eastAsia" w:ascii="楷体_GB2312" w:hAnsi="宋体" w:eastAsia="楷体_GB2312" w:cs="楷体_GB2312"/>
          <w:b/>
          <w:bCs/>
          <w:sz w:val="32"/>
          <w:szCs w:val="32"/>
          <w:lang w:val="zh-CN"/>
        </w:rPr>
        <w:t>（一）评价目的。</w:t>
      </w:r>
      <w:r>
        <w:rPr>
          <w:rFonts w:hint="eastAsia" w:ascii="仿宋_GB2312" w:hAnsi="仿宋_GB2312" w:eastAsia="仿宋_GB2312" w:cs="仿宋_GB2312"/>
          <w:sz w:val="32"/>
          <w:szCs w:val="32"/>
        </w:rPr>
        <w:t>通过绩效评估将绩效管理关口前移，为项目设立和预算安排提供重要参考依据，提高预算编制科学性、合理性，优化财政支出结构，从源头上防控财政资源配置的低效无效，提高财政资源配置效率和财政资金使用效益。</w:t>
      </w:r>
    </w:p>
    <w:p w14:paraId="6EB31B8B">
      <w:pPr>
        <w:spacing w:line="578" w:lineRule="exact"/>
        <w:ind w:firstLine="640"/>
        <w:rPr>
          <w:rFonts w:ascii="Times New Roman" w:hAnsi="Times New Roman" w:eastAsia="仿宋_GB2312" w:cs="Times New Roman"/>
          <w:sz w:val="32"/>
          <w:szCs w:val="32"/>
        </w:rPr>
      </w:pPr>
      <w:r>
        <w:rPr>
          <w:rFonts w:hint="eastAsia" w:ascii="楷体_GB2312" w:hAnsi="宋体" w:eastAsia="楷体_GB2312" w:cs="楷体_GB2312"/>
          <w:b/>
          <w:bCs/>
          <w:sz w:val="32"/>
          <w:szCs w:val="32"/>
          <w:lang w:val="zh-CN"/>
        </w:rPr>
        <w:t>（二）预设问题及评价重点。</w:t>
      </w:r>
      <w:r>
        <w:rPr>
          <w:rFonts w:hint="eastAsia" w:ascii="Times New Roman" w:hAnsi="Times New Roman" w:eastAsia="仿宋_GB2312" w:cs="仿宋_GB2312"/>
          <w:sz w:val="32"/>
          <w:szCs w:val="32"/>
        </w:rPr>
        <w:t>按照绩效评价指标体系，对资金支出使用全过程及其实施效果进行综合评价和判断。</w:t>
      </w:r>
    </w:p>
    <w:p w14:paraId="1EA951FB">
      <w:pPr>
        <w:adjustRightInd w:val="0"/>
        <w:snapToGrid w:val="0"/>
        <w:spacing w:line="578" w:lineRule="exact"/>
        <w:ind w:firstLine="643" w:firstLineChars="200"/>
        <w:rPr>
          <w:rFonts w:ascii="Times New Roman" w:hAnsi="Times New Roman" w:eastAsia="仿宋_GB2312" w:cs="Times New Roman"/>
          <w:sz w:val="32"/>
          <w:szCs w:val="32"/>
          <w:lang w:val="zh-CN"/>
        </w:rPr>
      </w:pPr>
      <w:r>
        <w:rPr>
          <w:rFonts w:hint="eastAsia" w:ascii="楷体_GB2312" w:hAnsi="宋体" w:eastAsia="楷体_GB2312" w:cs="楷体_GB2312"/>
          <w:b/>
          <w:bCs/>
          <w:sz w:val="32"/>
          <w:szCs w:val="32"/>
          <w:lang w:val="zh-CN"/>
        </w:rPr>
        <w:t>（三）评价选点。</w:t>
      </w:r>
      <w:r>
        <w:rPr>
          <w:rFonts w:hint="eastAsia" w:ascii="Times New Roman" w:hAnsi="Times New Roman" w:eastAsia="仿宋_GB2312" w:cs="仿宋_GB2312"/>
          <w:sz w:val="32"/>
          <w:szCs w:val="32"/>
          <w:lang w:val="zh-CN"/>
        </w:rPr>
        <w:t>项目绩效自评所抽样点位情况。</w:t>
      </w:r>
    </w:p>
    <w:p w14:paraId="2537E8A9">
      <w:pPr>
        <w:spacing w:line="578" w:lineRule="exact"/>
        <w:ind w:firstLine="640"/>
        <w:rPr>
          <w:rFonts w:ascii="Times New Roman" w:hAnsi="Times New Roman" w:eastAsia="仿宋_GB2312" w:cs="Times New Roman"/>
          <w:sz w:val="32"/>
          <w:szCs w:val="32"/>
        </w:rPr>
      </w:pPr>
      <w:r>
        <w:rPr>
          <w:rFonts w:hint="eastAsia" w:ascii="楷体_GB2312" w:hAnsi="宋体" w:eastAsia="楷体_GB2312" w:cs="楷体_GB2312"/>
          <w:b/>
          <w:bCs/>
          <w:sz w:val="32"/>
          <w:szCs w:val="32"/>
          <w:lang w:val="zh-CN"/>
        </w:rPr>
        <w:t>（四）评价方法。</w:t>
      </w:r>
      <w:r>
        <w:rPr>
          <w:rFonts w:hint="eastAsia" w:ascii="Times New Roman" w:hAnsi="Times New Roman" w:eastAsia="仿宋_GB2312" w:cs="仿宋_GB2312"/>
          <w:sz w:val="32"/>
          <w:szCs w:val="32"/>
        </w:rPr>
        <w:t>根据项目情况和评价重点，用来收集相关材料和开展具体评价的方法。包括：采用成本效益分析法、标杆管理法、案卷研究法、单位自评法、实地勘察法、问卷调查法、座谈调研法等多种方法。</w:t>
      </w:r>
    </w:p>
    <w:p w14:paraId="3F859271">
      <w:pPr>
        <w:spacing w:line="578" w:lineRule="exact"/>
        <w:ind w:firstLine="640"/>
        <w:rPr>
          <w:rFonts w:ascii="Times New Roman" w:hAnsi="Times New Roman" w:eastAsia="仿宋_GB2312" w:cs="Times New Roman"/>
          <w:sz w:val="32"/>
          <w:szCs w:val="32"/>
        </w:rPr>
      </w:pPr>
      <w:r>
        <w:rPr>
          <w:rFonts w:hint="eastAsia" w:ascii="楷体_GB2312" w:hAnsi="宋体" w:eastAsia="楷体_GB2312" w:cs="楷体_GB2312"/>
          <w:b/>
          <w:bCs/>
          <w:sz w:val="32"/>
          <w:szCs w:val="32"/>
          <w:lang w:val="zh-CN"/>
        </w:rPr>
        <w:t>（五）评价组织。</w:t>
      </w:r>
      <w:r>
        <w:rPr>
          <w:rFonts w:hint="eastAsia" w:ascii="Times New Roman" w:hAnsi="Times New Roman" w:eastAsia="仿宋_GB2312" w:cs="仿宋_GB2312"/>
          <w:sz w:val="32"/>
          <w:szCs w:val="32"/>
        </w:rPr>
        <w:t>市发展改革委牵头组织评价。</w:t>
      </w:r>
    </w:p>
    <w:p w14:paraId="3E47D6AA">
      <w:pPr>
        <w:adjustRightInd w:val="0"/>
        <w:snapToGrid w:val="0"/>
        <w:spacing w:line="578" w:lineRule="exact"/>
        <w:ind w:firstLine="640" w:firstLineChars="200"/>
        <w:rPr>
          <w:rFonts w:ascii="仿宋_GB2312" w:hAnsi="宋体" w:eastAsia="仿宋_GB2312" w:cs="Times New Roman"/>
          <w:sz w:val="32"/>
          <w:szCs w:val="32"/>
          <w:lang w:val="zh-CN"/>
        </w:rPr>
      </w:pPr>
      <w:r>
        <w:rPr>
          <w:rFonts w:hint="eastAsia" w:ascii="黑体" w:hAnsi="宋体" w:eastAsia="黑体" w:cs="黑体"/>
          <w:sz w:val="32"/>
          <w:szCs w:val="32"/>
        </w:rPr>
        <w:t>三、绩效分析</w:t>
      </w:r>
      <w:r>
        <w:rPr>
          <w:rFonts w:ascii="仿宋_GB2312" w:hAnsi="宋体" w:eastAsia="仿宋_GB2312" w:cs="Times New Roman"/>
          <w:sz w:val="32"/>
          <w:szCs w:val="32"/>
          <w:lang w:val="zh-CN"/>
        </w:rPr>
        <w:tab/>
      </w:r>
    </w:p>
    <w:p w14:paraId="69F0B3F9">
      <w:pPr>
        <w:spacing w:line="578" w:lineRule="exact"/>
        <w:ind w:firstLine="640"/>
        <w:rPr>
          <w:rFonts w:ascii="Times New Roman" w:hAnsi="Times New Roman" w:eastAsia="仿宋_GB2312" w:cs="Times New Roman"/>
          <w:sz w:val="32"/>
          <w:szCs w:val="32"/>
        </w:rPr>
      </w:pPr>
      <w:r>
        <w:rPr>
          <w:rFonts w:hint="eastAsia" w:ascii="Times New Roman" w:hAnsi="Times New Roman" w:eastAsia="仿宋_GB2312" w:cs="仿宋_GB2312"/>
          <w:sz w:val="32"/>
          <w:szCs w:val="32"/>
          <w:lang w:val="zh-CN"/>
        </w:rPr>
        <w:t>根据项目预算绩效评价指标体系</w:t>
      </w:r>
      <w:r>
        <w:rPr>
          <w:rFonts w:ascii="Times New Roman" w:hAnsi="Times New Roman" w:eastAsia="仿宋_GB2312" w:cs="Times New Roman"/>
          <w:sz w:val="32"/>
          <w:szCs w:val="32"/>
          <w:lang w:val="zh-CN"/>
        </w:rPr>
        <w:t>“</w:t>
      </w:r>
      <w:r>
        <w:rPr>
          <w:rFonts w:hint="eastAsia" w:ascii="Times New Roman" w:hAnsi="Times New Roman" w:eastAsia="仿宋_GB2312" w:cs="仿宋_GB2312"/>
          <w:sz w:val="32"/>
          <w:szCs w:val="32"/>
          <w:lang w:val="zh-CN"/>
        </w:rPr>
        <w:t>通用指标</w:t>
      </w:r>
      <w:r>
        <w:rPr>
          <w:rFonts w:ascii="Times New Roman" w:hAnsi="Times New Roman" w:eastAsia="仿宋_GB2312" w:cs="Times New Roman"/>
          <w:sz w:val="32"/>
          <w:szCs w:val="32"/>
          <w:lang w:val="zh-CN"/>
        </w:rPr>
        <w:t>”</w:t>
      </w:r>
      <w:r>
        <w:rPr>
          <w:rFonts w:hint="eastAsia" w:ascii="Times New Roman" w:hAnsi="Times New Roman" w:eastAsia="仿宋_GB2312" w:cs="仿宋_GB2312"/>
          <w:sz w:val="32"/>
          <w:szCs w:val="32"/>
          <w:lang w:val="zh-CN"/>
        </w:rPr>
        <w:t>“专用指标”“个性指标”涉及二、三级指标进行逐项绩效分析并评分</w:t>
      </w:r>
      <w:r>
        <w:rPr>
          <w:rFonts w:hint="eastAsia" w:ascii="Times New Roman" w:hAnsi="Times New Roman" w:eastAsia="仿宋_GB2312" w:cs="仿宋_GB2312"/>
          <w:sz w:val="32"/>
          <w:szCs w:val="32"/>
        </w:rPr>
        <w:t>。</w:t>
      </w:r>
    </w:p>
    <w:p w14:paraId="2A905D78">
      <w:pPr>
        <w:spacing w:line="578" w:lineRule="exact"/>
        <w:ind w:firstLine="640"/>
        <w:rPr>
          <w:rFonts w:ascii="楷体_GB2312" w:hAnsi="宋体" w:eastAsia="楷体_GB2312" w:cs="Times New Roman"/>
          <w:b/>
          <w:bCs/>
          <w:sz w:val="32"/>
          <w:szCs w:val="32"/>
        </w:rPr>
      </w:pPr>
      <w:r>
        <w:rPr>
          <w:rFonts w:hint="eastAsia" w:ascii="楷体_GB2312" w:hAnsi="宋体" w:eastAsia="楷体_GB2312" w:cs="楷体_GB2312"/>
          <w:b/>
          <w:bCs/>
          <w:sz w:val="32"/>
          <w:szCs w:val="32"/>
          <w:lang w:val="zh-CN"/>
        </w:rPr>
        <w:t>（一）</w:t>
      </w:r>
      <w:r>
        <w:rPr>
          <w:rFonts w:hint="eastAsia" w:ascii="楷体_GB2312" w:hAnsi="宋体" w:eastAsia="楷体_GB2312" w:cs="楷体_GB2312"/>
          <w:b/>
          <w:bCs/>
          <w:sz w:val="32"/>
          <w:szCs w:val="32"/>
        </w:rPr>
        <w:t>通用指标</w:t>
      </w:r>
      <w:r>
        <w:rPr>
          <w:rFonts w:hint="eastAsia" w:ascii="Times New Roman" w:hAnsi="Times New Roman" w:eastAsia="楷体_GB2312" w:cs="楷体_GB2312"/>
          <w:b/>
          <w:bCs/>
          <w:color w:val="000000"/>
          <w:kern w:val="0"/>
          <w:sz w:val="32"/>
          <w:szCs w:val="32"/>
          <w:shd w:val="clear" w:color="auto" w:fill="FFFFFF"/>
          <w:lang w:val="zh-CN"/>
        </w:rPr>
        <w:t>绩效分析。</w:t>
      </w:r>
    </w:p>
    <w:p w14:paraId="7D9865A1">
      <w:pPr>
        <w:spacing w:line="578" w:lineRule="exact"/>
        <w:ind w:firstLine="640"/>
        <w:rPr>
          <w:rFonts w:ascii="仿宋_GB2312" w:hAnsi="Times New Roman" w:eastAsia="仿宋_GB2312" w:cs="仿宋_GB2312"/>
          <w:sz w:val="32"/>
          <w:szCs w:val="32"/>
        </w:rPr>
      </w:pPr>
      <w:r>
        <w:rPr>
          <w:rFonts w:ascii="楷体_GB2312" w:hAnsi="楷体_GB2312" w:eastAsia="楷体_GB2312" w:cs="楷体_GB2312"/>
          <w:sz w:val="32"/>
          <w:szCs w:val="32"/>
        </w:rPr>
        <w:t>1.</w:t>
      </w:r>
      <w:r>
        <w:rPr>
          <w:rFonts w:hint="eastAsia" w:ascii="楷体_GB2312" w:hAnsi="楷体_GB2312" w:eastAsia="楷体_GB2312" w:cs="楷体_GB2312"/>
          <w:sz w:val="32"/>
          <w:szCs w:val="32"/>
        </w:rPr>
        <w:t>项目决策。</w:t>
      </w:r>
      <w:r>
        <w:rPr>
          <w:rFonts w:hint="eastAsia" w:ascii="Times New Roman" w:hAnsi="Times New Roman" w:eastAsia="仿宋_GB2312" w:cs="仿宋_GB2312"/>
          <w:sz w:val="32"/>
          <w:szCs w:val="32"/>
        </w:rPr>
        <w:t>本项目决策程序完备，符合资金管理基本规范和决策程序要求。本项目属于政府支持范围，未与其他同类项目或部门内部相关项目交叉重复。</w:t>
      </w:r>
      <w:r>
        <w:rPr>
          <w:rFonts w:hint="eastAsia" w:ascii="仿宋_GB2312" w:hAnsi="仿宋_GB2312" w:eastAsia="仿宋_GB2312" w:cs="仿宋_GB2312"/>
          <w:sz w:val="32"/>
          <w:szCs w:val="32"/>
        </w:rPr>
        <w:t>绩效分析得分</w:t>
      </w:r>
      <w:r>
        <w:rPr>
          <w:rFonts w:ascii="仿宋_GB2312" w:hAnsi="仿宋_GB2312" w:eastAsia="仿宋_GB2312" w:cs="仿宋_GB2312"/>
          <w:sz w:val="32"/>
          <w:szCs w:val="32"/>
        </w:rPr>
        <w:t>18</w:t>
      </w:r>
      <w:r>
        <w:rPr>
          <w:rFonts w:hint="eastAsia" w:ascii="仿宋_GB2312" w:hAnsi="仿宋_GB2312" w:eastAsia="仿宋_GB2312" w:cs="仿宋_GB2312"/>
          <w:sz w:val="32"/>
          <w:szCs w:val="32"/>
        </w:rPr>
        <w:t>分。</w:t>
      </w:r>
    </w:p>
    <w:p w14:paraId="1D2004BA">
      <w:pPr>
        <w:spacing w:line="578" w:lineRule="exact"/>
        <w:ind w:firstLine="640"/>
        <w:rPr>
          <w:rFonts w:ascii="Times New Roman" w:hAnsi="Times New Roman" w:eastAsia="仿宋_GB2312" w:cs="Times New Roman"/>
          <w:sz w:val="32"/>
          <w:szCs w:val="32"/>
        </w:rPr>
      </w:pPr>
      <w:r>
        <w:rPr>
          <w:rFonts w:ascii="楷体_GB2312" w:hAnsi="楷体_GB2312" w:eastAsia="楷体_GB2312" w:cs="楷体_GB2312"/>
          <w:sz w:val="32"/>
          <w:szCs w:val="32"/>
        </w:rPr>
        <w:t>2.</w:t>
      </w:r>
      <w:r>
        <w:rPr>
          <w:rFonts w:hint="eastAsia" w:ascii="楷体_GB2312" w:hAnsi="楷体_GB2312" w:eastAsia="楷体_GB2312" w:cs="楷体_GB2312"/>
          <w:sz w:val="32"/>
          <w:szCs w:val="32"/>
        </w:rPr>
        <w:t>项目管理。</w:t>
      </w:r>
      <w:r>
        <w:rPr>
          <w:rFonts w:hint="eastAsia" w:ascii="Times New Roman" w:hAnsi="Times New Roman" w:eastAsia="仿宋_GB2312" w:cs="仿宋_GB2312"/>
          <w:sz w:val="32"/>
          <w:szCs w:val="32"/>
        </w:rPr>
        <w:t>本项目资金管理办法等管理制度体系健全完善，不存在管理制度缺失和管理制度过期等情况。按照中省要求全面完成了绩效目标（含事前评估）、绩效评价等。绩效分析得分</w:t>
      </w:r>
      <w:r>
        <w:rPr>
          <w:rFonts w:ascii="Times New Roman" w:hAnsi="Times New Roman" w:eastAsia="仿宋_GB2312" w:cs="Times New Roman"/>
          <w:sz w:val="32"/>
          <w:szCs w:val="32"/>
        </w:rPr>
        <w:t>18</w:t>
      </w:r>
      <w:r>
        <w:rPr>
          <w:rFonts w:hint="eastAsia" w:ascii="Times New Roman" w:hAnsi="Times New Roman" w:eastAsia="仿宋_GB2312" w:cs="仿宋_GB2312"/>
          <w:sz w:val="32"/>
          <w:szCs w:val="32"/>
        </w:rPr>
        <w:t>分。</w:t>
      </w:r>
    </w:p>
    <w:p w14:paraId="3FADF5C4">
      <w:pPr>
        <w:spacing w:line="578" w:lineRule="exact"/>
        <w:ind w:firstLine="640"/>
        <w:rPr>
          <w:rFonts w:ascii="仿宋_GB2312" w:hAnsi="Times New Roman" w:eastAsia="仿宋_GB2312" w:cs="Times New Roman"/>
          <w:color w:val="000000"/>
          <w:sz w:val="32"/>
          <w:szCs w:val="32"/>
        </w:rPr>
      </w:pPr>
      <w:r>
        <w:rPr>
          <w:rFonts w:ascii="楷体_GB2312" w:hAnsi="楷体_GB2312" w:eastAsia="楷体_GB2312" w:cs="楷体_GB2312"/>
          <w:sz w:val="32"/>
          <w:szCs w:val="32"/>
        </w:rPr>
        <w:t>3.</w:t>
      </w:r>
      <w:r>
        <w:rPr>
          <w:rFonts w:hint="eastAsia" w:ascii="楷体_GB2312" w:hAnsi="楷体_GB2312" w:eastAsia="楷体_GB2312" w:cs="楷体_GB2312"/>
          <w:sz w:val="32"/>
          <w:szCs w:val="32"/>
        </w:rPr>
        <w:t>项目实施。</w:t>
      </w:r>
      <w:r>
        <w:rPr>
          <w:rFonts w:hint="eastAsia" w:ascii="Times New Roman" w:hAnsi="Times New Roman" w:eastAsia="仿宋_GB2312" w:cs="仿宋_GB2312"/>
          <w:sz w:val="32"/>
          <w:szCs w:val="32"/>
        </w:rPr>
        <w:t>围绕预算</w:t>
      </w:r>
      <w:r>
        <w:rPr>
          <w:rFonts w:hint="eastAsia" w:ascii="Times New Roman" w:hAnsi="Times New Roman" w:eastAsia="仿宋_GB2312" w:cs="仿宋_GB2312"/>
          <w:sz w:val="32"/>
          <w:szCs w:val="32"/>
          <w:lang w:val="zh-CN"/>
        </w:rPr>
        <w:t>执行</w:t>
      </w:r>
      <w:r>
        <w:rPr>
          <w:rFonts w:hint="eastAsia" w:ascii="Times New Roman" w:hAnsi="Times New Roman" w:eastAsia="仿宋_GB2312" w:cs="仿宋_GB2312"/>
          <w:sz w:val="32"/>
          <w:szCs w:val="32"/>
        </w:rPr>
        <w:t>、资金使用进行绩效分析，</w:t>
      </w:r>
      <w:r>
        <w:rPr>
          <w:rFonts w:hint="eastAsia" w:ascii="仿宋_GB2312" w:hAnsi="Times New Roman" w:eastAsia="仿宋_GB2312" w:cs="仿宋_GB2312"/>
          <w:color w:val="000000"/>
          <w:sz w:val="32"/>
          <w:szCs w:val="32"/>
        </w:rPr>
        <w:t>绩效分析得分</w:t>
      </w:r>
      <w:r>
        <w:rPr>
          <w:rFonts w:ascii="仿宋_GB2312" w:hAnsi="Times New Roman" w:eastAsia="仿宋_GB2312" w:cs="仿宋_GB2312"/>
          <w:color w:val="000000"/>
          <w:sz w:val="32"/>
          <w:szCs w:val="32"/>
        </w:rPr>
        <w:t>9</w:t>
      </w:r>
      <w:r>
        <w:rPr>
          <w:rFonts w:hint="eastAsia" w:ascii="仿宋_GB2312" w:hAnsi="Times New Roman" w:eastAsia="仿宋_GB2312" w:cs="仿宋_GB2312"/>
          <w:color w:val="000000"/>
          <w:sz w:val="32"/>
          <w:szCs w:val="32"/>
        </w:rPr>
        <w:t>分。</w:t>
      </w:r>
    </w:p>
    <w:p w14:paraId="5812B932">
      <w:pPr>
        <w:spacing w:line="578" w:lineRule="exact"/>
        <w:ind w:firstLine="640"/>
        <w:rPr>
          <w:rFonts w:ascii="Times New Roman" w:hAnsi="Times New Roman" w:eastAsia="仿宋_GB2312" w:cs="Times New Roman"/>
          <w:sz w:val="32"/>
          <w:szCs w:val="32"/>
        </w:rPr>
      </w:pPr>
      <w:r>
        <w:rPr>
          <w:rFonts w:ascii="楷体_GB2312" w:hAnsi="楷体_GB2312" w:eastAsia="楷体_GB2312" w:cs="楷体_GB2312"/>
          <w:sz w:val="32"/>
          <w:szCs w:val="32"/>
        </w:rPr>
        <w:t>4.</w:t>
      </w:r>
      <w:r>
        <w:rPr>
          <w:rFonts w:hint="eastAsia" w:ascii="楷体_GB2312" w:hAnsi="楷体_GB2312" w:eastAsia="楷体_GB2312" w:cs="楷体_GB2312"/>
          <w:sz w:val="32"/>
          <w:szCs w:val="32"/>
        </w:rPr>
        <w:t>项目结果。</w:t>
      </w:r>
      <w:r>
        <w:rPr>
          <w:rFonts w:hint="eastAsia" w:ascii="Times New Roman" w:hAnsi="Times New Roman" w:eastAsia="仿宋_GB2312" w:cs="仿宋_GB2312"/>
          <w:sz w:val="32"/>
          <w:szCs w:val="32"/>
        </w:rPr>
        <w:t>去年以来，市、县清洁能源产业专班大力实施“</w:t>
      </w:r>
      <w:r>
        <w:rPr>
          <w:rFonts w:ascii="Times New Roman" w:hAnsi="Times New Roman" w:eastAsia="仿宋_GB2312" w:cs="Times New Roman"/>
          <w:sz w:val="32"/>
          <w:szCs w:val="32"/>
        </w:rPr>
        <w:t>1345</w:t>
      </w:r>
      <w:r>
        <w:rPr>
          <w:rFonts w:hint="eastAsia" w:ascii="Times New Roman" w:hAnsi="Times New Roman" w:eastAsia="仿宋_GB2312" w:cs="仿宋_GB2312"/>
          <w:sz w:val="32"/>
          <w:szCs w:val="32"/>
        </w:rPr>
        <w:t>”发展战略，认真贯彻落实市委市政府专班抓产业的决策部署，上下联动部署，抓项目添动能，补短板强基础，全市清洁能源产业取得了可喜成绩。</w:t>
      </w:r>
      <w:r>
        <w:rPr>
          <w:rFonts w:hint="eastAsia" w:ascii="Times New Roman" w:hAnsi="Times New Roman" w:eastAsia="仿宋_GB2312" w:cs="仿宋_GB2312"/>
          <w:color w:val="000000"/>
          <w:sz w:val="32"/>
          <w:szCs w:val="32"/>
        </w:rPr>
        <w:t>绩效分析得分</w:t>
      </w:r>
      <w:r>
        <w:rPr>
          <w:rFonts w:ascii="Times New Roman" w:hAnsi="Times New Roman" w:eastAsia="仿宋_GB2312" w:cs="Times New Roman"/>
          <w:color w:val="000000"/>
          <w:sz w:val="32"/>
          <w:szCs w:val="32"/>
        </w:rPr>
        <w:t>9</w:t>
      </w:r>
      <w:r>
        <w:rPr>
          <w:rFonts w:hint="eastAsia" w:ascii="Times New Roman" w:hAnsi="Times New Roman" w:eastAsia="仿宋_GB2312" w:cs="仿宋_GB2312"/>
          <w:color w:val="000000"/>
          <w:sz w:val="32"/>
          <w:szCs w:val="32"/>
        </w:rPr>
        <w:t>分。</w:t>
      </w:r>
    </w:p>
    <w:p w14:paraId="5410065A">
      <w:pPr>
        <w:spacing w:line="578" w:lineRule="exact"/>
        <w:ind w:firstLine="643" w:firstLineChars="200"/>
        <w:rPr>
          <w:rFonts w:ascii="楷体_GB2312" w:hAnsi="楷体_GB2312" w:eastAsia="楷体_GB2312" w:cs="Times New Roman"/>
          <w:sz w:val="32"/>
          <w:szCs w:val="32"/>
          <w:lang w:val="zh-CN"/>
        </w:rPr>
      </w:pPr>
      <w:r>
        <w:rPr>
          <w:rFonts w:hint="eastAsia" w:ascii="楷体_GB2312" w:hAnsi="宋体" w:eastAsia="楷体_GB2312" w:cs="楷体_GB2312"/>
          <w:b/>
          <w:bCs/>
          <w:sz w:val="32"/>
          <w:szCs w:val="32"/>
          <w:lang w:val="zh-CN"/>
        </w:rPr>
        <w:t>（二）</w:t>
      </w:r>
      <w:r>
        <w:rPr>
          <w:rFonts w:hint="eastAsia" w:ascii="楷体_GB2312" w:hAnsi="宋体" w:eastAsia="楷体_GB2312" w:cs="楷体_GB2312"/>
          <w:b/>
          <w:bCs/>
          <w:sz w:val="32"/>
          <w:szCs w:val="32"/>
        </w:rPr>
        <w:t>专用指标</w:t>
      </w:r>
      <w:r>
        <w:rPr>
          <w:rFonts w:hint="eastAsia" w:ascii="Times New Roman" w:hAnsi="Times New Roman" w:eastAsia="楷体_GB2312" w:cs="楷体_GB2312"/>
          <w:b/>
          <w:bCs/>
          <w:color w:val="000000"/>
          <w:kern w:val="0"/>
          <w:sz w:val="32"/>
          <w:szCs w:val="32"/>
          <w:shd w:val="clear" w:color="auto" w:fill="FFFFFF"/>
          <w:lang w:val="zh-CN"/>
        </w:rPr>
        <w:t>绩效分析。</w:t>
      </w:r>
      <w:r>
        <w:rPr>
          <w:rFonts w:hint="eastAsia" w:ascii="Times New Roman" w:hAnsi="Times New Roman" w:eastAsia="仿宋_GB2312" w:cs="仿宋_GB2312"/>
          <w:sz w:val="32"/>
          <w:szCs w:val="32"/>
          <w:lang w:val="zh-CN"/>
        </w:rPr>
        <w:t>根据</w:t>
      </w:r>
      <w:r>
        <w:rPr>
          <w:rFonts w:hint="eastAsia" w:ascii="Times New Roman" w:hAnsi="Times New Roman" w:eastAsia="仿宋_GB2312" w:cs="仿宋_GB2312"/>
          <w:sz w:val="32"/>
          <w:szCs w:val="32"/>
        </w:rPr>
        <w:t>专项预算项目资金支持对象选择所属指标进行绩效分析。支持对象</w:t>
      </w:r>
      <w:r>
        <w:rPr>
          <w:rFonts w:hint="eastAsia" w:ascii="Times New Roman" w:hAnsi="Times New Roman" w:eastAsia="仿宋_GB2312" w:cs="仿宋_GB2312"/>
          <w:sz w:val="32"/>
          <w:szCs w:val="32"/>
          <w:lang w:val="zh-CN"/>
        </w:rPr>
        <w:t>包括产业发展、民生保障、基础设施、行政运转等方面。</w:t>
      </w:r>
    </w:p>
    <w:p w14:paraId="7F4910CB">
      <w:pPr>
        <w:spacing w:line="578" w:lineRule="exact"/>
        <w:ind w:firstLine="640" w:firstLineChars="200"/>
        <w:rPr>
          <w:rFonts w:ascii="Times New Roman" w:hAnsi="Times New Roman" w:eastAsia="仿宋_GB2312" w:cs="Times New Roman"/>
          <w:sz w:val="32"/>
          <w:szCs w:val="32"/>
        </w:rPr>
      </w:pPr>
      <w:r>
        <w:rPr>
          <w:rFonts w:ascii="楷体_GB2312" w:hAnsi="楷体_GB2312" w:eastAsia="楷体_GB2312" w:cs="楷体_GB2312"/>
          <w:sz w:val="32"/>
          <w:szCs w:val="32"/>
        </w:rPr>
        <w:t>1.</w:t>
      </w:r>
      <w:r>
        <w:rPr>
          <w:rFonts w:hint="eastAsia" w:ascii="楷体_GB2312" w:hAnsi="楷体_GB2312" w:eastAsia="楷体_GB2312" w:cs="楷体_GB2312"/>
          <w:sz w:val="32"/>
          <w:szCs w:val="32"/>
        </w:rPr>
        <w:t>产业发展。</w:t>
      </w:r>
      <w:r>
        <w:rPr>
          <w:rFonts w:hint="eastAsia" w:ascii="Times New Roman" w:hAnsi="Times New Roman" w:eastAsia="仿宋_GB2312" w:cs="仿宋_GB2312"/>
          <w:sz w:val="32"/>
          <w:szCs w:val="32"/>
        </w:rPr>
        <w:t>招商引资成效显著，全年专班先后赴上海、北京、新疆等地开展项目考察、招商洽谈</w:t>
      </w:r>
      <w:r>
        <w:rPr>
          <w:rFonts w:ascii="Times New Roman" w:hAnsi="Times New Roman" w:eastAsia="仿宋_GB2312" w:cs="Times New Roman"/>
          <w:sz w:val="32"/>
          <w:szCs w:val="32"/>
        </w:rPr>
        <w:t>50</w:t>
      </w:r>
      <w:r>
        <w:rPr>
          <w:rFonts w:hint="eastAsia" w:ascii="Times New Roman" w:hAnsi="Times New Roman" w:eastAsia="仿宋_GB2312" w:cs="仿宋_GB2312"/>
          <w:sz w:val="32"/>
          <w:szCs w:val="32"/>
        </w:rPr>
        <w:t>余次，接待企业来广考察、洽谈</w:t>
      </w:r>
      <w:r>
        <w:rPr>
          <w:rFonts w:ascii="Times New Roman" w:hAnsi="Times New Roman" w:eastAsia="仿宋_GB2312" w:cs="Times New Roman"/>
          <w:sz w:val="32"/>
          <w:szCs w:val="32"/>
        </w:rPr>
        <w:t>30</w:t>
      </w:r>
      <w:r>
        <w:rPr>
          <w:rFonts w:hint="eastAsia" w:ascii="Times New Roman" w:hAnsi="Times New Roman" w:eastAsia="仿宋_GB2312" w:cs="仿宋_GB2312"/>
          <w:sz w:val="32"/>
          <w:szCs w:val="32"/>
        </w:rPr>
        <w:t>余次，全年新洽谈利州区龙池山抽水蓄能、中国能建风电开发项目等项目</w:t>
      </w:r>
      <w:r>
        <w:rPr>
          <w:rFonts w:ascii="Times New Roman" w:hAnsi="Times New Roman" w:eastAsia="仿宋_GB2312" w:cs="Times New Roman"/>
          <w:sz w:val="32"/>
          <w:szCs w:val="32"/>
        </w:rPr>
        <w:t>11</w:t>
      </w:r>
      <w:r>
        <w:rPr>
          <w:rFonts w:hint="eastAsia" w:ascii="Times New Roman" w:hAnsi="Times New Roman" w:eastAsia="仿宋_GB2312" w:cs="仿宋_GB2312"/>
          <w:sz w:val="32"/>
          <w:szCs w:val="32"/>
        </w:rPr>
        <w:t>个，新签约中煤广元煤电一体化项目、宝珠寺</w:t>
      </w:r>
      <w:r>
        <w:rPr>
          <w:rFonts w:ascii="Times New Roman" w:hAnsi="Times New Roman" w:eastAsia="仿宋_GB2312" w:cs="Times New Roman"/>
          <w:sz w:val="32"/>
          <w:szCs w:val="32"/>
        </w:rPr>
        <w:t>“</w:t>
      </w:r>
      <w:r>
        <w:rPr>
          <w:rFonts w:hint="eastAsia" w:ascii="Times New Roman" w:hAnsi="Times New Roman" w:eastAsia="仿宋_GB2312" w:cs="仿宋_GB2312"/>
          <w:sz w:val="32"/>
          <w:szCs w:val="32"/>
        </w:rPr>
        <w:t>水风光储</w:t>
      </w:r>
      <w:r>
        <w:rPr>
          <w:rFonts w:ascii="Times New Roman" w:hAnsi="Times New Roman" w:eastAsia="仿宋_GB2312" w:cs="Times New Roman"/>
          <w:sz w:val="32"/>
          <w:szCs w:val="32"/>
        </w:rPr>
        <w:t>“</w:t>
      </w:r>
      <w:r>
        <w:rPr>
          <w:rFonts w:hint="eastAsia" w:ascii="Times New Roman" w:hAnsi="Times New Roman" w:eastAsia="仿宋_GB2312" w:cs="仿宋_GB2312"/>
          <w:sz w:val="32"/>
          <w:szCs w:val="32"/>
        </w:rPr>
        <w:t>多能互补综合能源示范项目、旺苍县茶光互补项目等项目</w:t>
      </w:r>
      <w:r>
        <w:rPr>
          <w:rFonts w:ascii="Times New Roman" w:hAnsi="Times New Roman" w:eastAsia="仿宋_GB2312" w:cs="Times New Roman"/>
          <w:sz w:val="32"/>
          <w:szCs w:val="32"/>
        </w:rPr>
        <w:t>16</w:t>
      </w:r>
      <w:r>
        <w:rPr>
          <w:rFonts w:hint="eastAsia" w:ascii="Times New Roman" w:hAnsi="Times New Roman" w:eastAsia="仿宋_GB2312" w:cs="仿宋_GB2312"/>
          <w:sz w:val="32"/>
          <w:szCs w:val="32"/>
        </w:rPr>
        <w:t>个、总投资</w:t>
      </w:r>
      <w:r>
        <w:rPr>
          <w:rFonts w:ascii="Times New Roman" w:hAnsi="Times New Roman" w:eastAsia="仿宋_GB2312" w:cs="Times New Roman"/>
          <w:sz w:val="32"/>
          <w:szCs w:val="32"/>
        </w:rPr>
        <w:t>475.55</w:t>
      </w:r>
      <w:r>
        <w:rPr>
          <w:rFonts w:hint="eastAsia" w:ascii="Times New Roman" w:hAnsi="Times New Roman" w:eastAsia="仿宋_GB2312" w:cs="仿宋_GB2312"/>
          <w:sz w:val="32"/>
          <w:szCs w:val="32"/>
        </w:rPr>
        <w:t>亿元。项目建设高效推进，新开工剑阁西庙、碗泉风电等项目</w:t>
      </w:r>
      <w:r>
        <w:rPr>
          <w:rFonts w:ascii="Times New Roman" w:hAnsi="Times New Roman" w:eastAsia="仿宋_GB2312" w:cs="Times New Roman"/>
          <w:sz w:val="32"/>
          <w:szCs w:val="32"/>
        </w:rPr>
        <w:t>22</w:t>
      </w:r>
      <w:r>
        <w:rPr>
          <w:rFonts w:hint="eastAsia" w:ascii="Times New Roman" w:hAnsi="Times New Roman" w:eastAsia="仿宋_GB2312" w:cs="仿宋_GB2312"/>
          <w:sz w:val="32"/>
          <w:szCs w:val="32"/>
        </w:rPr>
        <w:t>个、总投资</w:t>
      </w:r>
      <w:r>
        <w:rPr>
          <w:rFonts w:ascii="Times New Roman" w:hAnsi="Times New Roman" w:eastAsia="仿宋_GB2312" w:cs="Times New Roman"/>
          <w:sz w:val="32"/>
          <w:szCs w:val="32"/>
        </w:rPr>
        <w:t>126.27</w:t>
      </w:r>
      <w:r>
        <w:rPr>
          <w:rFonts w:hint="eastAsia" w:ascii="Times New Roman" w:hAnsi="Times New Roman" w:eastAsia="仿宋_GB2312" w:cs="仿宋_GB2312"/>
          <w:sz w:val="32"/>
          <w:szCs w:val="32"/>
        </w:rPr>
        <w:t>亿元，新竣工中贵线与元坝</w:t>
      </w:r>
      <w:r>
        <w:rPr>
          <w:rFonts w:ascii="Times New Roman" w:hAnsi="Times New Roman" w:eastAsia="仿宋_GB2312" w:cs="Times New Roman"/>
          <w:sz w:val="32"/>
          <w:szCs w:val="32"/>
        </w:rPr>
        <w:t>-</w:t>
      </w:r>
      <w:r>
        <w:rPr>
          <w:rFonts w:hint="eastAsia" w:ascii="Times New Roman" w:hAnsi="Times New Roman" w:eastAsia="仿宋_GB2312" w:cs="仿宋_GB2312"/>
          <w:sz w:val="32"/>
          <w:szCs w:val="32"/>
        </w:rPr>
        <w:t>普光联通工程等项目</w:t>
      </w:r>
      <w:r>
        <w:rPr>
          <w:rFonts w:ascii="Times New Roman" w:hAnsi="Times New Roman" w:eastAsia="仿宋_GB2312" w:cs="Times New Roman"/>
          <w:sz w:val="32"/>
          <w:szCs w:val="32"/>
        </w:rPr>
        <w:t>8</w:t>
      </w:r>
      <w:r>
        <w:rPr>
          <w:rFonts w:hint="eastAsia" w:ascii="Times New Roman" w:hAnsi="Times New Roman" w:eastAsia="仿宋_GB2312" w:cs="仿宋_GB2312"/>
          <w:sz w:val="32"/>
          <w:szCs w:val="32"/>
        </w:rPr>
        <w:t>个、总投资</w:t>
      </w:r>
      <w:r>
        <w:rPr>
          <w:rFonts w:ascii="Times New Roman" w:hAnsi="Times New Roman" w:eastAsia="仿宋_GB2312" w:cs="Times New Roman"/>
          <w:sz w:val="32"/>
          <w:szCs w:val="32"/>
        </w:rPr>
        <w:t>29.6</w:t>
      </w:r>
      <w:r>
        <w:rPr>
          <w:rFonts w:hint="eastAsia" w:ascii="Times New Roman" w:hAnsi="Times New Roman" w:eastAsia="仿宋_GB2312" w:cs="仿宋_GB2312"/>
          <w:sz w:val="32"/>
          <w:szCs w:val="32"/>
        </w:rPr>
        <w:t>亿元，盘活问题企业</w:t>
      </w:r>
      <w:r>
        <w:rPr>
          <w:rFonts w:ascii="Times New Roman" w:hAnsi="Times New Roman" w:eastAsia="仿宋_GB2312" w:cs="Times New Roman"/>
          <w:sz w:val="32"/>
          <w:szCs w:val="32"/>
        </w:rPr>
        <w:t>2</w:t>
      </w:r>
      <w:r>
        <w:rPr>
          <w:rFonts w:hint="eastAsia" w:ascii="Times New Roman" w:hAnsi="Times New Roman" w:eastAsia="仿宋_GB2312" w:cs="仿宋_GB2312"/>
          <w:sz w:val="32"/>
          <w:szCs w:val="32"/>
        </w:rPr>
        <w:t>个。中煤广元煤电一体化项目正式启动，广汇四川广元综合物流基地开工建设，四川能投广元燃机工程项目进入调试，百万千瓦风电基地基本建成。服务民生保障有力，</w:t>
      </w:r>
      <w:r>
        <w:rPr>
          <w:rFonts w:ascii="Times New Roman" w:hAnsi="Times New Roman" w:eastAsia="仿宋_GB2312" w:cs="Times New Roman"/>
          <w:sz w:val="32"/>
          <w:szCs w:val="32"/>
        </w:rPr>
        <w:t>2023</w:t>
      </w:r>
      <w:r>
        <w:rPr>
          <w:rFonts w:hint="eastAsia" w:ascii="Times New Roman" w:hAnsi="Times New Roman" w:eastAsia="仿宋_GB2312" w:cs="仿宋_GB2312"/>
          <w:sz w:val="32"/>
          <w:szCs w:val="32"/>
        </w:rPr>
        <w:t>年电网基建投资</w:t>
      </w:r>
      <w:r>
        <w:rPr>
          <w:rFonts w:ascii="Times New Roman" w:hAnsi="Times New Roman" w:eastAsia="仿宋_GB2312" w:cs="Times New Roman"/>
          <w:sz w:val="32"/>
          <w:szCs w:val="32"/>
        </w:rPr>
        <w:t>3.36</w:t>
      </w:r>
      <w:r>
        <w:rPr>
          <w:rFonts w:hint="eastAsia" w:ascii="Times New Roman" w:hAnsi="Times New Roman" w:eastAsia="仿宋_GB2312" w:cs="仿宋_GB2312"/>
          <w:sz w:val="32"/>
          <w:szCs w:val="32"/>
        </w:rPr>
        <w:t>亿元，建成公共充电站</w:t>
      </w:r>
      <w:r>
        <w:rPr>
          <w:rFonts w:ascii="Times New Roman" w:hAnsi="Times New Roman" w:eastAsia="仿宋_GB2312" w:cs="Times New Roman"/>
          <w:sz w:val="32"/>
          <w:szCs w:val="32"/>
        </w:rPr>
        <w:t>232</w:t>
      </w:r>
      <w:r>
        <w:rPr>
          <w:rFonts w:hint="eastAsia" w:ascii="Times New Roman" w:hAnsi="Times New Roman" w:eastAsia="仿宋_GB2312" w:cs="仿宋_GB2312"/>
          <w:sz w:val="32"/>
          <w:szCs w:val="32"/>
        </w:rPr>
        <w:t>座、专用充电站</w:t>
      </w:r>
      <w:r>
        <w:rPr>
          <w:rFonts w:ascii="Times New Roman" w:hAnsi="Times New Roman" w:eastAsia="仿宋_GB2312" w:cs="Times New Roman"/>
          <w:sz w:val="32"/>
          <w:szCs w:val="32"/>
        </w:rPr>
        <w:t>18</w:t>
      </w:r>
      <w:r>
        <w:rPr>
          <w:rFonts w:hint="eastAsia" w:ascii="Times New Roman" w:hAnsi="Times New Roman" w:eastAsia="仿宋_GB2312" w:cs="仿宋_GB2312"/>
          <w:sz w:val="32"/>
          <w:szCs w:val="32"/>
        </w:rPr>
        <w:t>座，乡镇通气率达</w:t>
      </w:r>
      <w:r>
        <w:rPr>
          <w:rFonts w:ascii="Times New Roman" w:hAnsi="Times New Roman" w:eastAsia="仿宋_GB2312" w:cs="Times New Roman"/>
          <w:sz w:val="32"/>
          <w:szCs w:val="32"/>
        </w:rPr>
        <w:t>90.8%</w:t>
      </w:r>
      <w:r>
        <w:rPr>
          <w:rFonts w:hint="eastAsia" w:ascii="Times New Roman" w:hAnsi="Times New Roman" w:eastAsia="仿宋_GB2312" w:cs="仿宋_GB2312"/>
          <w:sz w:val="32"/>
          <w:szCs w:val="32"/>
        </w:rPr>
        <w:t>。</w:t>
      </w:r>
      <w:r>
        <w:rPr>
          <w:rFonts w:hint="eastAsia" w:ascii="仿宋_GB2312" w:hAnsi="仿宋_GB2312" w:eastAsia="仿宋_GB2312" w:cs="仿宋_GB2312"/>
          <w:sz w:val="32"/>
          <w:szCs w:val="32"/>
        </w:rPr>
        <w:t>绩效分析得分</w:t>
      </w:r>
      <w:r>
        <w:rPr>
          <w:rFonts w:ascii="仿宋_GB2312" w:hAnsi="仿宋_GB2312" w:eastAsia="仿宋_GB2312" w:cs="仿宋_GB2312"/>
          <w:sz w:val="32"/>
          <w:szCs w:val="32"/>
        </w:rPr>
        <w:t>30</w:t>
      </w:r>
      <w:r>
        <w:rPr>
          <w:rFonts w:hint="eastAsia" w:ascii="仿宋_GB2312" w:hAnsi="仿宋_GB2312" w:eastAsia="仿宋_GB2312" w:cs="仿宋_GB2312"/>
          <w:sz w:val="32"/>
          <w:szCs w:val="32"/>
        </w:rPr>
        <w:t>分。</w:t>
      </w:r>
    </w:p>
    <w:p w14:paraId="1D2EA9DF">
      <w:pPr>
        <w:spacing w:line="578" w:lineRule="exact"/>
        <w:ind w:firstLine="640"/>
        <w:rPr>
          <w:rFonts w:ascii="Times New Roman" w:hAnsi="Times New Roman" w:eastAsia="仿宋_GB2312" w:cs="Times New Roman"/>
          <w:sz w:val="32"/>
          <w:szCs w:val="32"/>
        </w:rPr>
      </w:pPr>
      <w:r>
        <w:rPr>
          <w:rFonts w:hint="eastAsia" w:ascii="楷体_GB2312" w:hAnsi="宋体" w:eastAsia="楷体_GB2312" w:cs="楷体_GB2312"/>
          <w:b/>
          <w:bCs/>
          <w:sz w:val="32"/>
          <w:szCs w:val="32"/>
          <w:lang w:val="zh-CN"/>
        </w:rPr>
        <w:t>（三）</w:t>
      </w:r>
      <w:r>
        <w:rPr>
          <w:rFonts w:hint="eastAsia" w:ascii="楷体_GB2312" w:hAnsi="宋体" w:eastAsia="楷体_GB2312" w:cs="楷体_GB2312"/>
          <w:b/>
          <w:bCs/>
          <w:sz w:val="32"/>
          <w:szCs w:val="32"/>
        </w:rPr>
        <w:t>个性指标</w:t>
      </w:r>
      <w:r>
        <w:rPr>
          <w:rFonts w:hint="eastAsia" w:ascii="Times New Roman" w:hAnsi="Times New Roman" w:eastAsia="楷体_GB2312" w:cs="楷体_GB2312"/>
          <w:b/>
          <w:bCs/>
          <w:color w:val="000000"/>
          <w:kern w:val="0"/>
          <w:sz w:val="32"/>
          <w:szCs w:val="32"/>
          <w:shd w:val="clear" w:color="auto" w:fill="FFFFFF"/>
          <w:lang w:val="zh-CN"/>
        </w:rPr>
        <w:t>绩效分析。</w:t>
      </w:r>
      <w:r>
        <w:rPr>
          <w:rFonts w:hint="eastAsia" w:ascii="Times New Roman" w:hAnsi="Times New Roman" w:eastAsia="仿宋_GB2312" w:cs="仿宋_GB2312"/>
          <w:sz w:val="32"/>
          <w:szCs w:val="32"/>
        </w:rPr>
        <w:t>专班高效运行，制定专班工作机制及运行方案，完成能源产业规划、产业政策、产业链发展图谱和全市重点能源产业项目梳理，每月定期召开专班调度研究解决困难问题，专班获工业领域年度“流动红旗”第一名。</w:t>
      </w:r>
      <w:r>
        <w:rPr>
          <w:rFonts w:hint="eastAsia" w:ascii="仿宋_GB2312" w:hAnsi="仿宋_GB2312" w:eastAsia="仿宋_GB2312" w:cs="仿宋_GB2312"/>
          <w:sz w:val="32"/>
          <w:szCs w:val="32"/>
        </w:rPr>
        <w:t>绩效分析得分</w:t>
      </w:r>
      <w:r>
        <w:rPr>
          <w:rFonts w:ascii="仿宋_GB2312" w:hAnsi="仿宋_GB2312" w:eastAsia="仿宋_GB2312" w:cs="仿宋_GB2312"/>
          <w:sz w:val="32"/>
          <w:szCs w:val="32"/>
        </w:rPr>
        <w:t>16</w:t>
      </w:r>
      <w:r>
        <w:rPr>
          <w:rFonts w:hint="eastAsia" w:ascii="仿宋_GB2312" w:hAnsi="仿宋_GB2312" w:eastAsia="仿宋_GB2312" w:cs="仿宋_GB2312"/>
          <w:sz w:val="32"/>
          <w:szCs w:val="32"/>
        </w:rPr>
        <w:t>分。</w:t>
      </w:r>
    </w:p>
    <w:p w14:paraId="75D47442">
      <w:pPr>
        <w:widowControl/>
        <w:spacing w:line="600" w:lineRule="exact"/>
        <w:ind w:firstLine="640" w:firstLineChars="200"/>
        <w:jc w:val="left"/>
        <w:rPr>
          <w:rFonts w:ascii="黑体" w:hAnsi="宋体" w:eastAsia="黑体" w:cs="Times New Roman"/>
          <w:kern w:val="0"/>
          <w:position w:val="3"/>
          <w:sz w:val="32"/>
          <w:szCs w:val="32"/>
          <w:lang w:val="en-US" w:eastAsia="zh-CN" w:bidi="ar-SA"/>
        </w:rPr>
      </w:pPr>
      <w:r>
        <w:rPr>
          <w:rFonts w:hint="eastAsia" w:ascii="黑体" w:hAnsi="宋体" w:eastAsia="黑体" w:cs="黑体"/>
          <w:kern w:val="0"/>
          <w:position w:val="3"/>
          <w:sz w:val="32"/>
          <w:szCs w:val="32"/>
          <w:lang w:val="en-US" w:eastAsia="zh-CN" w:bidi="ar-SA"/>
        </w:rPr>
        <w:t>四、评价结论</w:t>
      </w:r>
    </w:p>
    <w:p w14:paraId="28CB742C">
      <w:pPr>
        <w:widowControl/>
        <w:spacing w:line="600" w:lineRule="exact"/>
        <w:ind w:firstLine="640" w:firstLineChars="200"/>
        <w:jc w:val="left"/>
        <w:rPr>
          <w:rFonts w:ascii="Times New Roman" w:hAnsi="Times New Roman" w:eastAsia="仿宋_GB2312" w:cs="Times New Roman"/>
          <w:kern w:val="0"/>
          <w:position w:val="3"/>
          <w:sz w:val="32"/>
          <w:szCs w:val="32"/>
          <w:lang w:val="en-US" w:eastAsia="zh-CN" w:bidi="ar-SA"/>
        </w:rPr>
      </w:pPr>
      <w:r>
        <w:rPr>
          <w:rFonts w:hint="eastAsia" w:ascii="仿宋_GB2312" w:hAnsi="仿宋_GB2312" w:eastAsia="仿宋_GB2312" w:cs="仿宋_GB2312"/>
          <w:kern w:val="0"/>
          <w:position w:val="0"/>
          <w:sz w:val="32"/>
          <w:szCs w:val="32"/>
          <w:lang w:val="en-US" w:eastAsia="zh-CN" w:bidi="ar-SA"/>
        </w:rPr>
        <w:t>项目评价总分</w:t>
      </w:r>
      <w:r>
        <w:rPr>
          <w:rFonts w:ascii="仿宋_GB2312" w:hAnsi="仿宋_GB2312" w:eastAsia="仿宋_GB2312" w:cs="仿宋_GB2312"/>
          <w:kern w:val="0"/>
          <w:position w:val="0"/>
          <w:sz w:val="32"/>
          <w:szCs w:val="32"/>
          <w:lang w:val="en-US" w:eastAsia="zh-CN" w:bidi="ar-SA"/>
        </w:rPr>
        <w:t>100</w:t>
      </w:r>
      <w:r>
        <w:rPr>
          <w:rFonts w:hint="eastAsia" w:ascii="仿宋_GB2312" w:hAnsi="仿宋_GB2312" w:eastAsia="仿宋_GB2312" w:cs="仿宋_GB2312"/>
          <w:kern w:val="0"/>
          <w:position w:val="0"/>
          <w:sz w:val="32"/>
          <w:szCs w:val="32"/>
          <w:lang w:val="en-US" w:eastAsia="zh-CN" w:bidi="ar-SA"/>
        </w:rPr>
        <w:t>分，</w:t>
      </w:r>
      <w:r>
        <w:rPr>
          <w:rFonts w:hint="eastAsia" w:ascii="Times New Roman" w:hAnsi="Times New Roman" w:eastAsia="仿宋_GB2312" w:cs="仿宋_GB2312"/>
          <w:kern w:val="0"/>
          <w:position w:val="3"/>
          <w:sz w:val="32"/>
          <w:szCs w:val="32"/>
          <w:lang w:val="en-US" w:eastAsia="zh-CN" w:bidi="ar-SA"/>
        </w:rPr>
        <w:t>项目决策程序严密、项目规划论证符合国家项目建设管理要求，项目绩效目标设置科学合理、项目资金与项目总体规划、相关行业事业发展相匹配，聚焦重大任务、重点领域、重点环节和重点项目。</w:t>
      </w:r>
    </w:p>
    <w:p w14:paraId="2C01DA3D">
      <w:pPr>
        <w:widowControl/>
        <w:spacing w:line="600" w:lineRule="exact"/>
        <w:ind w:firstLine="640" w:firstLineChars="200"/>
        <w:jc w:val="left"/>
        <w:rPr>
          <w:rFonts w:ascii="黑体" w:hAnsi="宋体" w:eastAsia="黑体" w:cs="Times New Roman"/>
          <w:kern w:val="0"/>
          <w:position w:val="3"/>
          <w:sz w:val="32"/>
          <w:szCs w:val="32"/>
          <w:lang w:val="en-US" w:eastAsia="zh-CN" w:bidi="ar-SA"/>
        </w:rPr>
      </w:pPr>
      <w:r>
        <w:rPr>
          <w:rFonts w:hint="eastAsia" w:ascii="黑体" w:hAnsi="宋体" w:eastAsia="黑体" w:cs="黑体"/>
          <w:kern w:val="0"/>
          <w:position w:val="3"/>
          <w:sz w:val="32"/>
          <w:szCs w:val="32"/>
          <w:lang w:val="en-US" w:eastAsia="zh-CN" w:bidi="ar-SA"/>
        </w:rPr>
        <w:t>五、存在主要问题</w:t>
      </w:r>
    </w:p>
    <w:p w14:paraId="661468FA">
      <w:pPr>
        <w:widowControl/>
        <w:spacing w:line="600" w:lineRule="exact"/>
        <w:ind w:firstLine="640" w:firstLineChars="200"/>
        <w:jc w:val="left"/>
        <w:rPr>
          <w:rFonts w:ascii="仿宋_GB2312" w:hAnsi="仿宋_GB2312" w:eastAsia="仿宋_GB2312" w:cs="Times New Roman"/>
          <w:kern w:val="0"/>
          <w:position w:val="0"/>
          <w:sz w:val="32"/>
          <w:szCs w:val="32"/>
          <w:lang w:val="en-US" w:eastAsia="zh-CN" w:bidi="ar-SA"/>
        </w:rPr>
      </w:pPr>
      <w:r>
        <w:rPr>
          <w:rFonts w:hint="eastAsia" w:ascii="仿宋_GB2312" w:hAnsi="仿宋_GB2312" w:eastAsia="仿宋_GB2312" w:cs="仿宋_GB2312"/>
          <w:kern w:val="0"/>
          <w:position w:val="0"/>
          <w:sz w:val="32"/>
          <w:szCs w:val="32"/>
          <w:lang w:val="en-US" w:eastAsia="zh-CN" w:bidi="ar-SA"/>
        </w:rPr>
        <w:t>无</w:t>
      </w:r>
    </w:p>
    <w:p w14:paraId="35268872">
      <w:pPr>
        <w:widowControl/>
        <w:spacing w:line="600" w:lineRule="exact"/>
        <w:ind w:firstLine="640" w:firstLineChars="200"/>
        <w:jc w:val="left"/>
        <w:rPr>
          <w:rFonts w:ascii="黑体" w:hAnsi="宋体" w:eastAsia="黑体" w:cs="Times New Roman"/>
          <w:kern w:val="0"/>
          <w:position w:val="3"/>
          <w:sz w:val="32"/>
          <w:szCs w:val="32"/>
          <w:lang w:val="zh-CN" w:eastAsia="zh-CN" w:bidi="ar-SA"/>
        </w:rPr>
      </w:pPr>
      <w:r>
        <w:rPr>
          <w:rFonts w:hint="eastAsia" w:ascii="黑体" w:hAnsi="宋体" w:eastAsia="黑体" w:cs="黑体"/>
          <w:kern w:val="0"/>
          <w:position w:val="3"/>
          <w:sz w:val="32"/>
          <w:szCs w:val="32"/>
          <w:lang w:val="zh-CN" w:eastAsia="zh-CN" w:bidi="ar-SA"/>
        </w:rPr>
        <w:t>六、改进建议</w:t>
      </w:r>
    </w:p>
    <w:p w14:paraId="334784FE">
      <w:pPr>
        <w:tabs>
          <w:tab w:val="left" w:pos="1911"/>
        </w:tabs>
        <w:ind w:firstLine="645"/>
        <w:jc w:val="left"/>
        <w:rPr>
          <w:rFonts w:ascii="Arial" w:hAnsi="Arial" w:eastAsia="黑体" w:cs="Times New Roman"/>
          <w:b/>
          <w:bCs/>
          <w:kern w:val="2"/>
          <w:sz w:val="24"/>
          <w:szCs w:val="24"/>
          <w:lang w:val="en-US" w:eastAsia="zh-CN" w:bidi="ar-SA"/>
        </w:rPr>
      </w:pPr>
      <w:r>
        <w:rPr>
          <w:rFonts w:hint="eastAsia" w:ascii="仿宋_GB2312" w:hAnsi="仿宋_GB2312" w:eastAsia="仿宋_GB2312" w:cs="仿宋_GB2312"/>
          <w:kern w:val="0"/>
          <w:sz w:val="32"/>
          <w:szCs w:val="32"/>
        </w:rPr>
        <w:t>无</w:t>
      </w:r>
    </w:p>
    <w:p w14:paraId="56EB40F9">
      <w:pPr>
        <w:snapToGrid w:val="0"/>
        <w:spacing w:line="578" w:lineRule="exact"/>
        <w:ind w:firstLine="640" w:firstLineChars="200"/>
        <w:rPr>
          <w:rFonts w:ascii="Times New Roman" w:hAnsi="Times New Roman" w:eastAsia="仿宋_GB2312" w:cs="Times New Roman"/>
          <w:color w:val="000000"/>
          <w:kern w:val="0"/>
          <w:sz w:val="32"/>
          <w:szCs w:val="32"/>
          <w:shd w:val="clear" w:color="auto" w:fill="FFFFFF"/>
        </w:rPr>
      </w:pPr>
      <w:r>
        <w:rPr>
          <w:rFonts w:hint="eastAsia" w:ascii="Times New Roman" w:hAnsi="Times New Roman" w:eastAsia="仿宋_GB2312" w:cs="仿宋_GB2312"/>
          <w:color w:val="000000"/>
          <w:kern w:val="0"/>
          <w:sz w:val="32"/>
          <w:szCs w:val="32"/>
          <w:shd w:val="clear" w:color="auto" w:fill="FFFFFF"/>
        </w:rPr>
        <w:t>附表：</w:t>
      </w:r>
      <w:r>
        <w:rPr>
          <w:rFonts w:ascii="Times New Roman" w:hAnsi="Times New Roman" w:eastAsia="仿宋_GB2312" w:cs="Times New Roman"/>
          <w:color w:val="000000"/>
          <w:kern w:val="0"/>
          <w:sz w:val="32"/>
          <w:szCs w:val="32"/>
          <w:shd w:val="clear" w:color="auto" w:fill="FFFFFF"/>
        </w:rPr>
        <w:t>1.</w:t>
      </w:r>
      <w:r>
        <w:rPr>
          <w:rFonts w:hint="eastAsia" w:ascii="Times New Roman" w:hAnsi="Times New Roman" w:eastAsia="仿宋_GB2312" w:cs="仿宋_GB2312"/>
          <w:color w:val="000000"/>
          <w:kern w:val="0"/>
          <w:sz w:val="32"/>
          <w:szCs w:val="32"/>
          <w:shd w:val="clear" w:color="auto" w:fill="FFFFFF"/>
        </w:rPr>
        <w:t>项目资金分配涉及所有点位自评得分情况表</w:t>
      </w:r>
    </w:p>
    <w:p w14:paraId="0C882D50">
      <w:pPr>
        <w:snapToGrid w:val="0"/>
        <w:spacing w:line="578" w:lineRule="exact"/>
        <w:ind w:firstLine="1600" w:firstLineChars="500"/>
        <w:rPr>
          <w:rFonts w:ascii="Times New Roman" w:hAnsi="Times New Roman" w:eastAsia="仿宋_GB2312" w:cs="Times New Roman"/>
          <w:color w:val="000000"/>
          <w:kern w:val="0"/>
          <w:sz w:val="32"/>
          <w:szCs w:val="32"/>
          <w:shd w:val="clear" w:color="auto" w:fill="FFFFFF"/>
        </w:rPr>
      </w:pPr>
      <w:r>
        <w:rPr>
          <w:rFonts w:ascii="Times New Roman" w:hAnsi="Times New Roman" w:eastAsia="仿宋_GB2312" w:cs="Times New Roman"/>
          <w:color w:val="000000"/>
          <w:kern w:val="0"/>
          <w:sz w:val="32"/>
          <w:szCs w:val="32"/>
          <w:shd w:val="clear" w:color="auto" w:fill="FFFFFF"/>
        </w:rPr>
        <w:t>2.</w:t>
      </w:r>
      <w:r>
        <w:rPr>
          <w:rFonts w:hint="eastAsia" w:ascii="Times New Roman" w:hAnsi="Times New Roman" w:eastAsia="仿宋_GB2312" w:cs="仿宋_GB2312"/>
          <w:color w:val="000000"/>
          <w:kern w:val="0"/>
          <w:sz w:val="32"/>
          <w:szCs w:val="32"/>
          <w:shd w:val="clear" w:color="auto" w:fill="FFFFFF"/>
        </w:rPr>
        <w:t>专项预算项目绩效目标完成情况自评表</w:t>
      </w:r>
    </w:p>
    <w:p w14:paraId="29969884">
      <w:pPr>
        <w:snapToGrid w:val="0"/>
        <w:spacing w:line="578" w:lineRule="exact"/>
        <w:rPr>
          <w:rFonts w:ascii="黑体" w:hAnsi="黑体" w:eastAsia="黑体" w:cs="Times New Roman"/>
          <w:kern w:val="0"/>
          <w:sz w:val="32"/>
          <w:szCs w:val="32"/>
          <w:shd w:val="clear" w:color="auto" w:fill="FFFFFF"/>
          <w:lang w:val="zh-CN"/>
        </w:rPr>
      </w:pPr>
      <w:r>
        <w:rPr>
          <w:rFonts w:ascii="Times New Roman" w:hAnsi="Times New Roman" w:eastAsia="仿宋_GB2312" w:cs="Times New Roman"/>
          <w:color w:val="000000"/>
          <w:kern w:val="0"/>
          <w:sz w:val="32"/>
          <w:szCs w:val="32"/>
          <w:shd w:val="clear" w:color="auto" w:fill="FFFFFF"/>
          <w:lang w:val="zh-CN"/>
        </w:rPr>
        <w:br w:type="page"/>
      </w:r>
      <w:r>
        <w:rPr>
          <w:rFonts w:hint="eastAsia" w:ascii="黑体" w:hAnsi="黑体" w:eastAsia="黑体" w:cs="黑体"/>
          <w:kern w:val="0"/>
          <w:sz w:val="32"/>
          <w:szCs w:val="32"/>
          <w:shd w:val="clear" w:color="auto" w:fill="FFFFFF"/>
          <w:lang w:val="zh-CN"/>
        </w:rPr>
        <w:t>附表</w:t>
      </w:r>
      <w:r>
        <w:rPr>
          <w:rFonts w:ascii="黑体" w:hAnsi="黑体" w:eastAsia="黑体" w:cs="黑体"/>
          <w:kern w:val="0"/>
          <w:sz w:val="32"/>
          <w:szCs w:val="32"/>
          <w:shd w:val="clear" w:color="auto" w:fill="FFFFFF"/>
        </w:rPr>
        <w:t>1</w:t>
      </w:r>
    </w:p>
    <w:p w14:paraId="58407088">
      <w:pPr>
        <w:spacing w:line="578" w:lineRule="exact"/>
        <w:jc w:val="center"/>
        <w:rPr>
          <w:rFonts w:ascii="方正小标宋_GBK" w:hAnsi="方正小标宋_GBK" w:eastAsia="方正小标宋_GBK" w:cs="Times New Roman"/>
          <w:sz w:val="40"/>
          <w:szCs w:val="40"/>
        </w:rPr>
      </w:pPr>
      <w:r>
        <w:rPr>
          <w:rFonts w:hint="eastAsia" w:ascii="方正小标宋_GBK" w:hAnsi="方正小标宋_GBK" w:eastAsia="方正小标宋_GBK" w:cs="方正小标宋_GBK"/>
          <w:sz w:val="40"/>
          <w:szCs w:val="40"/>
        </w:rPr>
        <w:t>项目资金分配涉及所有点位自评得分情况表</w:t>
      </w:r>
    </w:p>
    <w:tbl>
      <w:tblPr>
        <w:tblStyle w:val="20"/>
        <w:tblW w:w="88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23"/>
        <w:gridCol w:w="3843"/>
        <w:gridCol w:w="2861"/>
        <w:gridCol w:w="993"/>
      </w:tblGrid>
      <w:tr w14:paraId="28FA4E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tcPr>
          <w:p w14:paraId="36C3A4E3">
            <w:pPr>
              <w:keepNext w:val="0"/>
              <w:keepLines w:val="0"/>
              <w:suppressLineNumbers w:val="0"/>
              <w:spacing w:before="0" w:beforeAutospacing="0" w:after="0" w:afterAutospacing="0" w:line="300" w:lineRule="exact"/>
              <w:ind w:left="0" w:right="0"/>
              <w:jc w:val="center"/>
              <w:rPr>
                <w:rFonts w:hint="default" w:ascii="黑体" w:hAnsi="黑体" w:eastAsia="黑体" w:cs="Times New Roman"/>
                <w:sz w:val="24"/>
                <w:szCs w:val="24"/>
              </w:rPr>
            </w:pPr>
            <w:r>
              <w:rPr>
                <w:rFonts w:hint="eastAsia" w:ascii="黑体" w:hAnsi="黑体" w:eastAsia="黑体" w:cs="黑体"/>
                <w:sz w:val="24"/>
                <w:szCs w:val="24"/>
              </w:rPr>
              <w:t>序号</w:t>
            </w:r>
          </w:p>
        </w:tc>
        <w:tc>
          <w:tcPr>
            <w:tcW w:w="3843" w:type="dxa"/>
          </w:tcPr>
          <w:p w14:paraId="1A181286">
            <w:pPr>
              <w:keepNext w:val="0"/>
              <w:keepLines w:val="0"/>
              <w:suppressLineNumbers w:val="0"/>
              <w:spacing w:before="0" w:beforeAutospacing="0" w:after="0" w:afterAutospacing="0" w:line="300" w:lineRule="exact"/>
              <w:ind w:left="0" w:right="0"/>
              <w:jc w:val="center"/>
              <w:rPr>
                <w:rFonts w:hint="default" w:ascii="黑体" w:hAnsi="黑体" w:eastAsia="黑体" w:cs="Times New Roman"/>
                <w:sz w:val="24"/>
                <w:szCs w:val="24"/>
              </w:rPr>
            </w:pPr>
            <w:r>
              <w:rPr>
                <w:rFonts w:hint="eastAsia" w:ascii="黑体" w:hAnsi="黑体" w:eastAsia="黑体" w:cs="黑体"/>
                <w:sz w:val="24"/>
                <w:szCs w:val="24"/>
              </w:rPr>
              <w:t>项目资金末端分配点位</w:t>
            </w:r>
          </w:p>
        </w:tc>
        <w:tc>
          <w:tcPr>
            <w:tcW w:w="2861" w:type="dxa"/>
          </w:tcPr>
          <w:p w14:paraId="2A2634FA">
            <w:pPr>
              <w:keepNext w:val="0"/>
              <w:keepLines w:val="0"/>
              <w:suppressLineNumbers w:val="0"/>
              <w:spacing w:before="0" w:beforeAutospacing="0" w:after="0" w:afterAutospacing="0" w:line="300" w:lineRule="exact"/>
              <w:ind w:left="0" w:right="0"/>
              <w:jc w:val="center"/>
              <w:rPr>
                <w:rFonts w:hint="default" w:ascii="黑体" w:hAnsi="黑体" w:eastAsia="黑体" w:cs="Times New Roman"/>
                <w:sz w:val="24"/>
                <w:szCs w:val="24"/>
              </w:rPr>
            </w:pPr>
            <w:r>
              <w:rPr>
                <w:rFonts w:hint="eastAsia" w:ascii="黑体" w:hAnsi="黑体" w:eastAsia="黑体" w:cs="黑体"/>
                <w:sz w:val="24"/>
                <w:szCs w:val="24"/>
              </w:rPr>
              <w:t>自评得分（百分制）</w:t>
            </w:r>
          </w:p>
        </w:tc>
        <w:tc>
          <w:tcPr>
            <w:tcW w:w="993" w:type="dxa"/>
          </w:tcPr>
          <w:p w14:paraId="14CD1935">
            <w:pPr>
              <w:keepNext w:val="0"/>
              <w:keepLines w:val="0"/>
              <w:suppressLineNumbers w:val="0"/>
              <w:spacing w:before="0" w:beforeAutospacing="0" w:after="0" w:afterAutospacing="0" w:line="300" w:lineRule="exact"/>
              <w:ind w:left="0" w:right="0"/>
              <w:jc w:val="center"/>
              <w:rPr>
                <w:rFonts w:hint="default" w:ascii="黑体" w:hAnsi="黑体" w:eastAsia="黑体" w:cs="Times New Roman"/>
                <w:sz w:val="24"/>
                <w:szCs w:val="24"/>
              </w:rPr>
            </w:pPr>
            <w:r>
              <w:rPr>
                <w:rFonts w:hint="eastAsia" w:ascii="黑体" w:hAnsi="黑体" w:eastAsia="黑体" w:cs="黑体"/>
                <w:sz w:val="24"/>
                <w:szCs w:val="24"/>
              </w:rPr>
              <w:t>备注</w:t>
            </w:r>
          </w:p>
        </w:tc>
      </w:tr>
      <w:tr w14:paraId="526625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tcPr>
          <w:p w14:paraId="4327573B">
            <w:pPr>
              <w:keepNext w:val="0"/>
              <w:keepLines w:val="0"/>
              <w:suppressLineNumbers w:val="0"/>
              <w:spacing w:before="0" w:beforeAutospacing="0" w:after="0" w:afterAutospacing="0" w:line="300" w:lineRule="exact"/>
              <w:ind w:left="0" w:right="0"/>
              <w:jc w:val="center"/>
              <w:rPr>
                <w:rFonts w:hint="default" w:ascii="宋体" w:hAnsi="宋体" w:eastAsia="宋体" w:cs="宋体"/>
                <w:sz w:val="24"/>
                <w:szCs w:val="24"/>
              </w:rPr>
            </w:pPr>
            <w:r>
              <w:rPr>
                <w:rFonts w:hint="default" w:ascii="宋体" w:hAnsi="宋体" w:eastAsia="宋体" w:cs="宋体"/>
                <w:sz w:val="24"/>
                <w:szCs w:val="24"/>
              </w:rPr>
              <w:t>1</w:t>
            </w:r>
          </w:p>
        </w:tc>
        <w:tc>
          <w:tcPr>
            <w:tcW w:w="3843" w:type="dxa"/>
          </w:tcPr>
          <w:p w14:paraId="7A1B2B30">
            <w:pPr>
              <w:keepNext w:val="0"/>
              <w:keepLines w:val="0"/>
              <w:suppressLineNumbers w:val="0"/>
              <w:spacing w:before="0" w:beforeAutospacing="0" w:after="0" w:afterAutospacing="0" w:line="300" w:lineRule="exact"/>
              <w:ind w:left="0" w:right="0"/>
              <w:rPr>
                <w:rFonts w:hint="default" w:ascii="宋体" w:hAnsi="Times New Roman" w:eastAsia="宋体" w:cs="Times New Roman"/>
                <w:sz w:val="24"/>
                <w:szCs w:val="24"/>
              </w:rPr>
            </w:pPr>
            <w:r>
              <w:rPr>
                <w:rFonts w:hint="eastAsia" w:ascii="宋体" w:hAnsi="Times New Roman" w:eastAsia="宋体" w:cs="宋体"/>
                <w:sz w:val="24"/>
                <w:szCs w:val="24"/>
              </w:rPr>
              <w:t>市发展改革委</w:t>
            </w:r>
          </w:p>
        </w:tc>
        <w:tc>
          <w:tcPr>
            <w:tcW w:w="2861" w:type="dxa"/>
          </w:tcPr>
          <w:p w14:paraId="409542D6">
            <w:pPr>
              <w:keepNext w:val="0"/>
              <w:keepLines w:val="0"/>
              <w:suppressLineNumbers w:val="0"/>
              <w:spacing w:before="0" w:beforeAutospacing="0" w:after="0" w:afterAutospacing="0" w:line="300" w:lineRule="exact"/>
              <w:ind w:left="0" w:right="0"/>
              <w:rPr>
                <w:rFonts w:hint="default" w:ascii="宋体" w:hAnsi="Times New Roman" w:eastAsia="宋体" w:cs="Times New Roman"/>
                <w:sz w:val="24"/>
                <w:szCs w:val="24"/>
              </w:rPr>
            </w:pPr>
            <w:r>
              <w:rPr>
                <w:rFonts w:hint="default" w:ascii="宋体" w:hAnsi="Times New Roman" w:eastAsia="宋体" w:cs="宋体"/>
                <w:sz w:val="24"/>
                <w:szCs w:val="24"/>
              </w:rPr>
              <w:t>100</w:t>
            </w:r>
          </w:p>
        </w:tc>
        <w:tc>
          <w:tcPr>
            <w:tcW w:w="993" w:type="dxa"/>
          </w:tcPr>
          <w:p w14:paraId="274C5449">
            <w:pPr>
              <w:keepNext w:val="0"/>
              <w:keepLines w:val="0"/>
              <w:suppressLineNumbers w:val="0"/>
              <w:spacing w:before="0" w:beforeAutospacing="0" w:after="0" w:afterAutospacing="0" w:line="300" w:lineRule="exact"/>
              <w:ind w:left="0" w:right="0"/>
              <w:rPr>
                <w:rFonts w:hint="default" w:ascii="宋体" w:hAnsi="Times New Roman" w:eastAsia="宋体" w:cs="Times New Roman"/>
                <w:sz w:val="24"/>
                <w:szCs w:val="24"/>
              </w:rPr>
            </w:pPr>
          </w:p>
        </w:tc>
      </w:tr>
      <w:tr w14:paraId="4ED373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tcPr>
          <w:p w14:paraId="6087D842">
            <w:pPr>
              <w:keepNext w:val="0"/>
              <w:keepLines w:val="0"/>
              <w:suppressLineNumbers w:val="0"/>
              <w:spacing w:before="0" w:beforeAutospacing="0" w:after="0" w:afterAutospacing="0" w:line="300" w:lineRule="exact"/>
              <w:ind w:left="0" w:right="0"/>
              <w:jc w:val="center"/>
              <w:rPr>
                <w:rFonts w:hint="default" w:ascii="宋体" w:hAnsi="宋体" w:eastAsia="宋体" w:cs="宋体"/>
                <w:sz w:val="24"/>
                <w:szCs w:val="24"/>
              </w:rPr>
            </w:pPr>
            <w:r>
              <w:rPr>
                <w:rFonts w:hint="default" w:ascii="宋体" w:hAnsi="宋体" w:eastAsia="宋体" w:cs="宋体"/>
                <w:sz w:val="24"/>
                <w:szCs w:val="24"/>
              </w:rPr>
              <w:t>2</w:t>
            </w:r>
          </w:p>
        </w:tc>
        <w:tc>
          <w:tcPr>
            <w:tcW w:w="3843" w:type="dxa"/>
          </w:tcPr>
          <w:p w14:paraId="07281299">
            <w:pPr>
              <w:keepNext w:val="0"/>
              <w:keepLines w:val="0"/>
              <w:suppressLineNumbers w:val="0"/>
              <w:spacing w:before="0" w:beforeAutospacing="0" w:after="0" w:afterAutospacing="0" w:line="300" w:lineRule="exact"/>
              <w:ind w:left="0" w:right="0"/>
              <w:rPr>
                <w:rFonts w:hint="default" w:ascii="宋体" w:hAnsi="Times New Roman" w:eastAsia="宋体" w:cs="Times New Roman"/>
                <w:sz w:val="24"/>
                <w:szCs w:val="24"/>
              </w:rPr>
            </w:pPr>
          </w:p>
        </w:tc>
        <w:tc>
          <w:tcPr>
            <w:tcW w:w="2861" w:type="dxa"/>
          </w:tcPr>
          <w:p w14:paraId="5A02A94B">
            <w:pPr>
              <w:keepNext w:val="0"/>
              <w:keepLines w:val="0"/>
              <w:suppressLineNumbers w:val="0"/>
              <w:spacing w:before="0" w:beforeAutospacing="0" w:after="0" w:afterAutospacing="0" w:line="300" w:lineRule="exact"/>
              <w:ind w:left="0" w:right="0"/>
              <w:rPr>
                <w:rFonts w:hint="default" w:ascii="宋体" w:hAnsi="Times New Roman" w:eastAsia="宋体" w:cs="Times New Roman"/>
                <w:sz w:val="24"/>
                <w:szCs w:val="24"/>
              </w:rPr>
            </w:pPr>
          </w:p>
        </w:tc>
        <w:tc>
          <w:tcPr>
            <w:tcW w:w="993" w:type="dxa"/>
          </w:tcPr>
          <w:p w14:paraId="40CB1B6E">
            <w:pPr>
              <w:keepNext w:val="0"/>
              <w:keepLines w:val="0"/>
              <w:suppressLineNumbers w:val="0"/>
              <w:spacing w:before="0" w:beforeAutospacing="0" w:after="0" w:afterAutospacing="0" w:line="300" w:lineRule="exact"/>
              <w:ind w:left="0" w:right="0"/>
              <w:rPr>
                <w:rFonts w:hint="default" w:ascii="宋体" w:hAnsi="Times New Roman" w:eastAsia="宋体" w:cs="Times New Roman"/>
                <w:sz w:val="24"/>
                <w:szCs w:val="24"/>
              </w:rPr>
            </w:pPr>
          </w:p>
        </w:tc>
      </w:tr>
      <w:tr w14:paraId="5B87B4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tcPr>
          <w:p w14:paraId="4654B8FA">
            <w:pPr>
              <w:keepNext w:val="0"/>
              <w:keepLines w:val="0"/>
              <w:suppressLineNumbers w:val="0"/>
              <w:spacing w:before="0" w:beforeAutospacing="0" w:after="0" w:afterAutospacing="0" w:line="300" w:lineRule="exact"/>
              <w:ind w:left="0" w:right="0"/>
              <w:jc w:val="center"/>
              <w:rPr>
                <w:rFonts w:hint="default" w:ascii="宋体" w:hAnsi="宋体" w:eastAsia="宋体" w:cs="宋体"/>
                <w:sz w:val="24"/>
                <w:szCs w:val="24"/>
              </w:rPr>
            </w:pPr>
            <w:r>
              <w:rPr>
                <w:rFonts w:hint="default" w:ascii="宋体" w:hAnsi="宋体" w:eastAsia="宋体" w:cs="宋体"/>
                <w:sz w:val="24"/>
                <w:szCs w:val="24"/>
              </w:rPr>
              <w:t>3</w:t>
            </w:r>
          </w:p>
        </w:tc>
        <w:tc>
          <w:tcPr>
            <w:tcW w:w="3843" w:type="dxa"/>
          </w:tcPr>
          <w:p w14:paraId="5ABDBE93">
            <w:pPr>
              <w:keepNext w:val="0"/>
              <w:keepLines w:val="0"/>
              <w:suppressLineNumbers w:val="0"/>
              <w:spacing w:before="0" w:beforeAutospacing="0" w:after="0" w:afterAutospacing="0" w:line="300" w:lineRule="exact"/>
              <w:ind w:left="0" w:right="0"/>
              <w:rPr>
                <w:rFonts w:hint="default" w:ascii="宋体" w:hAnsi="Times New Roman" w:eastAsia="宋体" w:cs="Times New Roman"/>
                <w:sz w:val="24"/>
                <w:szCs w:val="24"/>
              </w:rPr>
            </w:pPr>
          </w:p>
        </w:tc>
        <w:tc>
          <w:tcPr>
            <w:tcW w:w="2861" w:type="dxa"/>
          </w:tcPr>
          <w:p w14:paraId="0A8B97E4">
            <w:pPr>
              <w:keepNext w:val="0"/>
              <w:keepLines w:val="0"/>
              <w:suppressLineNumbers w:val="0"/>
              <w:spacing w:before="0" w:beforeAutospacing="0" w:after="0" w:afterAutospacing="0" w:line="300" w:lineRule="exact"/>
              <w:ind w:left="0" w:right="0"/>
              <w:rPr>
                <w:rFonts w:hint="default" w:ascii="宋体" w:hAnsi="Times New Roman" w:eastAsia="宋体" w:cs="Times New Roman"/>
                <w:sz w:val="24"/>
                <w:szCs w:val="24"/>
              </w:rPr>
            </w:pPr>
          </w:p>
        </w:tc>
        <w:tc>
          <w:tcPr>
            <w:tcW w:w="993" w:type="dxa"/>
          </w:tcPr>
          <w:p w14:paraId="3258C922">
            <w:pPr>
              <w:keepNext w:val="0"/>
              <w:keepLines w:val="0"/>
              <w:suppressLineNumbers w:val="0"/>
              <w:spacing w:before="0" w:beforeAutospacing="0" w:after="0" w:afterAutospacing="0" w:line="300" w:lineRule="exact"/>
              <w:ind w:left="0" w:right="0"/>
              <w:rPr>
                <w:rFonts w:hint="default" w:ascii="宋体" w:hAnsi="Times New Roman" w:eastAsia="宋体" w:cs="Times New Roman"/>
                <w:sz w:val="24"/>
                <w:szCs w:val="24"/>
              </w:rPr>
            </w:pPr>
          </w:p>
        </w:tc>
      </w:tr>
      <w:tr w14:paraId="2E270E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tcPr>
          <w:p w14:paraId="08BBD4AF">
            <w:pPr>
              <w:keepNext w:val="0"/>
              <w:keepLines w:val="0"/>
              <w:suppressLineNumbers w:val="0"/>
              <w:spacing w:before="0" w:beforeAutospacing="0" w:after="0" w:afterAutospacing="0" w:line="300" w:lineRule="exact"/>
              <w:ind w:left="0" w:right="0"/>
              <w:jc w:val="center"/>
              <w:rPr>
                <w:rFonts w:hint="default" w:ascii="宋体" w:hAnsi="宋体" w:eastAsia="宋体" w:cs="宋体"/>
                <w:sz w:val="24"/>
                <w:szCs w:val="24"/>
              </w:rPr>
            </w:pPr>
            <w:r>
              <w:rPr>
                <w:rFonts w:hint="default" w:ascii="宋体" w:hAnsi="宋体" w:eastAsia="宋体" w:cs="宋体"/>
                <w:sz w:val="24"/>
                <w:szCs w:val="24"/>
              </w:rPr>
              <w:t>4</w:t>
            </w:r>
          </w:p>
        </w:tc>
        <w:tc>
          <w:tcPr>
            <w:tcW w:w="3843" w:type="dxa"/>
          </w:tcPr>
          <w:p w14:paraId="5AEF5F09">
            <w:pPr>
              <w:keepNext w:val="0"/>
              <w:keepLines w:val="0"/>
              <w:suppressLineNumbers w:val="0"/>
              <w:spacing w:before="0" w:beforeAutospacing="0" w:after="0" w:afterAutospacing="0" w:line="300" w:lineRule="exact"/>
              <w:ind w:left="0" w:right="0"/>
              <w:rPr>
                <w:rFonts w:hint="default" w:ascii="宋体" w:hAnsi="Times New Roman" w:eastAsia="宋体" w:cs="Times New Roman"/>
                <w:sz w:val="24"/>
                <w:szCs w:val="24"/>
              </w:rPr>
            </w:pPr>
          </w:p>
        </w:tc>
        <w:tc>
          <w:tcPr>
            <w:tcW w:w="2861" w:type="dxa"/>
          </w:tcPr>
          <w:p w14:paraId="53592C38">
            <w:pPr>
              <w:keepNext w:val="0"/>
              <w:keepLines w:val="0"/>
              <w:suppressLineNumbers w:val="0"/>
              <w:spacing w:before="0" w:beforeAutospacing="0" w:after="0" w:afterAutospacing="0" w:line="300" w:lineRule="exact"/>
              <w:ind w:left="0" w:right="0"/>
              <w:rPr>
                <w:rFonts w:hint="default" w:ascii="宋体" w:hAnsi="Times New Roman" w:eastAsia="宋体" w:cs="Times New Roman"/>
                <w:sz w:val="24"/>
                <w:szCs w:val="24"/>
              </w:rPr>
            </w:pPr>
          </w:p>
        </w:tc>
        <w:tc>
          <w:tcPr>
            <w:tcW w:w="993" w:type="dxa"/>
          </w:tcPr>
          <w:p w14:paraId="567E715C">
            <w:pPr>
              <w:keepNext w:val="0"/>
              <w:keepLines w:val="0"/>
              <w:suppressLineNumbers w:val="0"/>
              <w:spacing w:before="0" w:beforeAutospacing="0" w:after="0" w:afterAutospacing="0" w:line="300" w:lineRule="exact"/>
              <w:ind w:left="0" w:right="0"/>
              <w:rPr>
                <w:rFonts w:hint="default" w:ascii="宋体" w:hAnsi="Times New Roman" w:eastAsia="宋体" w:cs="Times New Roman"/>
                <w:sz w:val="24"/>
                <w:szCs w:val="24"/>
              </w:rPr>
            </w:pPr>
          </w:p>
        </w:tc>
      </w:tr>
      <w:tr w14:paraId="10223D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tcPr>
          <w:p w14:paraId="6EC81318">
            <w:pPr>
              <w:keepNext w:val="0"/>
              <w:keepLines w:val="0"/>
              <w:suppressLineNumbers w:val="0"/>
              <w:spacing w:before="0" w:beforeAutospacing="0" w:after="0" w:afterAutospacing="0" w:line="300" w:lineRule="exact"/>
              <w:ind w:left="0" w:right="0"/>
              <w:jc w:val="center"/>
              <w:rPr>
                <w:rFonts w:hint="default" w:ascii="宋体" w:hAnsi="宋体" w:eastAsia="宋体" w:cs="宋体"/>
                <w:sz w:val="24"/>
                <w:szCs w:val="24"/>
              </w:rPr>
            </w:pPr>
            <w:r>
              <w:rPr>
                <w:rFonts w:hint="default" w:ascii="宋体" w:hAnsi="宋体" w:eastAsia="宋体" w:cs="宋体"/>
                <w:sz w:val="24"/>
                <w:szCs w:val="24"/>
              </w:rPr>
              <w:t>5</w:t>
            </w:r>
          </w:p>
        </w:tc>
        <w:tc>
          <w:tcPr>
            <w:tcW w:w="3843" w:type="dxa"/>
          </w:tcPr>
          <w:p w14:paraId="2AB38FEE">
            <w:pPr>
              <w:keepNext w:val="0"/>
              <w:keepLines w:val="0"/>
              <w:suppressLineNumbers w:val="0"/>
              <w:spacing w:before="0" w:beforeAutospacing="0" w:after="0" w:afterAutospacing="0" w:line="300" w:lineRule="exact"/>
              <w:ind w:left="0" w:right="0"/>
              <w:rPr>
                <w:rFonts w:hint="default" w:ascii="宋体" w:hAnsi="Times New Roman" w:eastAsia="宋体" w:cs="Times New Roman"/>
                <w:sz w:val="24"/>
                <w:szCs w:val="24"/>
              </w:rPr>
            </w:pPr>
          </w:p>
        </w:tc>
        <w:tc>
          <w:tcPr>
            <w:tcW w:w="2861" w:type="dxa"/>
          </w:tcPr>
          <w:p w14:paraId="2D1D6327">
            <w:pPr>
              <w:keepNext w:val="0"/>
              <w:keepLines w:val="0"/>
              <w:suppressLineNumbers w:val="0"/>
              <w:spacing w:before="0" w:beforeAutospacing="0" w:after="0" w:afterAutospacing="0" w:line="300" w:lineRule="exact"/>
              <w:ind w:left="0" w:right="0"/>
              <w:rPr>
                <w:rFonts w:hint="default" w:ascii="宋体" w:hAnsi="Times New Roman" w:eastAsia="宋体" w:cs="Times New Roman"/>
                <w:sz w:val="24"/>
                <w:szCs w:val="24"/>
              </w:rPr>
            </w:pPr>
          </w:p>
        </w:tc>
        <w:tc>
          <w:tcPr>
            <w:tcW w:w="993" w:type="dxa"/>
          </w:tcPr>
          <w:p w14:paraId="4324C24D">
            <w:pPr>
              <w:keepNext w:val="0"/>
              <w:keepLines w:val="0"/>
              <w:suppressLineNumbers w:val="0"/>
              <w:spacing w:before="0" w:beforeAutospacing="0" w:after="0" w:afterAutospacing="0" w:line="300" w:lineRule="exact"/>
              <w:ind w:left="0" w:right="0"/>
              <w:rPr>
                <w:rFonts w:hint="default" w:ascii="宋体" w:hAnsi="Times New Roman" w:eastAsia="宋体" w:cs="Times New Roman"/>
                <w:sz w:val="24"/>
                <w:szCs w:val="24"/>
              </w:rPr>
            </w:pPr>
          </w:p>
        </w:tc>
      </w:tr>
      <w:tr w14:paraId="0FE7FE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tcPr>
          <w:p w14:paraId="790AC314">
            <w:pPr>
              <w:keepNext w:val="0"/>
              <w:keepLines w:val="0"/>
              <w:suppressLineNumbers w:val="0"/>
              <w:spacing w:before="0" w:beforeAutospacing="0" w:after="0" w:afterAutospacing="0" w:line="300" w:lineRule="exact"/>
              <w:ind w:left="0" w:right="0"/>
              <w:jc w:val="center"/>
              <w:rPr>
                <w:rFonts w:hint="default" w:ascii="宋体" w:hAnsi="宋体" w:eastAsia="宋体" w:cs="宋体"/>
                <w:sz w:val="24"/>
                <w:szCs w:val="24"/>
              </w:rPr>
            </w:pPr>
            <w:r>
              <w:rPr>
                <w:rFonts w:hint="default" w:ascii="宋体" w:hAnsi="宋体" w:eastAsia="宋体" w:cs="宋体"/>
                <w:sz w:val="24"/>
                <w:szCs w:val="24"/>
              </w:rPr>
              <w:t>6</w:t>
            </w:r>
          </w:p>
        </w:tc>
        <w:tc>
          <w:tcPr>
            <w:tcW w:w="3843" w:type="dxa"/>
          </w:tcPr>
          <w:p w14:paraId="10289788">
            <w:pPr>
              <w:keepNext w:val="0"/>
              <w:keepLines w:val="0"/>
              <w:suppressLineNumbers w:val="0"/>
              <w:spacing w:before="0" w:beforeAutospacing="0" w:after="0" w:afterAutospacing="0" w:line="300" w:lineRule="exact"/>
              <w:ind w:left="0" w:right="0"/>
              <w:rPr>
                <w:rFonts w:hint="default" w:ascii="宋体" w:hAnsi="Times New Roman" w:eastAsia="宋体" w:cs="Times New Roman"/>
                <w:sz w:val="24"/>
                <w:szCs w:val="24"/>
              </w:rPr>
            </w:pPr>
          </w:p>
        </w:tc>
        <w:tc>
          <w:tcPr>
            <w:tcW w:w="2861" w:type="dxa"/>
          </w:tcPr>
          <w:p w14:paraId="76B0A3E5">
            <w:pPr>
              <w:keepNext w:val="0"/>
              <w:keepLines w:val="0"/>
              <w:suppressLineNumbers w:val="0"/>
              <w:spacing w:before="0" w:beforeAutospacing="0" w:after="0" w:afterAutospacing="0" w:line="300" w:lineRule="exact"/>
              <w:ind w:left="0" w:right="0"/>
              <w:rPr>
                <w:rFonts w:hint="default" w:ascii="宋体" w:hAnsi="Times New Roman" w:eastAsia="宋体" w:cs="Times New Roman"/>
                <w:sz w:val="24"/>
                <w:szCs w:val="24"/>
              </w:rPr>
            </w:pPr>
          </w:p>
        </w:tc>
        <w:tc>
          <w:tcPr>
            <w:tcW w:w="993" w:type="dxa"/>
          </w:tcPr>
          <w:p w14:paraId="11735C98">
            <w:pPr>
              <w:keepNext w:val="0"/>
              <w:keepLines w:val="0"/>
              <w:suppressLineNumbers w:val="0"/>
              <w:spacing w:before="0" w:beforeAutospacing="0" w:after="0" w:afterAutospacing="0" w:line="300" w:lineRule="exact"/>
              <w:ind w:left="0" w:right="0"/>
              <w:rPr>
                <w:rFonts w:hint="default" w:ascii="宋体" w:hAnsi="Times New Roman" w:eastAsia="宋体" w:cs="Times New Roman"/>
                <w:sz w:val="24"/>
                <w:szCs w:val="24"/>
              </w:rPr>
            </w:pPr>
          </w:p>
        </w:tc>
      </w:tr>
      <w:tr w14:paraId="48C4D4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tcPr>
          <w:p w14:paraId="4F6FC2EF">
            <w:pPr>
              <w:keepNext w:val="0"/>
              <w:keepLines w:val="0"/>
              <w:suppressLineNumbers w:val="0"/>
              <w:spacing w:before="0" w:beforeAutospacing="0" w:after="0" w:afterAutospacing="0" w:line="300" w:lineRule="exact"/>
              <w:ind w:left="0" w:right="0"/>
              <w:jc w:val="center"/>
              <w:rPr>
                <w:rFonts w:hint="default" w:ascii="宋体" w:hAnsi="宋体" w:eastAsia="宋体" w:cs="宋体"/>
                <w:sz w:val="24"/>
                <w:szCs w:val="24"/>
              </w:rPr>
            </w:pPr>
            <w:r>
              <w:rPr>
                <w:rFonts w:hint="default" w:ascii="宋体" w:hAnsi="宋体" w:eastAsia="宋体" w:cs="宋体"/>
                <w:sz w:val="24"/>
                <w:szCs w:val="24"/>
              </w:rPr>
              <w:t>7</w:t>
            </w:r>
          </w:p>
        </w:tc>
        <w:tc>
          <w:tcPr>
            <w:tcW w:w="3843" w:type="dxa"/>
          </w:tcPr>
          <w:p w14:paraId="397CA914">
            <w:pPr>
              <w:keepNext w:val="0"/>
              <w:keepLines w:val="0"/>
              <w:suppressLineNumbers w:val="0"/>
              <w:spacing w:before="0" w:beforeAutospacing="0" w:after="0" w:afterAutospacing="0" w:line="300" w:lineRule="exact"/>
              <w:ind w:left="0" w:right="0"/>
              <w:rPr>
                <w:rFonts w:hint="default" w:ascii="宋体" w:hAnsi="Times New Roman" w:eastAsia="宋体" w:cs="Times New Roman"/>
                <w:sz w:val="24"/>
                <w:szCs w:val="24"/>
              </w:rPr>
            </w:pPr>
          </w:p>
        </w:tc>
        <w:tc>
          <w:tcPr>
            <w:tcW w:w="2861" w:type="dxa"/>
          </w:tcPr>
          <w:p w14:paraId="4EAF0A30">
            <w:pPr>
              <w:keepNext w:val="0"/>
              <w:keepLines w:val="0"/>
              <w:suppressLineNumbers w:val="0"/>
              <w:spacing w:before="0" w:beforeAutospacing="0" w:after="0" w:afterAutospacing="0" w:line="300" w:lineRule="exact"/>
              <w:ind w:left="0" w:right="0"/>
              <w:rPr>
                <w:rFonts w:hint="default" w:ascii="宋体" w:hAnsi="Times New Roman" w:eastAsia="宋体" w:cs="Times New Roman"/>
                <w:sz w:val="24"/>
                <w:szCs w:val="24"/>
              </w:rPr>
            </w:pPr>
          </w:p>
        </w:tc>
        <w:tc>
          <w:tcPr>
            <w:tcW w:w="993" w:type="dxa"/>
          </w:tcPr>
          <w:p w14:paraId="5F8C88E5">
            <w:pPr>
              <w:keepNext w:val="0"/>
              <w:keepLines w:val="0"/>
              <w:suppressLineNumbers w:val="0"/>
              <w:spacing w:before="0" w:beforeAutospacing="0" w:after="0" w:afterAutospacing="0" w:line="300" w:lineRule="exact"/>
              <w:ind w:left="0" w:right="0"/>
              <w:rPr>
                <w:rFonts w:hint="default" w:ascii="宋体" w:hAnsi="Times New Roman" w:eastAsia="宋体" w:cs="Times New Roman"/>
                <w:sz w:val="24"/>
                <w:szCs w:val="24"/>
              </w:rPr>
            </w:pPr>
          </w:p>
        </w:tc>
      </w:tr>
      <w:tr w14:paraId="26AEBA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tcPr>
          <w:p w14:paraId="40BF0B5B">
            <w:pPr>
              <w:keepNext w:val="0"/>
              <w:keepLines w:val="0"/>
              <w:suppressLineNumbers w:val="0"/>
              <w:spacing w:before="0" w:beforeAutospacing="0" w:after="0" w:afterAutospacing="0" w:line="300" w:lineRule="exact"/>
              <w:ind w:left="0" w:right="0"/>
              <w:jc w:val="center"/>
              <w:rPr>
                <w:rFonts w:hint="default" w:ascii="宋体" w:hAnsi="宋体" w:eastAsia="宋体" w:cs="宋体"/>
                <w:sz w:val="24"/>
                <w:szCs w:val="24"/>
              </w:rPr>
            </w:pPr>
            <w:r>
              <w:rPr>
                <w:rFonts w:hint="default" w:ascii="宋体" w:hAnsi="宋体" w:eastAsia="宋体" w:cs="宋体"/>
                <w:sz w:val="24"/>
                <w:szCs w:val="24"/>
              </w:rPr>
              <w:t>8</w:t>
            </w:r>
          </w:p>
        </w:tc>
        <w:tc>
          <w:tcPr>
            <w:tcW w:w="3843" w:type="dxa"/>
          </w:tcPr>
          <w:p w14:paraId="6D13CBE1">
            <w:pPr>
              <w:keepNext w:val="0"/>
              <w:keepLines w:val="0"/>
              <w:suppressLineNumbers w:val="0"/>
              <w:spacing w:before="0" w:beforeAutospacing="0" w:after="0" w:afterAutospacing="0" w:line="300" w:lineRule="exact"/>
              <w:ind w:left="0" w:right="0"/>
              <w:rPr>
                <w:rFonts w:hint="default" w:ascii="宋体" w:hAnsi="Times New Roman" w:eastAsia="宋体" w:cs="Times New Roman"/>
                <w:sz w:val="24"/>
                <w:szCs w:val="24"/>
              </w:rPr>
            </w:pPr>
          </w:p>
        </w:tc>
        <w:tc>
          <w:tcPr>
            <w:tcW w:w="2861" w:type="dxa"/>
          </w:tcPr>
          <w:p w14:paraId="2A15BAD9">
            <w:pPr>
              <w:keepNext w:val="0"/>
              <w:keepLines w:val="0"/>
              <w:suppressLineNumbers w:val="0"/>
              <w:spacing w:before="0" w:beforeAutospacing="0" w:after="0" w:afterAutospacing="0" w:line="300" w:lineRule="exact"/>
              <w:ind w:left="0" w:right="0"/>
              <w:rPr>
                <w:rFonts w:hint="default" w:ascii="宋体" w:hAnsi="Times New Roman" w:eastAsia="宋体" w:cs="Times New Roman"/>
                <w:sz w:val="24"/>
                <w:szCs w:val="24"/>
              </w:rPr>
            </w:pPr>
          </w:p>
        </w:tc>
        <w:tc>
          <w:tcPr>
            <w:tcW w:w="993" w:type="dxa"/>
          </w:tcPr>
          <w:p w14:paraId="1A071807">
            <w:pPr>
              <w:keepNext w:val="0"/>
              <w:keepLines w:val="0"/>
              <w:suppressLineNumbers w:val="0"/>
              <w:spacing w:before="0" w:beforeAutospacing="0" w:after="0" w:afterAutospacing="0" w:line="300" w:lineRule="exact"/>
              <w:ind w:left="0" w:right="0"/>
              <w:rPr>
                <w:rFonts w:hint="default" w:ascii="宋体" w:hAnsi="Times New Roman" w:eastAsia="宋体" w:cs="Times New Roman"/>
                <w:sz w:val="24"/>
                <w:szCs w:val="24"/>
              </w:rPr>
            </w:pPr>
          </w:p>
        </w:tc>
      </w:tr>
      <w:tr w14:paraId="0A55EB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tcPr>
          <w:p w14:paraId="484AC11D">
            <w:pPr>
              <w:keepNext w:val="0"/>
              <w:keepLines w:val="0"/>
              <w:suppressLineNumbers w:val="0"/>
              <w:spacing w:before="0" w:beforeAutospacing="0" w:after="0" w:afterAutospacing="0" w:line="300" w:lineRule="exact"/>
              <w:ind w:left="0" w:right="0"/>
              <w:jc w:val="center"/>
              <w:rPr>
                <w:rFonts w:hint="default" w:ascii="宋体" w:hAnsi="宋体" w:eastAsia="宋体" w:cs="Times New Roman"/>
                <w:sz w:val="24"/>
                <w:szCs w:val="24"/>
              </w:rPr>
            </w:pPr>
            <w:r>
              <w:rPr>
                <w:rFonts w:hint="eastAsia" w:ascii="宋体" w:hAnsi="宋体" w:eastAsia="宋体" w:cs="宋体"/>
                <w:sz w:val="24"/>
                <w:szCs w:val="24"/>
              </w:rPr>
              <w:t>……</w:t>
            </w:r>
          </w:p>
        </w:tc>
        <w:tc>
          <w:tcPr>
            <w:tcW w:w="3843" w:type="dxa"/>
          </w:tcPr>
          <w:p w14:paraId="3DB0427D">
            <w:pPr>
              <w:keepNext w:val="0"/>
              <w:keepLines w:val="0"/>
              <w:suppressLineNumbers w:val="0"/>
              <w:spacing w:before="0" w:beforeAutospacing="0" w:after="0" w:afterAutospacing="0" w:line="300" w:lineRule="exact"/>
              <w:ind w:left="0" w:right="0"/>
              <w:rPr>
                <w:rFonts w:hint="default" w:ascii="宋体" w:hAnsi="Times New Roman" w:eastAsia="宋体" w:cs="Times New Roman"/>
                <w:sz w:val="24"/>
                <w:szCs w:val="24"/>
              </w:rPr>
            </w:pPr>
          </w:p>
        </w:tc>
        <w:tc>
          <w:tcPr>
            <w:tcW w:w="2861" w:type="dxa"/>
          </w:tcPr>
          <w:p w14:paraId="1ECD21CD">
            <w:pPr>
              <w:keepNext w:val="0"/>
              <w:keepLines w:val="0"/>
              <w:suppressLineNumbers w:val="0"/>
              <w:spacing w:before="0" w:beforeAutospacing="0" w:after="0" w:afterAutospacing="0" w:line="300" w:lineRule="exact"/>
              <w:ind w:left="0" w:right="0"/>
              <w:rPr>
                <w:rFonts w:hint="default" w:ascii="宋体" w:hAnsi="Times New Roman" w:eastAsia="宋体" w:cs="Times New Roman"/>
                <w:sz w:val="24"/>
                <w:szCs w:val="24"/>
              </w:rPr>
            </w:pPr>
          </w:p>
        </w:tc>
        <w:tc>
          <w:tcPr>
            <w:tcW w:w="993" w:type="dxa"/>
          </w:tcPr>
          <w:p w14:paraId="49CA908E">
            <w:pPr>
              <w:keepNext w:val="0"/>
              <w:keepLines w:val="0"/>
              <w:suppressLineNumbers w:val="0"/>
              <w:spacing w:before="0" w:beforeAutospacing="0" w:after="0" w:afterAutospacing="0" w:line="300" w:lineRule="exact"/>
              <w:ind w:left="0" w:right="0"/>
              <w:rPr>
                <w:rFonts w:hint="default" w:ascii="宋体" w:hAnsi="Times New Roman" w:eastAsia="宋体" w:cs="Times New Roman"/>
                <w:sz w:val="24"/>
                <w:szCs w:val="24"/>
              </w:rPr>
            </w:pPr>
          </w:p>
        </w:tc>
      </w:tr>
    </w:tbl>
    <w:p w14:paraId="5085B1A5">
      <w:pPr>
        <w:spacing w:line="400" w:lineRule="exact"/>
        <w:jc w:val="left"/>
        <w:rPr>
          <w:rFonts w:ascii="宋体" w:hAnsi="宋体" w:eastAsia="宋体" w:cs="Times New Roman"/>
          <w:sz w:val="21"/>
          <w:szCs w:val="21"/>
        </w:rPr>
      </w:pPr>
      <w:r>
        <w:rPr>
          <w:rFonts w:hint="eastAsia" w:ascii="宋体" w:hAnsi="宋体" w:eastAsia="宋体" w:cs="宋体"/>
          <w:sz w:val="21"/>
          <w:szCs w:val="21"/>
        </w:rPr>
        <w:t>备注：</w:t>
      </w:r>
      <w:r>
        <w:rPr>
          <w:rFonts w:ascii="宋体" w:hAnsi="宋体" w:eastAsia="宋体" w:cs="宋体"/>
          <w:sz w:val="21"/>
          <w:szCs w:val="21"/>
        </w:rPr>
        <w:t>1.</w:t>
      </w:r>
      <w:r>
        <w:rPr>
          <w:rFonts w:hint="eastAsia" w:ascii="宋体" w:hAnsi="宋体" w:eastAsia="宋体" w:cs="宋体"/>
          <w:sz w:val="21"/>
          <w:szCs w:val="21"/>
        </w:rPr>
        <w:t>项目资金末端分配点位包括市本级、县（区）、市级部门下属单位及一次性单位等。</w:t>
      </w:r>
    </w:p>
    <w:p w14:paraId="51EDE681">
      <w:pPr>
        <w:spacing w:line="400" w:lineRule="exact"/>
        <w:ind w:firstLine="630" w:firstLineChars="300"/>
        <w:jc w:val="left"/>
        <w:rPr>
          <w:rFonts w:ascii="宋体" w:hAnsi="宋体" w:eastAsia="宋体" w:cs="Times New Roman"/>
          <w:sz w:val="21"/>
          <w:szCs w:val="21"/>
        </w:rPr>
      </w:pPr>
      <w:r>
        <w:rPr>
          <w:rFonts w:ascii="宋体" w:hAnsi="宋体" w:eastAsia="宋体" w:cs="宋体"/>
          <w:sz w:val="21"/>
          <w:szCs w:val="21"/>
        </w:rPr>
        <w:t>2.</w:t>
      </w:r>
      <w:r>
        <w:rPr>
          <w:rFonts w:hint="eastAsia" w:ascii="宋体" w:hAnsi="宋体" w:eastAsia="宋体" w:cs="宋体"/>
          <w:sz w:val="21"/>
          <w:szCs w:val="21"/>
        </w:rPr>
        <w:t>自评得分（百分制）从高到低划分为优、良、中、差四个档次，各个档次数量占比分别为</w:t>
      </w:r>
      <w:r>
        <w:rPr>
          <w:rFonts w:ascii="宋体" w:hAnsi="宋体" w:eastAsia="宋体" w:cs="宋体"/>
          <w:sz w:val="21"/>
          <w:szCs w:val="21"/>
        </w:rPr>
        <w:t>20%</w:t>
      </w:r>
      <w:r>
        <w:rPr>
          <w:rFonts w:hint="eastAsia" w:ascii="宋体" w:hAnsi="宋体" w:eastAsia="宋体" w:cs="宋体"/>
          <w:sz w:val="21"/>
          <w:szCs w:val="21"/>
        </w:rPr>
        <w:t>、</w:t>
      </w:r>
      <w:r>
        <w:rPr>
          <w:rFonts w:ascii="宋体" w:hAnsi="宋体" w:eastAsia="宋体" w:cs="宋体"/>
          <w:sz w:val="21"/>
          <w:szCs w:val="21"/>
        </w:rPr>
        <w:t>20%</w:t>
      </w:r>
      <w:r>
        <w:rPr>
          <w:rFonts w:hint="eastAsia" w:ascii="宋体" w:hAnsi="宋体" w:eastAsia="宋体" w:cs="宋体"/>
          <w:sz w:val="21"/>
          <w:szCs w:val="21"/>
        </w:rPr>
        <w:t>、</w:t>
      </w:r>
      <w:r>
        <w:rPr>
          <w:rFonts w:ascii="宋体" w:hAnsi="宋体" w:eastAsia="宋体" w:cs="宋体"/>
          <w:sz w:val="21"/>
          <w:szCs w:val="21"/>
        </w:rPr>
        <w:t>55%</w:t>
      </w:r>
      <w:r>
        <w:rPr>
          <w:rFonts w:hint="eastAsia" w:ascii="宋体" w:hAnsi="宋体" w:eastAsia="宋体" w:cs="宋体"/>
          <w:sz w:val="21"/>
          <w:szCs w:val="21"/>
        </w:rPr>
        <w:t>、</w:t>
      </w:r>
      <w:r>
        <w:rPr>
          <w:rFonts w:ascii="宋体" w:hAnsi="宋体" w:eastAsia="宋体" w:cs="宋体"/>
          <w:sz w:val="21"/>
          <w:szCs w:val="21"/>
        </w:rPr>
        <w:t>5%</w:t>
      </w:r>
      <w:r>
        <w:rPr>
          <w:rFonts w:hint="eastAsia" w:ascii="宋体" w:hAnsi="宋体" w:eastAsia="宋体" w:cs="宋体"/>
          <w:sz w:val="21"/>
          <w:szCs w:val="21"/>
        </w:rPr>
        <w:t>，且不同档次间得分分值应体现差异化，同档次得分分值相同的比例不超过该档次总数量的</w:t>
      </w:r>
      <w:r>
        <w:rPr>
          <w:rFonts w:ascii="宋体" w:hAnsi="宋体" w:eastAsia="宋体" w:cs="宋体"/>
          <w:sz w:val="21"/>
          <w:szCs w:val="21"/>
        </w:rPr>
        <w:t>10%</w:t>
      </w:r>
      <w:r>
        <w:rPr>
          <w:rFonts w:hint="eastAsia" w:ascii="宋体" w:hAnsi="宋体" w:eastAsia="宋体" w:cs="宋体"/>
          <w:sz w:val="21"/>
          <w:szCs w:val="21"/>
        </w:rPr>
        <w:t>。</w:t>
      </w:r>
    </w:p>
    <w:p w14:paraId="7F33ABBC">
      <w:pPr>
        <w:snapToGrid w:val="0"/>
        <w:spacing w:line="578" w:lineRule="exact"/>
        <w:rPr>
          <w:rFonts w:ascii="Times New Roman" w:hAnsi="Times New Roman" w:eastAsia="仿宋_GB2312" w:cs="Times New Roman"/>
          <w:sz w:val="32"/>
          <w:szCs w:val="32"/>
        </w:rPr>
      </w:pPr>
      <w:r>
        <w:rPr>
          <w:rFonts w:ascii="Times New Roman" w:hAnsi="Times New Roman" w:eastAsia="仿宋_GB2312" w:cs="Times New Roman"/>
          <w:sz w:val="32"/>
          <w:szCs w:val="32"/>
        </w:rPr>
        <w:br w:type="page"/>
      </w:r>
      <w:r>
        <w:rPr>
          <w:rFonts w:hint="eastAsia" w:ascii="黑体" w:hAnsi="黑体" w:eastAsia="黑体" w:cs="黑体"/>
          <w:kern w:val="0"/>
          <w:sz w:val="32"/>
          <w:szCs w:val="32"/>
          <w:shd w:val="clear" w:color="auto" w:fill="FFFFFF"/>
          <w:lang w:val="zh-CN"/>
        </w:rPr>
        <w:t>附表</w:t>
      </w:r>
      <w:r>
        <w:rPr>
          <w:rFonts w:ascii="黑体" w:hAnsi="黑体" w:eastAsia="黑体" w:cs="黑体"/>
          <w:kern w:val="0"/>
          <w:sz w:val="32"/>
          <w:szCs w:val="32"/>
          <w:shd w:val="clear" w:color="auto" w:fill="FFFFFF"/>
          <w:lang w:val="zh-CN"/>
        </w:rPr>
        <w:t>2</w:t>
      </w:r>
    </w:p>
    <w:tbl>
      <w:tblPr>
        <w:tblStyle w:val="20"/>
        <w:tblW w:w="10233" w:type="dxa"/>
        <w:jc w:val="center"/>
        <w:tblLayout w:type="fixed"/>
        <w:tblCellMar>
          <w:top w:w="15" w:type="dxa"/>
          <w:left w:w="15" w:type="dxa"/>
          <w:bottom w:w="15" w:type="dxa"/>
          <w:right w:w="15" w:type="dxa"/>
        </w:tblCellMar>
      </w:tblPr>
      <w:tblGrid>
        <w:gridCol w:w="652"/>
        <w:gridCol w:w="1081"/>
        <w:gridCol w:w="1250"/>
        <w:gridCol w:w="1312"/>
        <w:gridCol w:w="1127"/>
        <w:gridCol w:w="971"/>
        <w:gridCol w:w="1061"/>
        <w:gridCol w:w="938"/>
        <w:gridCol w:w="1841"/>
      </w:tblGrid>
      <w:tr w14:paraId="05C987DE">
        <w:tblPrEx>
          <w:tblCellMar>
            <w:top w:w="15" w:type="dxa"/>
            <w:left w:w="15" w:type="dxa"/>
            <w:bottom w:w="15" w:type="dxa"/>
            <w:right w:w="15" w:type="dxa"/>
          </w:tblCellMar>
        </w:tblPrEx>
        <w:trPr>
          <w:trHeight w:val="576" w:hRule="atLeast"/>
          <w:jc w:val="center"/>
        </w:trPr>
        <w:tc>
          <w:tcPr>
            <w:tcW w:w="10233" w:type="dxa"/>
            <w:gridSpan w:val="9"/>
            <w:vAlign w:val="center"/>
          </w:tcPr>
          <w:p w14:paraId="1E9957D5">
            <w:pPr>
              <w:keepNext w:val="0"/>
              <w:keepLines w:val="0"/>
              <w:widowControl/>
              <w:suppressLineNumbers w:val="0"/>
              <w:spacing w:before="0" w:beforeAutospacing="0" w:after="0" w:afterAutospacing="0" w:line="600" w:lineRule="exact"/>
              <w:ind w:left="0" w:right="0"/>
              <w:jc w:val="center"/>
              <w:textAlignment w:val="center"/>
              <w:rPr>
                <w:rFonts w:hint="default" w:ascii="黑体" w:hAnsi="宋体" w:eastAsia="黑体" w:cs="Times New Roman"/>
                <w:color w:val="000000"/>
                <w:sz w:val="30"/>
                <w:szCs w:val="30"/>
              </w:rPr>
            </w:pPr>
            <w:r>
              <w:rPr>
                <w:rFonts w:hint="eastAsia" w:ascii="方正小标宋简体" w:hAnsi="方正小标宋简体" w:eastAsia="方正小标宋简体" w:cs="方正小标宋简体"/>
                <w:color w:val="000000"/>
                <w:kern w:val="0"/>
                <w:sz w:val="40"/>
                <w:szCs w:val="40"/>
              </w:rPr>
              <w:t>专项预算项目绩效目标完成情况自评表</w:t>
            </w:r>
          </w:p>
        </w:tc>
      </w:tr>
      <w:tr w14:paraId="4CB3B702">
        <w:tblPrEx>
          <w:tblCellMar>
            <w:top w:w="15" w:type="dxa"/>
            <w:left w:w="15" w:type="dxa"/>
            <w:bottom w:w="15" w:type="dxa"/>
            <w:right w:w="15" w:type="dxa"/>
          </w:tblCellMar>
        </w:tblPrEx>
        <w:trPr>
          <w:trHeight w:val="23" w:hRule="atLeast"/>
          <w:jc w:val="center"/>
        </w:trPr>
        <w:tc>
          <w:tcPr>
            <w:tcW w:w="4295" w:type="dxa"/>
            <w:gridSpan w:val="4"/>
            <w:tcBorders>
              <w:top w:val="single" w:color="000000" w:sz="4" w:space="0"/>
              <w:left w:val="single" w:color="000000" w:sz="4" w:space="0"/>
              <w:bottom w:val="single" w:color="000000" w:sz="4" w:space="0"/>
              <w:right w:val="single" w:color="000000" w:sz="4" w:space="0"/>
            </w:tcBorders>
            <w:vAlign w:val="center"/>
          </w:tcPr>
          <w:p w14:paraId="79A6F959">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Times New Roman"/>
                <w:color w:val="000000"/>
                <w:sz w:val="24"/>
                <w:szCs w:val="24"/>
              </w:rPr>
            </w:pPr>
            <w:r>
              <w:rPr>
                <w:rFonts w:hint="eastAsia" w:ascii="宋体" w:hAnsi="宋体" w:eastAsia="宋体" w:cs="宋体"/>
                <w:color w:val="000000"/>
                <w:kern w:val="0"/>
                <w:sz w:val="24"/>
                <w:szCs w:val="24"/>
              </w:rPr>
              <w:t>项目名称</w:t>
            </w:r>
          </w:p>
        </w:tc>
        <w:tc>
          <w:tcPr>
            <w:tcW w:w="5938" w:type="dxa"/>
            <w:gridSpan w:val="5"/>
            <w:tcBorders>
              <w:top w:val="single" w:color="000000" w:sz="4" w:space="0"/>
              <w:left w:val="single" w:color="000000" w:sz="4" w:space="0"/>
              <w:bottom w:val="single" w:color="000000" w:sz="4" w:space="0"/>
              <w:right w:val="single" w:color="000000" w:sz="4" w:space="0"/>
            </w:tcBorders>
            <w:vAlign w:val="center"/>
          </w:tcPr>
          <w:p w14:paraId="36270F64">
            <w:pPr>
              <w:keepNext w:val="0"/>
              <w:keepLines w:val="0"/>
              <w:suppressLineNumbers w:val="0"/>
              <w:spacing w:before="0" w:beforeAutospacing="0" w:after="0" w:afterAutospacing="0" w:line="300" w:lineRule="exact"/>
              <w:ind w:left="0" w:right="0"/>
              <w:rPr>
                <w:rFonts w:hint="default" w:ascii="宋体" w:hAnsi="宋体" w:eastAsia="宋体" w:cs="Times New Roman"/>
                <w:color w:val="000000"/>
                <w:sz w:val="24"/>
                <w:szCs w:val="24"/>
              </w:rPr>
            </w:pPr>
            <w:r>
              <w:rPr>
                <w:rFonts w:hint="eastAsia" w:ascii="宋体" w:hAnsi="宋体" w:eastAsia="宋体" w:cs="宋体"/>
                <w:color w:val="000000"/>
                <w:sz w:val="24"/>
                <w:szCs w:val="24"/>
              </w:rPr>
              <w:t>市清洁能源产业专班专项预算</w:t>
            </w:r>
          </w:p>
        </w:tc>
      </w:tr>
      <w:tr w14:paraId="5DA86194">
        <w:tblPrEx>
          <w:tblCellMar>
            <w:top w:w="15" w:type="dxa"/>
            <w:left w:w="15" w:type="dxa"/>
            <w:bottom w:w="15" w:type="dxa"/>
            <w:right w:w="15" w:type="dxa"/>
          </w:tblCellMar>
        </w:tblPrEx>
        <w:trPr>
          <w:trHeight w:val="23" w:hRule="atLeast"/>
          <w:jc w:val="center"/>
        </w:trPr>
        <w:tc>
          <w:tcPr>
            <w:tcW w:w="4295" w:type="dxa"/>
            <w:gridSpan w:val="4"/>
            <w:tcBorders>
              <w:top w:val="single" w:color="000000" w:sz="4" w:space="0"/>
              <w:left w:val="single" w:color="000000" w:sz="4" w:space="0"/>
              <w:bottom w:val="single" w:color="000000" w:sz="4" w:space="0"/>
              <w:right w:val="single" w:color="000000" w:sz="4" w:space="0"/>
            </w:tcBorders>
            <w:vAlign w:val="center"/>
          </w:tcPr>
          <w:p w14:paraId="26482F47">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Times New Roman"/>
                <w:color w:val="000000"/>
                <w:sz w:val="24"/>
                <w:szCs w:val="24"/>
              </w:rPr>
            </w:pPr>
            <w:r>
              <w:rPr>
                <w:rFonts w:hint="eastAsia" w:ascii="宋体" w:hAnsi="宋体" w:eastAsia="宋体" w:cs="宋体"/>
                <w:color w:val="000000"/>
                <w:kern w:val="0"/>
                <w:sz w:val="24"/>
                <w:szCs w:val="24"/>
              </w:rPr>
              <w:t>预算单位</w:t>
            </w:r>
          </w:p>
        </w:tc>
        <w:tc>
          <w:tcPr>
            <w:tcW w:w="5938" w:type="dxa"/>
            <w:gridSpan w:val="5"/>
            <w:tcBorders>
              <w:top w:val="single" w:color="000000" w:sz="4" w:space="0"/>
              <w:left w:val="single" w:color="000000" w:sz="4" w:space="0"/>
              <w:bottom w:val="single" w:color="000000" w:sz="4" w:space="0"/>
              <w:right w:val="single" w:color="000000" w:sz="4" w:space="0"/>
            </w:tcBorders>
            <w:vAlign w:val="center"/>
          </w:tcPr>
          <w:p w14:paraId="025A8674">
            <w:pPr>
              <w:keepNext w:val="0"/>
              <w:keepLines w:val="0"/>
              <w:suppressLineNumbers w:val="0"/>
              <w:spacing w:before="0" w:beforeAutospacing="0" w:after="0" w:afterAutospacing="0" w:line="300" w:lineRule="exact"/>
              <w:ind w:left="0" w:right="0"/>
              <w:rPr>
                <w:rFonts w:hint="default" w:ascii="宋体" w:hAnsi="宋体" w:eastAsia="宋体" w:cs="Times New Roman"/>
                <w:color w:val="000000"/>
                <w:sz w:val="24"/>
                <w:szCs w:val="24"/>
              </w:rPr>
            </w:pPr>
            <w:r>
              <w:rPr>
                <w:rFonts w:hint="eastAsia" w:ascii="宋体" w:hAnsi="宋体" w:eastAsia="宋体" w:cs="宋体"/>
                <w:color w:val="000000"/>
                <w:sz w:val="24"/>
                <w:szCs w:val="24"/>
              </w:rPr>
              <w:t>广元市发展和改革委员会</w:t>
            </w:r>
          </w:p>
        </w:tc>
      </w:tr>
      <w:tr w14:paraId="6731E89F">
        <w:tblPrEx>
          <w:tblCellMar>
            <w:top w:w="15" w:type="dxa"/>
            <w:left w:w="15" w:type="dxa"/>
            <w:bottom w:w="15" w:type="dxa"/>
            <w:right w:w="15" w:type="dxa"/>
          </w:tblCellMar>
        </w:tblPrEx>
        <w:trPr>
          <w:trHeight w:val="23" w:hRule="atLeast"/>
          <w:jc w:val="center"/>
        </w:trPr>
        <w:tc>
          <w:tcPr>
            <w:tcW w:w="4295" w:type="dxa"/>
            <w:gridSpan w:val="4"/>
            <w:tcBorders>
              <w:top w:val="single" w:color="000000" w:sz="4" w:space="0"/>
              <w:left w:val="single" w:color="000000" w:sz="4" w:space="0"/>
              <w:bottom w:val="single" w:color="000000" w:sz="4" w:space="0"/>
              <w:right w:val="single" w:color="000000" w:sz="4" w:space="0"/>
            </w:tcBorders>
            <w:vAlign w:val="center"/>
          </w:tcPr>
          <w:p w14:paraId="11748932">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Times New Roman"/>
                <w:color w:val="000000"/>
                <w:sz w:val="24"/>
                <w:szCs w:val="24"/>
              </w:rPr>
            </w:pPr>
            <w:r>
              <w:rPr>
                <w:rFonts w:hint="eastAsia" w:ascii="宋体" w:hAnsi="宋体" w:eastAsia="宋体" w:cs="宋体"/>
                <w:color w:val="000000"/>
                <w:kern w:val="0"/>
                <w:sz w:val="24"/>
                <w:szCs w:val="24"/>
              </w:rPr>
              <w:t>项目类型</w:t>
            </w:r>
          </w:p>
        </w:tc>
        <w:tc>
          <w:tcPr>
            <w:tcW w:w="5938" w:type="dxa"/>
            <w:gridSpan w:val="5"/>
            <w:tcBorders>
              <w:top w:val="single" w:color="000000" w:sz="4" w:space="0"/>
              <w:left w:val="single" w:color="000000" w:sz="4" w:space="0"/>
              <w:bottom w:val="single" w:color="000000" w:sz="4" w:space="0"/>
              <w:right w:val="single" w:color="000000" w:sz="4" w:space="0"/>
            </w:tcBorders>
            <w:vAlign w:val="center"/>
          </w:tcPr>
          <w:p w14:paraId="123525D2">
            <w:pPr>
              <w:keepNext w:val="0"/>
              <w:keepLines w:val="0"/>
              <w:suppressLineNumbers w:val="0"/>
              <w:spacing w:before="0" w:beforeAutospacing="0" w:after="0" w:afterAutospacing="0" w:line="300" w:lineRule="exact"/>
              <w:ind w:left="0" w:right="0"/>
              <w:jc w:val="left"/>
              <w:rPr>
                <w:rFonts w:hint="default" w:ascii="宋体" w:hAnsi="宋体" w:eastAsia="宋体" w:cs="Times New Roman"/>
                <w:color w:val="000000"/>
                <w:sz w:val="24"/>
                <w:szCs w:val="24"/>
              </w:rPr>
            </w:pPr>
            <w:r>
              <w:rPr>
                <w:rFonts w:hint="eastAsia" w:ascii="宋体" w:hAnsi="宋体" w:eastAsia="宋体" w:cs="宋体"/>
                <w:color w:val="000000"/>
                <w:sz w:val="24"/>
                <w:szCs w:val="24"/>
              </w:rPr>
              <w:t>工作经费</w:t>
            </w:r>
          </w:p>
        </w:tc>
      </w:tr>
      <w:tr w14:paraId="0BC872FE">
        <w:tblPrEx>
          <w:tblCellMar>
            <w:top w:w="15" w:type="dxa"/>
            <w:left w:w="15" w:type="dxa"/>
            <w:bottom w:w="15" w:type="dxa"/>
            <w:right w:w="15" w:type="dxa"/>
          </w:tblCellMar>
        </w:tblPrEx>
        <w:trPr>
          <w:trHeight w:val="23" w:hRule="atLeast"/>
          <w:jc w:val="center"/>
        </w:trPr>
        <w:tc>
          <w:tcPr>
            <w:tcW w:w="652" w:type="dxa"/>
            <w:vMerge w:val="restart"/>
            <w:tcBorders>
              <w:top w:val="single" w:color="000000" w:sz="4" w:space="0"/>
              <w:left w:val="single" w:color="000000" w:sz="4" w:space="0"/>
              <w:bottom w:val="single" w:color="000000" w:sz="4" w:space="0"/>
              <w:right w:val="single" w:color="000000" w:sz="4" w:space="0"/>
            </w:tcBorders>
            <w:vAlign w:val="center"/>
          </w:tcPr>
          <w:p w14:paraId="40AAEBC2">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Times New Roman"/>
                <w:color w:val="000000"/>
                <w:sz w:val="24"/>
                <w:szCs w:val="24"/>
              </w:rPr>
            </w:pPr>
            <w:r>
              <w:rPr>
                <w:rFonts w:hint="eastAsia" w:ascii="宋体" w:hAnsi="宋体" w:eastAsia="宋体" w:cs="宋体"/>
                <w:color w:val="000000"/>
                <w:kern w:val="0"/>
                <w:sz w:val="24"/>
                <w:szCs w:val="24"/>
              </w:rPr>
              <w:t>项目</w:t>
            </w:r>
            <w:r>
              <w:rPr>
                <w:rFonts w:hint="default" w:ascii="宋体" w:hAnsi="宋体" w:eastAsia="宋体" w:cs="宋体"/>
                <w:color w:val="000000"/>
                <w:kern w:val="0"/>
                <w:sz w:val="24"/>
                <w:szCs w:val="24"/>
              </w:rPr>
              <w:t xml:space="preserve"> </w:t>
            </w:r>
            <w:r>
              <w:rPr>
                <w:rFonts w:hint="eastAsia" w:ascii="宋体" w:hAnsi="宋体" w:eastAsia="宋体" w:cs="宋体"/>
                <w:color w:val="000000"/>
                <w:kern w:val="0"/>
                <w:sz w:val="24"/>
                <w:szCs w:val="24"/>
              </w:rPr>
              <w:t>概况</w:t>
            </w:r>
          </w:p>
        </w:tc>
        <w:tc>
          <w:tcPr>
            <w:tcW w:w="3643" w:type="dxa"/>
            <w:gridSpan w:val="3"/>
            <w:tcBorders>
              <w:top w:val="single" w:color="000000" w:sz="4" w:space="0"/>
              <w:left w:val="single" w:color="000000" w:sz="4" w:space="0"/>
              <w:bottom w:val="single" w:color="000000" w:sz="4" w:space="0"/>
              <w:right w:val="single" w:color="000000" w:sz="4" w:space="0"/>
            </w:tcBorders>
            <w:vAlign w:val="center"/>
          </w:tcPr>
          <w:p w14:paraId="0106E940">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Times New Roman"/>
                <w:color w:val="000000"/>
                <w:kern w:val="0"/>
                <w:sz w:val="24"/>
                <w:szCs w:val="24"/>
              </w:rPr>
            </w:pPr>
            <w:r>
              <w:rPr>
                <w:rFonts w:hint="eastAsia" w:ascii="宋体" w:hAnsi="宋体" w:eastAsia="宋体" w:cs="宋体"/>
                <w:color w:val="000000"/>
                <w:kern w:val="0"/>
                <w:sz w:val="24"/>
                <w:szCs w:val="24"/>
              </w:rPr>
              <w:t>中长期规划（名称、文号，仅指</w:t>
            </w:r>
          </w:p>
          <w:p w14:paraId="4ABD02DF">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Times New Roman"/>
                <w:color w:val="000000"/>
                <w:sz w:val="24"/>
                <w:szCs w:val="24"/>
              </w:rPr>
            </w:pPr>
            <w:r>
              <w:rPr>
                <w:rFonts w:hint="eastAsia" w:ascii="宋体" w:hAnsi="宋体" w:eastAsia="宋体" w:cs="宋体"/>
                <w:color w:val="000000"/>
                <w:kern w:val="0"/>
                <w:sz w:val="24"/>
                <w:szCs w:val="24"/>
              </w:rPr>
              <w:t>常年项目）</w:t>
            </w:r>
          </w:p>
        </w:tc>
        <w:tc>
          <w:tcPr>
            <w:tcW w:w="5938" w:type="dxa"/>
            <w:gridSpan w:val="5"/>
            <w:tcBorders>
              <w:top w:val="single" w:color="000000" w:sz="4" w:space="0"/>
              <w:left w:val="single" w:color="000000" w:sz="4" w:space="0"/>
              <w:bottom w:val="single" w:color="000000" w:sz="4" w:space="0"/>
              <w:right w:val="single" w:color="000000" w:sz="4" w:space="0"/>
            </w:tcBorders>
            <w:vAlign w:val="center"/>
          </w:tcPr>
          <w:p w14:paraId="01AA4056">
            <w:pPr>
              <w:keepNext w:val="0"/>
              <w:keepLines w:val="0"/>
              <w:suppressLineNumbers w:val="0"/>
              <w:spacing w:before="0" w:beforeAutospacing="0" w:after="0" w:afterAutospacing="0" w:line="300" w:lineRule="exact"/>
              <w:ind w:left="0" w:right="0"/>
              <w:jc w:val="left"/>
              <w:rPr>
                <w:rFonts w:hint="default" w:ascii="宋体" w:hAnsi="宋体" w:eastAsia="宋体" w:cs="Times New Roman"/>
                <w:color w:val="000000"/>
                <w:sz w:val="24"/>
                <w:szCs w:val="24"/>
              </w:rPr>
            </w:pPr>
          </w:p>
        </w:tc>
      </w:tr>
      <w:tr w14:paraId="44EF9B9F">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vAlign w:val="center"/>
          </w:tcPr>
          <w:p w14:paraId="3C3413D5">
            <w:pPr>
              <w:keepNext w:val="0"/>
              <w:keepLines w:val="0"/>
              <w:suppressLineNumbers w:val="0"/>
              <w:spacing w:before="0" w:beforeAutospacing="0" w:after="0" w:afterAutospacing="0" w:line="300" w:lineRule="exact"/>
              <w:ind w:left="0" w:right="0"/>
              <w:rPr>
                <w:rFonts w:hint="default" w:ascii="宋体" w:hAnsi="宋体" w:eastAsia="宋体" w:cs="Times New Roman"/>
                <w:color w:val="000000"/>
                <w:sz w:val="24"/>
                <w:szCs w:val="24"/>
              </w:rPr>
            </w:pPr>
          </w:p>
        </w:tc>
        <w:tc>
          <w:tcPr>
            <w:tcW w:w="3643" w:type="dxa"/>
            <w:gridSpan w:val="3"/>
            <w:tcBorders>
              <w:top w:val="single" w:color="000000" w:sz="4" w:space="0"/>
              <w:left w:val="single" w:color="000000" w:sz="4" w:space="0"/>
              <w:bottom w:val="single" w:color="000000" w:sz="4" w:space="0"/>
              <w:right w:val="single" w:color="000000" w:sz="4" w:space="0"/>
            </w:tcBorders>
            <w:vAlign w:val="center"/>
          </w:tcPr>
          <w:p w14:paraId="1E2DB7E5">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Times New Roman"/>
                <w:color w:val="000000"/>
                <w:sz w:val="24"/>
                <w:szCs w:val="24"/>
              </w:rPr>
            </w:pPr>
            <w:r>
              <w:rPr>
                <w:rFonts w:hint="eastAsia" w:ascii="宋体" w:hAnsi="宋体" w:eastAsia="宋体" w:cs="宋体"/>
                <w:color w:val="000000"/>
                <w:kern w:val="0"/>
                <w:sz w:val="24"/>
                <w:szCs w:val="24"/>
              </w:rPr>
              <w:t>资金管理办法（名称、文号）</w:t>
            </w:r>
          </w:p>
        </w:tc>
        <w:tc>
          <w:tcPr>
            <w:tcW w:w="5938" w:type="dxa"/>
            <w:gridSpan w:val="5"/>
            <w:tcBorders>
              <w:top w:val="single" w:color="000000" w:sz="4" w:space="0"/>
              <w:left w:val="single" w:color="000000" w:sz="4" w:space="0"/>
              <w:bottom w:val="single" w:color="000000" w:sz="4" w:space="0"/>
              <w:right w:val="single" w:color="000000" w:sz="4" w:space="0"/>
            </w:tcBorders>
            <w:vAlign w:val="center"/>
          </w:tcPr>
          <w:p w14:paraId="3EE38531">
            <w:pPr>
              <w:keepNext w:val="0"/>
              <w:keepLines w:val="0"/>
              <w:suppressLineNumbers w:val="0"/>
              <w:spacing w:before="0" w:beforeAutospacing="0" w:after="0" w:afterAutospacing="0" w:line="300" w:lineRule="exact"/>
              <w:ind w:left="0" w:right="0"/>
              <w:jc w:val="left"/>
              <w:rPr>
                <w:rFonts w:hint="default" w:ascii="宋体" w:hAnsi="宋体" w:eastAsia="宋体" w:cs="Times New Roman"/>
                <w:color w:val="000000"/>
                <w:sz w:val="24"/>
                <w:szCs w:val="24"/>
              </w:rPr>
            </w:pPr>
          </w:p>
        </w:tc>
      </w:tr>
      <w:tr w14:paraId="387FD07D">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vAlign w:val="center"/>
          </w:tcPr>
          <w:p w14:paraId="45D7C33C">
            <w:pPr>
              <w:keepNext w:val="0"/>
              <w:keepLines w:val="0"/>
              <w:suppressLineNumbers w:val="0"/>
              <w:spacing w:before="0" w:beforeAutospacing="0" w:after="0" w:afterAutospacing="0" w:line="300" w:lineRule="exact"/>
              <w:ind w:left="0" w:right="0"/>
              <w:rPr>
                <w:rFonts w:hint="default" w:ascii="宋体" w:hAnsi="宋体" w:eastAsia="宋体" w:cs="Times New Roman"/>
                <w:color w:val="000000"/>
                <w:sz w:val="24"/>
                <w:szCs w:val="24"/>
              </w:rPr>
            </w:pPr>
          </w:p>
        </w:tc>
        <w:tc>
          <w:tcPr>
            <w:tcW w:w="3643" w:type="dxa"/>
            <w:gridSpan w:val="3"/>
            <w:tcBorders>
              <w:top w:val="single" w:color="000000" w:sz="4" w:space="0"/>
              <w:left w:val="single" w:color="000000" w:sz="4" w:space="0"/>
              <w:bottom w:val="single" w:color="000000" w:sz="4" w:space="0"/>
              <w:right w:val="single" w:color="000000" w:sz="4" w:space="0"/>
            </w:tcBorders>
            <w:vAlign w:val="center"/>
          </w:tcPr>
          <w:p w14:paraId="7D6FA84F">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Times New Roman"/>
                <w:color w:val="000000"/>
                <w:sz w:val="24"/>
                <w:szCs w:val="24"/>
              </w:rPr>
            </w:pPr>
            <w:r>
              <w:rPr>
                <w:rFonts w:hint="eastAsia" w:ascii="宋体" w:hAnsi="宋体" w:eastAsia="宋体" w:cs="宋体"/>
                <w:color w:val="000000"/>
                <w:kern w:val="0"/>
                <w:sz w:val="24"/>
                <w:szCs w:val="24"/>
              </w:rPr>
              <w:t>绩效分配方式</w:t>
            </w:r>
          </w:p>
        </w:tc>
        <w:tc>
          <w:tcPr>
            <w:tcW w:w="1127" w:type="dxa"/>
            <w:tcBorders>
              <w:top w:val="single" w:color="000000" w:sz="4" w:space="0"/>
              <w:left w:val="single" w:color="000000" w:sz="4" w:space="0"/>
              <w:bottom w:val="single" w:color="000000" w:sz="4" w:space="0"/>
              <w:right w:val="single" w:color="000000" w:sz="4" w:space="0"/>
            </w:tcBorders>
            <w:vAlign w:val="center"/>
          </w:tcPr>
          <w:p w14:paraId="757E52C1">
            <w:pPr>
              <w:keepNext w:val="0"/>
              <w:keepLines w:val="0"/>
              <w:widowControl/>
              <w:suppressLineNumbers w:val="0"/>
              <w:spacing w:before="0" w:beforeAutospacing="0" w:after="0" w:afterAutospacing="0" w:line="300" w:lineRule="exact"/>
              <w:ind w:left="0" w:right="0"/>
              <w:jc w:val="left"/>
              <w:textAlignment w:val="center"/>
              <w:rPr>
                <w:rFonts w:hint="default" w:ascii="Wingdings 2" w:hAnsi="Wingdings 2" w:eastAsia="仿宋_GB2312" w:cs="Wingdings 2"/>
                <w:color w:val="000000"/>
                <w:sz w:val="24"/>
                <w:szCs w:val="24"/>
              </w:rPr>
            </w:pPr>
            <w:r>
              <w:rPr>
                <w:rFonts w:hint="default" w:ascii="Wingdings 2" w:hAnsi="Wingdings 2" w:eastAsia="仿宋_GB2312" w:cs="Wingdings 2"/>
                <w:color w:val="000000"/>
                <w:kern w:val="0"/>
                <w:sz w:val="24"/>
                <w:szCs w:val="24"/>
              </w:rPr>
              <w:t></w:t>
            </w:r>
            <w:r>
              <w:rPr>
                <w:rFonts w:hint="eastAsia" w:ascii="宋体" w:hAnsi="宋体" w:eastAsia="宋体" w:cs="宋体"/>
                <w:color w:val="000000"/>
                <w:kern w:val="0"/>
                <w:sz w:val="24"/>
                <w:szCs w:val="24"/>
              </w:rPr>
              <w:t>因素法</w:t>
            </w:r>
          </w:p>
        </w:tc>
        <w:tc>
          <w:tcPr>
            <w:tcW w:w="2032" w:type="dxa"/>
            <w:gridSpan w:val="2"/>
            <w:tcBorders>
              <w:top w:val="single" w:color="000000" w:sz="4" w:space="0"/>
              <w:left w:val="single" w:color="000000" w:sz="4" w:space="0"/>
              <w:bottom w:val="single" w:color="000000" w:sz="4" w:space="0"/>
              <w:right w:val="single" w:color="000000" w:sz="4" w:space="0"/>
            </w:tcBorders>
            <w:vAlign w:val="center"/>
          </w:tcPr>
          <w:p w14:paraId="1E8F2B16">
            <w:pPr>
              <w:keepNext w:val="0"/>
              <w:keepLines w:val="0"/>
              <w:widowControl/>
              <w:suppressLineNumbers w:val="0"/>
              <w:spacing w:before="0" w:beforeAutospacing="0" w:after="0" w:afterAutospacing="0" w:line="300" w:lineRule="exact"/>
              <w:ind w:left="0" w:right="0"/>
              <w:jc w:val="center"/>
              <w:textAlignment w:val="center"/>
              <w:rPr>
                <w:rFonts w:hint="default" w:ascii="Wingdings 2" w:hAnsi="Wingdings 2" w:eastAsia="仿宋_GB2312" w:cs="Wingdings 2"/>
                <w:color w:val="000000"/>
                <w:sz w:val="24"/>
                <w:szCs w:val="24"/>
              </w:rPr>
            </w:pPr>
            <w:r>
              <w:rPr>
                <w:rFonts w:hint="default" w:ascii="Wingdings 2" w:hAnsi="Wingdings 2" w:eastAsia="仿宋_GB2312" w:cs="Wingdings 2"/>
                <w:color w:val="000000"/>
                <w:kern w:val="0"/>
                <w:sz w:val="24"/>
                <w:szCs w:val="24"/>
              </w:rPr>
              <w:t></w:t>
            </w:r>
            <w:r>
              <w:rPr>
                <w:rFonts w:hint="eastAsia" w:ascii="Wingdings 2" w:hAnsi="Wingdings 2" w:eastAsia="仿宋_GB2312" w:cs="仿宋_GB2312"/>
                <w:color w:val="000000"/>
                <w:kern w:val="0"/>
                <w:sz w:val="24"/>
                <w:szCs w:val="24"/>
              </w:rPr>
              <w:t>项目法</w:t>
            </w:r>
          </w:p>
        </w:tc>
        <w:tc>
          <w:tcPr>
            <w:tcW w:w="938" w:type="dxa"/>
            <w:tcBorders>
              <w:top w:val="single" w:color="000000" w:sz="4" w:space="0"/>
              <w:left w:val="single" w:color="000000" w:sz="4" w:space="0"/>
              <w:bottom w:val="single" w:color="000000" w:sz="4" w:space="0"/>
              <w:right w:val="single" w:color="000000" w:sz="4" w:space="0"/>
            </w:tcBorders>
            <w:vAlign w:val="center"/>
          </w:tcPr>
          <w:p w14:paraId="4289395D">
            <w:pPr>
              <w:keepNext w:val="0"/>
              <w:keepLines w:val="0"/>
              <w:widowControl/>
              <w:suppressLineNumbers w:val="0"/>
              <w:spacing w:before="0" w:beforeAutospacing="0" w:after="0" w:afterAutospacing="0" w:line="300" w:lineRule="exact"/>
              <w:ind w:left="0" w:right="0"/>
              <w:jc w:val="center"/>
              <w:textAlignment w:val="center"/>
              <w:rPr>
                <w:rFonts w:hint="default" w:ascii="Wingdings 2" w:hAnsi="Wingdings 2" w:eastAsia="仿宋_GB2312" w:cs="Wingdings 2"/>
                <w:color w:val="000000"/>
                <w:sz w:val="24"/>
                <w:szCs w:val="24"/>
              </w:rPr>
            </w:pPr>
            <w:r>
              <w:rPr>
                <w:rFonts w:hint="default" w:ascii="Wingdings 2" w:hAnsi="Wingdings 2" w:eastAsia="Times New Roman" w:cs="Times New Roman"/>
                <w:color w:val="000000"/>
                <w:kern w:val="0"/>
                <w:sz w:val="24"/>
                <w:szCs w:val="24"/>
              </w:rPr>
              <w:sym w:font="Wingdings 2" w:char="F052"/>
            </w:r>
            <w:r>
              <w:rPr>
                <w:rFonts w:hint="eastAsia" w:ascii="宋体" w:hAnsi="宋体" w:eastAsia="宋体" w:cs="宋体"/>
                <w:color w:val="000000"/>
                <w:kern w:val="0"/>
                <w:sz w:val="24"/>
                <w:szCs w:val="24"/>
              </w:rPr>
              <w:t>据实据效</w:t>
            </w:r>
          </w:p>
        </w:tc>
        <w:tc>
          <w:tcPr>
            <w:tcW w:w="1841" w:type="dxa"/>
            <w:tcBorders>
              <w:top w:val="single" w:color="000000" w:sz="4" w:space="0"/>
              <w:left w:val="single" w:color="000000" w:sz="4" w:space="0"/>
              <w:bottom w:val="single" w:color="000000" w:sz="4" w:space="0"/>
              <w:right w:val="single" w:color="000000" w:sz="4" w:space="0"/>
            </w:tcBorders>
            <w:vAlign w:val="center"/>
          </w:tcPr>
          <w:p w14:paraId="0E690E1C">
            <w:pPr>
              <w:keepNext w:val="0"/>
              <w:keepLines w:val="0"/>
              <w:widowControl/>
              <w:suppressLineNumbers w:val="0"/>
              <w:spacing w:before="0" w:beforeAutospacing="0" w:after="0" w:afterAutospacing="0" w:line="300" w:lineRule="exact"/>
              <w:ind w:left="0" w:right="0"/>
              <w:jc w:val="center"/>
              <w:textAlignment w:val="center"/>
              <w:rPr>
                <w:rFonts w:hint="default" w:ascii="Wingdings 2" w:hAnsi="Wingdings 2" w:eastAsia="仿宋_GB2312" w:cs="Wingdings 2"/>
                <w:color w:val="000000"/>
                <w:sz w:val="24"/>
                <w:szCs w:val="24"/>
              </w:rPr>
            </w:pPr>
            <w:r>
              <w:rPr>
                <w:rFonts w:hint="default" w:ascii="Wingdings 2" w:hAnsi="Wingdings 2" w:eastAsia="仿宋_GB2312" w:cs="Wingdings 2"/>
                <w:color w:val="000000"/>
                <w:kern w:val="0"/>
                <w:sz w:val="24"/>
                <w:szCs w:val="24"/>
              </w:rPr>
              <w:t></w:t>
            </w:r>
            <w:r>
              <w:rPr>
                <w:rFonts w:hint="eastAsia" w:ascii="宋体" w:hAnsi="宋体" w:eastAsia="宋体" w:cs="宋体"/>
                <w:color w:val="000000"/>
                <w:kern w:val="0"/>
                <w:sz w:val="24"/>
                <w:szCs w:val="24"/>
              </w:rPr>
              <w:t>因素法与项目法相结合</w:t>
            </w:r>
          </w:p>
        </w:tc>
      </w:tr>
      <w:tr w14:paraId="6B14353E">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vAlign w:val="center"/>
          </w:tcPr>
          <w:p w14:paraId="3B35B778">
            <w:pPr>
              <w:keepNext w:val="0"/>
              <w:keepLines w:val="0"/>
              <w:suppressLineNumbers w:val="0"/>
              <w:spacing w:before="0" w:beforeAutospacing="0" w:after="0" w:afterAutospacing="0" w:line="300" w:lineRule="exact"/>
              <w:ind w:left="0" w:right="0"/>
              <w:rPr>
                <w:rFonts w:hint="default" w:ascii="宋体" w:hAnsi="宋体" w:eastAsia="宋体" w:cs="Times New Roman"/>
                <w:color w:val="000000"/>
                <w:sz w:val="24"/>
                <w:szCs w:val="24"/>
              </w:rPr>
            </w:pPr>
          </w:p>
        </w:tc>
        <w:tc>
          <w:tcPr>
            <w:tcW w:w="3643" w:type="dxa"/>
            <w:gridSpan w:val="3"/>
            <w:tcBorders>
              <w:top w:val="single" w:color="000000" w:sz="4" w:space="0"/>
              <w:left w:val="single" w:color="000000" w:sz="4" w:space="0"/>
              <w:bottom w:val="single" w:color="000000" w:sz="4" w:space="0"/>
              <w:right w:val="single" w:color="000000" w:sz="4" w:space="0"/>
            </w:tcBorders>
            <w:vAlign w:val="center"/>
          </w:tcPr>
          <w:p w14:paraId="09F206A2">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Times New Roman"/>
                <w:color w:val="000000"/>
                <w:sz w:val="24"/>
                <w:szCs w:val="24"/>
              </w:rPr>
            </w:pPr>
            <w:r>
              <w:rPr>
                <w:rFonts w:hint="eastAsia" w:ascii="宋体" w:hAnsi="宋体" w:eastAsia="宋体" w:cs="宋体"/>
                <w:color w:val="000000"/>
                <w:kern w:val="0"/>
                <w:sz w:val="24"/>
                <w:szCs w:val="24"/>
              </w:rPr>
              <w:t>立项依据</w:t>
            </w:r>
          </w:p>
        </w:tc>
        <w:tc>
          <w:tcPr>
            <w:tcW w:w="5938" w:type="dxa"/>
            <w:gridSpan w:val="5"/>
            <w:tcBorders>
              <w:top w:val="single" w:color="000000" w:sz="4" w:space="0"/>
              <w:left w:val="single" w:color="000000" w:sz="4" w:space="0"/>
              <w:bottom w:val="single" w:color="000000" w:sz="4" w:space="0"/>
              <w:right w:val="single" w:color="000000" w:sz="4" w:space="0"/>
            </w:tcBorders>
            <w:vAlign w:val="center"/>
          </w:tcPr>
          <w:p w14:paraId="093FF45F">
            <w:pPr>
              <w:keepNext w:val="0"/>
              <w:keepLines w:val="0"/>
              <w:suppressLineNumbers w:val="0"/>
              <w:spacing w:before="0" w:beforeAutospacing="0" w:after="0" w:afterAutospacing="0" w:line="300" w:lineRule="exact"/>
              <w:ind w:left="0" w:right="0"/>
              <w:jc w:val="left"/>
              <w:rPr>
                <w:rFonts w:hint="default" w:ascii="宋体" w:hAnsi="宋体" w:eastAsia="宋体" w:cs="Times New Roman"/>
                <w:color w:val="000000"/>
                <w:sz w:val="24"/>
                <w:szCs w:val="24"/>
              </w:rPr>
            </w:pPr>
          </w:p>
        </w:tc>
      </w:tr>
      <w:tr w14:paraId="33EBC04D">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vAlign w:val="center"/>
          </w:tcPr>
          <w:p w14:paraId="4D046CFD">
            <w:pPr>
              <w:keepNext w:val="0"/>
              <w:keepLines w:val="0"/>
              <w:suppressLineNumbers w:val="0"/>
              <w:spacing w:before="0" w:beforeAutospacing="0" w:after="0" w:afterAutospacing="0" w:line="300" w:lineRule="exact"/>
              <w:ind w:left="0" w:right="0"/>
              <w:rPr>
                <w:rFonts w:hint="default" w:ascii="宋体" w:hAnsi="宋体" w:eastAsia="宋体" w:cs="Times New Roman"/>
                <w:color w:val="000000"/>
                <w:sz w:val="24"/>
                <w:szCs w:val="24"/>
              </w:rPr>
            </w:pPr>
          </w:p>
        </w:tc>
        <w:tc>
          <w:tcPr>
            <w:tcW w:w="3643" w:type="dxa"/>
            <w:gridSpan w:val="3"/>
            <w:tcBorders>
              <w:top w:val="single" w:color="000000" w:sz="4" w:space="0"/>
              <w:left w:val="single" w:color="000000" w:sz="4" w:space="0"/>
              <w:bottom w:val="single" w:color="000000" w:sz="4" w:space="0"/>
              <w:right w:val="single" w:color="000000" w:sz="4" w:space="0"/>
            </w:tcBorders>
            <w:vAlign w:val="center"/>
          </w:tcPr>
          <w:p w14:paraId="28C45D32">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Times New Roman"/>
                <w:color w:val="000000"/>
                <w:sz w:val="24"/>
                <w:szCs w:val="24"/>
              </w:rPr>
            </w:pPr>
            <w:r>
              <w:rPr>
                <w:rFonts w:hint="eastAsia" w:ascii="宋体" w:hAnsi="宋体" w:eastAsia="宋体" w:cs="宋体"/>
                <w:color w:val="000000"/>
                <w:kern w:val="0"/>
                <w:sz w:val="24"/>
                <w:szCs w:val="24"/>
              </w:rPr>
              <w:t>使用范围</w:t>
            </w:r>
          </w:p>
        </w:tc>
        <w:tc>
          <w:tcPr>
            <w:tcW w:w="5938" w:type="dxa"/>
            <w:gridSpan w:val="5"/>
            <w:tcBorders>
              <w:top w:val="single" w:color="000000" w:sz="4" w:space="0"/>
              <w:left w:val="single" w:color="000000" w:sz="4" w:space="0"/>
              <w:bottom w:val="single" w:color="000000" w:sz="4" w:space="0"/>
              <w:right w:val="single" w:color="000000" w:sz="4" w:space="0"/>
            </w:tcBorders>
            <w:vAlign w:val="center"/>
          </w:tcPr>
          <w:p w14:paraId="6DB51BBF">
            <w:pPr>
              <w:keepNext w:val="0"/>
              <w:keepLines w:val="0"/>
              <w:suppressLineNumbers w:val="0"/>
              <w:spacing w:before="0" w:beforeAutospacing="0" w:after="0" w:afterAutospacing="0" w:line="300" w:lineRule="exact"/>
              <w:ind w:left="0" w:right="0"/>
              <w:jc w:val="left"/>
              <w:rPr>
                <w:rFonts w:hint="default" w:ascii="宋体" w:hAnsi="宋体" w:eastAsia="宋体" w:cs="Times New Roman"/>
                <w:color w:val="000000"/>
                <w:sz w:val="24"/>
                <w:szCs w:val="24"/>
              </w:rPr>
            </w:pPr>
          </w:p>
        </w:tc>
      </w:tr>
      <w:tr w14:paraId="02F141D5">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vAlign w:val="center"/>
          </w:tcPr>
          <w:p w14:paraId="38654542">
            <w:pPr>
              <w:keepNext w:val="0"/>
              <w:keepLines w:val="0"/>
              <w:suppressLineNumbers w:val="0"/>
              <w:spacing w:before="0" w:beforeAutospacing="0" w:after="0" w:afterAutospacing="0" w:line="300" w:lineRule="exact"/>
              <w:ind w:left="0" w:right="0"/>
              <w:rPr>
                <w:rFonts w:hint="default" w:ascii="宋体" w:hAnsi="宋体" w:eastAsia="宋体" w:cs="Times New Roman"/>
                <w:color w:val="000000"/>
                <w:sz w:val="24"/>
                <w:szCs w:val="24"/>
              </w:rPr>
            </w:pPr>
          </w:p>
        </w:tc>
        <w:tc>
          <w:tcPr>
            <w:tcW w:w="3643" w:type="dxa"/>
            <w:gridSpan w:val="3"/>
            <w:tcBorders>
              <w:top w:val="single" w:color="000000" w:sz="4" w:space="0"/>
              <w:left w:val="single" w:color="000000" w:sz="4" w:space="0"/>
              <w:bottom w:val="single" w:color="000000" w:sz="4" w:space="0"/>
              <w:right w:val="single" w:color="000000" w:sz="4" w:space="0"/>
            </w:tcBorders>
            <w:vAlign w:val="center"/>
          </w:tcPr>
          <w:p w14:paraId="0DFC2270">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Times New Roman"/>
                <w:color w:val="000000"/>
                <w:sz w:val="24"/>
                <w:szCs w:val="24"/>
              </w:rPr>
            </w:pPr>
            <w:r>
              <w:rPr>
                <w:rFonts w:hint="eastAsia" w:ascii="宋体" w:hAnsi="宋体" w:eastAsia="宋体" w:cs="宋体"/>
                <w:color w:val="000000"/>
                <w:kern w:val="0"/>
                <w:sz w:val="24"/>
                <w:szCs w:val="24"/>
              </w:rPr>
              <w:t>申报（补助）条件</w:t>
            </w:r>
          </w:p>
        </w:tc>
        <w:tc>
          <w:tcPr>
            <w:tcW w:w="5938" w:type="dxa"/>
            <w:gridSpan w:val="5"/>
            <w:tcBorders>
              <w:top w:val="single" w:color="000000" w:sz="4" w:space="0"/>
              <w:left w:val="single" w:color="000000" w:sz="4" w:space="0"/>
              <w:bottom w:val="single" w:color="000000" w:sz="4" w:space="0"/>
              <w:right w:val="single" w:color="000000" w:sz="4" w:space="0"/>
            </w:tcBorders>
            <w:vAlign w:val="center"/>
          </w:tcPr>
          <w:p w14:paraId="4F5FF437">
            <w:pPr>
              <w:keepNext w:val="0"/>
              <w:keepLines w:val="0"/>
              <w:suppressLineNumbers w:val="0"/>
              <w:spacing w:before="0" w:beforeAutospacing="0" w:after="0" w:afterAutospacing="0" w:line="300" w:lineRule="exact"/>
              <w:ind w:left="0" w:right="0"/>
              <w:jc w:val="left"/>
              <w:rPr>
                <w:rFonts w:hint="default" w:ascii="宋体" w:hAnsi="宋体" w:eastAsia="宋体" w:cs="Times New Roman"/>
                <w:color w:val="000000"/>
                <w:sz w:val="24"/>
                <w:szCs w:val="24"/>
              </w:rPr>
            </w:pPr>
          </w:p>
        </w:tc>
      </w:tr>
      <w:tr w14:paraId="1DA047D5">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vAlign w:val="center"/>
          </w:tcPr>
          <w:p w14:paraId="47523673">
            <w:pPr>
              <w:keepNext w:val="0"/>
              <w:keepLines w:val="0"/>
              <w:suppressLineNumbers w:val="0"/>
              <w:spacing w:before="0" w:beforeAutospacing="0" w:after="0" w:afterAutospacing="0" w:line="300" w:lineRule="exact"/>
              <w:ind w:left="0" w:right="0"/>
              <w:rPr>
                <w:rFonts w:hint="default" w:ascii="宋体" w:hAnsi="宋体" w:eastAsia="宋体" w:cs="Times New Roman"/>
                <w:color w:val="000000"/>
                <w:sz w:val="24"/>
                <w:szCs w:val="24"/>
              </w:rPr>
            </w:pPr>
          </w:p>
        </w:tc>
        <w:tc>
          <w:tcPr>
            <w:tcW w:w="3643" w:type="dxa"/>
            <w:gridSpan w:val="3"/>
            <w:tcBorders>
              <w:top w:val="single" w:color="000000" w:sz="4" w:space="0"/>
              <w:left w:val="single" w:color="000000" w:sz="4" w:space="0"/>
              <w:bottom w:val="single" w:color="000000" w:sz="4" w:space="0"/>
              <w:right w:val="single" w:color="000000" w:sz="4" w:space="0"/>
            </w:tcBorders>
            <w:vAlign w:val="center"/>
          </w:tcPr>
          <w:p w14:paraId="4875F4FE">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Times New Roman"/>
                <w:color w:val="000000"/>
                <w:sz w:val="24"/>
                <w:szCs w:val="24"/>
              </w:rPr>
            </w:pPr>
            <w:r>
              <w:rPr>
                <w:rFonts w:hint="eastAsia" w:ascii="宋体" w:hAnsi="宋体" w:eastAsia="宋体" w:cs="宋体"/>
                <w:color w:val="000000"/>
                <w:kern w:val="0"/>
                <w:sz w:val="24"/>
                <w:szCs w:val="24"/>
              </w:rPr>
              <w:t>项目起止年限</w:t>
            </w:r>
          </w:p>
        </w:tc>
        <w:tc>
          <w:tcPr>
            <w:tcW w:w="5938" w:type="dxa"/>
            <w:gridSpan w:val="5"/>
            <w:tcBorders>
              <w:top w:val="single" w:color="000000" w:sz="4" w:space="0"/>
              <w:left w:val="single" w:color="000000" w:sz="4" w:space="0"/>
              <w:bottom w:val="single" w:color="000000" w:sz="4" w:space="0"/>
              <w:right w:val="single" w:color="000000" w:sz="4" w:space="0"/>
            </w:tcBorders>
            <w:vAlign w:val="center"/>
          </w:tcPr>
          <w:p w14:paraId="563A6DA2">
            <w:pPr>
              <w:keepNext w:val="0"/>
              <w:keepLines w:val="0"/>
              <w:suppressLineNumbers w:val="0"/>
              <w:spacing w:before="0" w:beforeAutospacing="0" w:after="0" w:afterAutospacing="0" w:line="300" w:lineRule="exact"/>
              <w:ind w:left="0" w:right="0"/>
              <w:rPr>
                <w:rFonts w:hint="default" w:ascii="宋体" w:hAnsi="宋体" w:eastAsia="宋体" w:cs="Times New Roman"/>
                <w:color w:val="000000"/>
                <w:sz w:val="24"/>
                <w:szCs w:val="24"/>
              </w:rPr>
            </w:pPr>
          </w:p>
        </w:tc>
      </w:tr>
      <w:tr w14:paraId="708C672E">
        <w:tblPrEx>
          <w:tblCellMar>
            <w:top w:w="15" w:type="dxa"/>
            <w:left w:w="15" w:type="dxa"/>
            <w:bottom w:w="15" w:type="dxa"/>
            <w:right w:w="15" w:type="dxa"/>
          </w:tblCellMar>
        </w:tblPrEx>
        <w:trPr>
          <w:trHeight w:val="23" w:hRule="atLeast"/>
          <w:jc w:val="center"/>
        </w:trPr>
        <w:tc>
          <w:tcPr>
            <w:tcW w:w="1733" w:type="dxa"/>
            <w:gridSpan w:val="2"/>
            <w:vMerge w:val="restart"/>
            <w:tcBorders>
              <w:top w:val="single" w:color="000000" w:sz="4" w:space="0"/>
              <w:left w:val="single" w:color="000000" w:sz="4" w:space="0"/>
              <w:bottom w:val="single" w:color="000000" w:sz="4" w:space="0"/>
              <w:right w:val="single" w:color="000000" w:sz="4" w:space="0"/>
            </w:tcBorders>
            <w:vAlign w:val="center"/>
          </w:tcPr>
          <w:p w14:paraId="0293A877">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Times New Roman"/>
                <w:color w:val="000000"/>
                <w:kern w:val="0"/>
                <w:sz w:val="24"/>
                <w:szCs w:val="24"/>
              </w:rPr>
            </w:pPr>
            <w:r>
              <w:rPr>
                <w:rFonts w:hint="eastAsia" w:ascii="宋体" w:hAnsi="宋体" w:eastAsia="宋体" w:cs="宋体"/>
                <w:color w:val="000000"/>
                <w:kern w:val="0"/>
                <w:sz w:val="24"/>
                <w:szCs w:val="24"/>
              </w:rPr>
              <w:t>项目资金</w:t>
            </w:r>
          </w:p>
          <w:p w14:paraId="42BDE551">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Times New Roman"/>
                <w:color w:val="000000"/>
                <w:sz w:val="24"/>
                <w:szCs w:val="24"/>
              </w:rPr>
            </w:pPr>
            <w:r>
              <w:rPr>
                <w:rFonts w:hint="eastAsia" w:ascii="宋体" w:hAnsi="宋体" w:eastAsia="宋体" w:cs="宋体"/>
                <w:color w:val="000000"/>
                <w:kern w:val="0"/>
                <w:sz w:val="24"/>
                <w:szCs w:val="24"/>
              </w:rPr>
              <w:t>（万元）</w:t>
            </w:r>
          </w:p>
        </w:tc>
        <w:tc>
          <w:tcPr>
            <w:tcW w:w="2562" w:type="dxa"/>
            <w:gridSpan w:val="2"/>
            <w:tcBorders>
              <w:top w:val="single" w:color="000000" w:sz="4" w:space="0"/>
              <w:left w:val="single" w:color="000000" w:sz="4" w:space="0"/>
              <w:bottom w:val="single" w:color="000000" w:sz="4" w:space="0"/>
              <w:right w:val="single" w:color="000000" w:sz="4" w:space="0"/>
            </w:tcBorders>
            <w:vAlign w:val="center"/>
          </w:tcPr>
          <w:p w14:paraId="7BD48F8A">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Times New Roman"/>
                <w:color w:val="000000"/>
                <w:sz w:val="24"/>
                <w:szCs w:val="24"/>
              </w:rPr>
            </w:pPr>
            <w:r>
              <w:rPr>
                <w:rFonts w:hint="default" w:ascii="宋体" w:hAnsi="宋体" w:eastAsia="宋体" w:cs="宋体"/>
                <w:color w:val="000000"/>
                <w:kern w:val="0"/>
                <w:sz w:val="24"/>
                <w:szCs w:val="24"/>
              </w:rPr>
              <w:t xml:space="preserve">  </w:t>
            </w:r>
            <w:r>
              <w:rPr>
                <w:rFonts w:hint="eastAsia" w:ascii="宋体" w:hAnsi="宋体" w:eastAsia="宋体" w:cs="宋体"/>
                <w:color w:val="000000"/>
                <w:kern w:val="0"/>
                <w:sz w:val="24"/>
                <w:szCs w:val="24"/>
              </w:rPr>
              <w:t>年度资金总额：</w:t>
            </w:r>
          </w:p>
        </w:tc>
        <w:tc>
          <w:tcPr>
            <w:tcW w:w="5938" w:type="dxa"/>
            <w:gridSpan w:val="5"/>
            <w:tcBorders>
              <w:top w:val="single" w:color="000000" w:sz="4" w:space="0"/>
              <w:left w:val="single" w:color="000000" w:sz="4" w:space="0"/>
              <w:bottom w:val="single" w:color="000000" w:sz="4" w:space="0"/>
              <w:right w:val="single" w:color="000000" w:sz="4" w:space="0"/>
            </w:tcBorders>
            <w:vAlign w:val="center"/>
          </w:tcPr>
          <w:p w14:paraId="6C84917F">
            <w:pPr>
              <w:keepNext w:val="0"/>
              <w:keepLines w:val="0"/>
              <w:suppressLineNumbers w:val="0"/>
              <w:spacing w:before="0" w:beforeAutospacing="0" w:after="0" w:afterAutospacing="0" w:line="300" w:lineRule="exact"/>
              <w:ind w:left="0" w:right="0"/>
              <w:jc w:val="right"/>
              <w:rPr>
                <w:rFonts w:hint="default" w:ascii="宋体" w:hAnsi="宋体" w:eastAsia="宋体" w:cs="Times New Roman"/>
                <w:color w:val="000000"/>
                <w:sz w:val="24"/>
                <w:szCs w:val="24"/>
              </w:rPr>
            </w:pPr>
          </w:p>
        </w:tc>
      </w:tr>
      <w:tr w14:paraId="0D0F2D94">
        <w:tblPrEx>
          <w:tblCellMar>
            <w:top w:w="15" w:type="dxa"/>
            <w:left w:w="15" w:type="dxa"/>
            <w:bottom w:w="15" w:type="dxa"/>
            <w:right w:w="15" w:type="dxa"/>
          </w:tblCellMar>
        </w:tblPrEx>
        <w:trPr>
          <w:trHeight w:val="23" w:hRule="atLeast"/>
          <w:jc w:val="center"/>
        </w:trPr>
        <w:tc>
          <w:tcPr>
            <w:tcW w:w="1733" w:type="dxa"/>
            <w:gridSpan w:val="2"/>
            <w:vMerge w:val="continue"/>
            <w:tcBorders>
              <w:top w:val="single" w:color="000000" w:sz="4" w:space="0"/>
              <w:left w:val="single" w:color="000000" w:sz="4" w:space="0"/>
              <w:bottom w:val="single" w:color="000000" w:sz="4" w:space="0"/>
              <w:right w:val="single" w:color="000000" w:sz="4" w:space="0"/>
            </w:tcBorders>
            <w:vAlign w:val="center"/>
          </w:tcPr>
          <w:p w14:paraId="1B0BC903">
            <w:pPr>
              <w:keepNext w:val="0"/>
              <w:keepLines w:val="0"/>
              <w:suppressLineNumbers w:val="0"/>
              <w:spacing w:before="0" w:beforeAutospacing="0" w:after="0" w:afterAutospacing="0" w:line="300" w:lineRule="exact"/>
              <w:ind w:left="0" w:right="0"/>
              <w:rPr>
                <w:rFonts w:hint="default" w:ascii="宋体" w:hAnsi="宋体" w:eastAsia="宋体" w:cs="Times New Roman"/>
                <w:color w:val="000000"/>
                <w:sz w:val="24"/>
                <w:szCs w:val="24"/>
              </w:rPr>
            </w:pPr>
          </w:p>
        </w:tc>
        <w:tc>
          <w:tcPr>
            <w:tcW w:w="2562" w:type="dxa"/>
            <w:gridSpan w:val="2"/>
            <w:tcBorders>
              <w:top w:val="single" w:color="000000" w:sz="4" w:space="0"/>
              <w:left w:val="single" w:color="000000" w:sz="4" w:space="0"/>
              <w:bottom w:val="single" w:color="000000" w:sz="4" w:space="0"/>
              <w:right w:val="single" w:color="000000" w:sz="4" w:space="0"/>
            </w:tcBorders>
            <w:vAlign w:val="center"/>
          </w:tcPr>
          <w:p w14:paraId="1D307B31">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Times New Roman"/>
                <w:color w:val="000000"/>
                <w:sz w:val="24"/>
                <w:szCs w:val="24"/>
              </w:rPr>
            </w:pPr>
            <w:r>
              <w:rPr>
                <w:rFonts w:hint="default" w:ascii="宋体" w:hAnsi="宋体" w:eastAsia="宋体" w:cs="宋体"/>
                <w:color w:val="000000"/>
                <w:kern w:val="0"/>
                <w:sz w:val="24"/>
                <w:szCs w:val="24"/>
              </w:rPr>
              <w:t xml:space="preserve">      </w:t>
            </w:r>
            <w:r>
              <w:rPr>
                <w:rFonts w:hint="eastAsia" w:ascii="宋体" w:hAnsi="宋体" w:eastAsia="宋体" w:cs="宋体"/>
                <w:color w:val="000000"/>
                <w:kern w:val="0"/>
                <w:sz w:val="24"/>
                <w:szCs w:val="24"/>
              </w:rPr>
              <w:t>其中：财政拨款</w:t>
            </w:r>
          </w:p>
        </w:tc>
        <w:tc>
          <w:tcPr>
            <w:tcW w:w="5938" w:type="dxa"/>
            <w:gridSpan w:val="5"/>
            <w:tcBorders>
              <w:top w:val="single" w:color="000000" w:sz="4" w:space="0"/>
              <w:left w:val="single" w:color="000000" w:sz="4" w:space="0"/>
              <w:bottom w:val="single" w:color="000000" w:sz="4" w:space="0"/>
              <w:right w:val="single" w:color="000000" w:sz="4" w:space="0"/>
            </w:tcBorders>
            <w:vAlign w:val="center"/>
          </w:tcPr>
          <w:p w14:paraId="6918FC60">
            <w:pPr>
              <w:keepNext w:val="0"/>
              <w:keepLines w:val="0"/>
              <w:suppressLineNumbers w:val="0"/>
              <w:spacing w:before="0" w:beforeAutospacing="0" w:after="0" w:afterAutospacing="0" w:line="300" w:lineRule="exact"/>
              <w:ind w:left="0" w:right="0"/>
              <w:jc w:val="right"/>
              <w:rPr>
                <w:rFonts w:hint="default" w:ascii="宋体" w:hAnsi="宋体" w:eastAsia="宋体" w:cs="Times New Roman"/>
                <w:color w:val="000000"/>
                <w:sz w:val="24"/>
                <w:szCs w:val="24"/>
              </w:rPr>
            </w:pPr>
          </w:p>
        </w:tc>
      </w:tr>
      <w:tr w14:paraId="78785CC8">
        <w:tblPrEx>
          <w:tblCellMar>
            <w:top w:w="15" w:type="dxa"/>
            <w:left w:w="15" w:type="dxa"/>
            <w:bottom w:w="15" w:type="dxa"/>
            <w:right w:w="15" w:type="dxa"/>
          </w:tblCellMar>
        </w:tblPrEx>
        <w:trPr>
          <w:trHeight w:val="23" w:hRule="atLeast"/>
          <w:jc w:val="center"/>
        </w:trPr>
        <w:tc>
          <w:tcPr>
            <w:tcW w:w="1733" w:type="dxa"/>
            <w:gridSpan w:val="2"/>
            <w:vMerge w:val="continue"/>
            <w:tcBorders>
              <w:top w:val="single" w:color="000000" w:sz="4" w:space="0"/>
              <w:left w:val="single" w:color="000000" w:sz="4" w:space="0"/>
              <w:bottom w:val="single" w:color="000000" w:sz="4" w:space="0"/>
              <w:right w:val="single" w:color="000000" w:sz="4" w:space="0"/>
            </w:tcBorders>
            <w:vAlign w:val="center"/>
          </w:tcPr>
          <w:p w14:paraId="392C1F04">
            <w:pPr>
              <w:keepNext w:val="0"/>
              <w:keepLines w:val="0"/>
              <w:suppressLineNumbers w:val="0"/>
              <w:spacing w:before="0" w:beforeAutospacing="0" w:after="0" w:afterAutospacing="0" w:line="300" w:lineRule="exact"/>
              <w:ind w:left="0" w:right="0"/>
              <w:rPr>
                <w:rFonts w:hint="default" w:ascii="宋体" w:hAnsi="宋体" w:eastAsia="宋体" w:cs="Times New Roman"/>
                <w:color w:val="000000"/>
                <w:sz w:val="24"/>
                <w:szCs w:val="24"/>
              </w:rPr>
            </w:pPr>
          </w:p>
        </w:tc>
        <w:tc>
          <w:tcPr>
            <w:tcW w:w="2562" w:type="dxa"/>
            <w:gridSpan w:val="2"/>
            <w:tcBorders>
              <w:top w:val="single" w:color="000000" w:sz="4" w:space="0"/>
              <w:left w:val="single" w:color="000000" w:sz="4" w:space="0"/>
              <w:bottom w:val="single" w:color="000000" w:sz="4" w:space="0"/>
              <w:right w:val="single" w:color="000000" w:sz="4" w:space="0"/>
            </w:tcBorders>
            <w:vAlign w:val="center"/>
          </w:tcPr>
          <w:p w14:paraId="16B04477">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Times New Roman"/>
                <w:color w:val="000000"/>
                <w:sz w:val="24"/>
                <w:szCs w:val="24"/>
              </w:rPr>
            </w:pPr>
            <w:r>
              <w:rPr>
                <w:rFonts w:hint="default" w:ascii="宋体" w:hAnsi="宋体" w:eastAsia="宋体" w:cs="宋体"/>
                <w:color w:val="000000"/>
                <w:kern w:val="0"/>
                <w:sz w:val="24"/>
                <w:szCs w:val="24"/>
              </w:rPr>
              <w:t xml:space="preserve">            </w:t>
            </w:r>
            <w:r>
              <w:rPr>
                <w:rFonts w:hint="eastAsia" w:ascii="宋体" w:hAnsi="宋体" w:eastAsia="宋体" w:cs="宋体"/>
                <w:color w:val="000000"/>
                <w:kern w:val="0"/>
                <w:sz w:val="24"/>
                <w:szCs w:val="24"/>
              </w:rPr>
              <w:t>其他资金</w:t>
            </w:r>
          </w:p>
        </w:tc>
        <w:tc>
          <w:tcPr>
            <w:tcW w:w="5938" w:type="dxa"/>
            <w:gridSpan w:val="5"/>
            <w:tcBorders>
              <w:top w:val="single" w:color="000000" w:sz="4" w:space="0"/>
              <w:left w:val="single" w:color="000000" w:sz="4" w:space="0"/>
              <w:bottom w:val="single" w:color="000000" w:sz="4" w:space="0"/>
              <w:right w:val="single" w:color="000000" w:sz="4" w:space="0"/>
            </w:tcBorders>
            <w:vAlign w:val="center"/>
          </w:tcPr>
          <w:p w14:paraId="1FACE14C">
            <w:pPr>
              <w:keepNext w:val="0"/>
              <w:keepLines w:val="0"/>
              <w:suppressLineNumbers w:val="0"/>
              <w:spacing w:before="0" w:beforeAutospacing="0" w:after="0" w:afterAutospacing="0" w:line="300" w:lineRule="exact"/>
              <w:ind w:left="0" w:right="0"/>
              <w:jc w:val="right"/>
              <w:rPr>
                <w:rFonts w:hint="default" w:ascii="宋体" w:hAnsi="宋体" w:eastAsia="宋体" w:cs="Times New Roman"/>
                <w:color w:val="000000"/>
                <w:sz w:val="24"/>
                <w:szCs w:val="24"/>
              </w:rPr>
            </w:pPr>
          </w:p>
        </w:tc>
      </w:tr>
      <w:tr w14:paraId="5279E42E">
        <w:tblPrEx>
          <w:tblCellMar>
            <w:top w:w="15" w:type="dxa"/>
            <w:left w:w="15" w:type="dxa"/>
            <w:bottom w:w="15" w:type="dxa"/>
            <w:right w:w="15" w:type="dxa"/>
          </w:tblCellMar>
        </w:tblPrEx>
        <w:trPr>
          <w:trHeight w:val="23" w:hRule="atLeast"/>
          <w:jc w:val="center"/>
        </w:trPr>
        <w:tc>
          <w:tcPr>
            <w:tcW w:w="652" w:type="dxa"/>
            <w:vMerge w:val="restart"/>
            <w:tcBorders>
              <w:top w:val="single" w:color="000000" w:sz="4" w:space="0"/>
              <w:left w:val="single" w:color="000000" w:sz="4" w:space="0"/>
              <w:bottom w:val="single" w:color="000000" w:sz="4" w:space="0"/>
              <w:right w:val="single" w:color="000000" w:sz="4" w:space="0"/>
            </w:tcBorders>
            <w:vAlign w:val="center"/>
          </w:tcPr>
          <w:p w14:paraId="1DD46555">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Times New Roman"/>
                <w:color w:val="000000"/>
                <w:sz w:val="24"/>
                <w:szCs w:val="24"/>
              </w:rPr>
            </w:pPr>
            <w:r>
              <w:rPr>
                <w:rFonts w:hint="eastAsia" w:ascii="宋体" w:hAnsi="宋体" w:eastAsia="宋体" w:cs="宋体"/>
                <w:color w:val="000000"/>
                <w:kern w:val="0"/>
                <w:sz w:val="24"/>
                <w:szCs w:val="24"/>
              </w:rPr>
              <w:t>总体</w:t>
            </w:r>
            <w:r>
              <w:rPr>
                <w:rFonts w:hint="default" w:ascii="宋体" w:hAnsi="宋体" w:eastAsia="宋体" w:cs="宋体"/>
                <w:color w:val="000000"/>
                <w:kern w:val="0"/>
                <w:sz w:val="24"/>
                <w:szCs w:val="24"/>
              </w:rPr>
              <w:t xml:space="preserve"> </w:t>
            </w:r>
            <w:r>
              <w:rPr>
                <w:rFonts w:hint="eastAsia" w:ascii="宋体" w:hAnsi="宋体" w:eastAsia="宋体" w:cs="宋体"/>
                <w:color w:val="000000"/>
                <w:kern w:val="0"/>
                <w:sz w:val="24"/>
                <w:szCs w:val="24"/>
              </w:rPr>
              <w:t>目标</w:t>
            </w:r>
          </w:p>
        </w:tc>
        <w:tc>
          <w:tcPr>
            <w:tcW w:w="9581" w:type="dxa"/>
            <w:gridSpan w:val="8"/>
            <w:tcBorders>
              <w:top w:val="single" w:color="000000" w:sz="4" w:space="0"/>
              <w:left w:val="single" w:color="000000" w:sz="4" w:space="0"/>
              <w:bottom w:val="single" w:color="000000" w:sz="4" w:space="0"/>
              <w:right w:val="single" w:color="000000" w:sz="4" w:space="0"/>
            </w:tcBorders>
            <w:vAlign w:val="center"/>
          </w:tcPr>
          <w:p w14:paraId="08BB440D">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Times New Roman"/>
                <w:color w:val="000000"/>
                <w:sz w:val="24"/>
                <w:szCs w:val="24"/>
              </w:rPr>
            </w:pPr>
            <w:r>
              <w:rPr>
                <w:rFonts w:hint="eastAsia" w:ascii="宋体" w:hAnsi="宋体" w:eastAsia="宋体" w:cs="宋体"/>
                <w:color w:val="000000"/>
                <w:kern w:val="0"/>
                <w:sz w:val="24"/>
                <w:szCs w:val="24"/>
              </w:rPr>
              <w:t>年度目标</w:t>
            </w:r>
          </w:p>
        </w:tc>
      </w:tr>
      <w:tr w14:paraId="19E766F1">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vAlign w:val="center"/>
          </w:tcPr>
          <w:p w14:paraId="571903E0">
            <w:pPr>
              <w:keepNext w:val="0"/>
              <w:keepLines w:val="0"/>
              <w:suppressLineNumbers w:val="0"/>
              <w:spacing w:before="0" w:beforeAutospacing="0" w:after="0" w:afterAutospacing="0" w:line="300" w:lineRule="exact"/>
              <w:ind w:left="0" w:right="0"/>
              <w:rPr>
                <w:rFonts w:hint="default" w:ascii="宋体" w:hAnsi="宋体" w:eastAsia="宋体" w:cs="Times New Roman"/>
                <w:color w:val="000000"/>
                <w:sz w:val="24"/>
                <w:szCs w:val="24"/>
              </w:rPr>
            </w:pPr>
          </w:p>
        </w:tc>
        <w:tc>
          <w:tcPr>
            <w:tcW w:w="9581" w:type="dxa"/>
            <w:gridSpan w:val="8"/>
            <w:tcBorders>
              <w:top w:val="single" w:color="000000" w:sz="4" w:space="0"/>
              <w:left w:val="single" w:color="000000" w:sz="4" w:space="0"/>
              <w:bottom w:val="single" w:color="000000" w:sz="4" w:space="0"/>
              <w:right w:val="single" w:color="000000" w:sz="4" w:space="0"/>
            </w:tcBorders>
            <w:vAlign w:val="center"/>
          </w:tcPr>
          <w:p w14:paraId="28092F46">
            <w:pPr>
              <w:keepNext w:val="0"/>
              <w:keepLines w:val="0"/>
              <w:suppressLineNumbers w:val="0"/>
              <w:spacing w:before="0" w:beforeAutospacing="0" w:after="0" w:afterAutospacing="0" w:line="300" w:lineRule="exact"/>
              <w:ind w:left="0" w:right="0"/>
              <w:rPr>
                <w:rFonts w:hint="default" w:ascii="宋体" w:hAnsi="宋体" w:eastAsia="宋体" w:cs="Times New Roman"/>
                <w:color w:val="000000"/>
                <w:sz w:val="24"/>
                <w:szCs w:val="24"/>
              </w:rPr>
            </w:pPr>
            <w:r>
              <w:rPr>
                <w:rFonts w:hint="eastAsia" w:ascii="宋体" w:hAnsi="宋体" w:eastAsia="宋体" w:cs="宋体"/>
                <w:color w:val="000000"/>
                <w:sz w:val="24"/>
                <w:szCs w:val="24"/>
              </w:rPr>
              <w:t>加快推进四川能投广元燃机工程、亭子口宝珠寺水风光互补开发、昭化白果二期风电等项目建设，加快推进嘉陵江八庙沟水电站阶段性验收</w:t>
            </w:r>
            <w:r>
              <w:rPr>
                <w:rFonts w:hint="eastAsia" w:ascii="宋体" w:hAnsi="宋体" w:cs="宋体"/>
                <w:color w:val="000000"/>
                <w:sz w:val="24"/>
                <w:szCs w:val="24"/>
                <w:lang w:eastAsia="zh-CN"/>
              </w:rPr>
              <w:t>，</w:t>
            </w:r>
            <w:r>
              <w:rPr>
                <w:rFonts w:hint="eastAsia" w:ascii="宋体" w:hAnsi="宋体" w:eastAsia="宋体" w:cs="宋体"/>
                <w:color w:val="000000"/>
                <w:sz w:val="24"/>
                <w:szCs w:val="24"/>
              </w:rPr>
              <w:t>强力推进中煤广元煤电一体化项目，加快推进广汇四川广元综合物流基地建设，全力推进新疆能源西南煤炭调拨中心、中煤广元煤炭储备基地开工建设，推荐利州区龙池山、旺苍县天星、苍溪县漓江抽水蓄能项目尽快纳入规划，争取国家石油储备基地落地广元，加快羊木航油配送中心项目建设。加快旺苍嘉川煤化工园区认定，加快建设成渝地区能源安全保障基地。</w:t>
            </w:r>
          </w:p>
        </w:tc>
      </w:tr>
      <w:tr w14:paraId="0860F476">
        <w:tblPrEx>
          <w:tblCellMar>
            <w:top w:w="15" w:type="dxa"/>
            <w:left w:w="15" w:type="dxa"/>
            <w:bottom w:w="15" w:type="dxa"/>
            <w:right w:w="15" w:type="dxa"/>
          </w:tblCellMar>
        </w:tblPrEx>
        <w:trPr>
          <w:trHeight w:val="23" w:hRule="atLeast"/>
          <w:jc w:val="center"/>
        </w:trPr>
        <w:tc>
          <w:tcPr>
            <w:tcW w:w="652" w:type="dxa"/>
            <w:vMerge w:val="restart"/>
            <w:tcBorders>
              <w:top w:val="single" w:color="000000" w:sz="4" w:space="0"/>
              <w:left w:val="single" w:color="000000" w:sz="4" w:space="0"/>
              <w:bottom w:val="single" w:color="000000" w:sz="4" w:space="0"/>
            </w:tcBorders>
            <w:vAlign w:val="center"/>
          </w:tcPr>
          <w:p w14:paraId="50B7EB8E">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Times New Roman"/>
                <w:color w:val="000000"/>
                <w:sz w:val="24"/>
                <w:szCs w:val="24"/>
              </w:rPr>
            </w:pPr>
            <w:r>
              <w:rPr>
                <w:rFonts w:hint="eastAsia" w:ascii="宋体" w:hAnsi="宋体" w:eastAsia="宋体" w:cs="宋体"/>
                <w:color w:val="000000"/>
                <w:kern w:val="0"/>
                <w:sz w:val="24"/>
                <w:szCs w:val="24"/>
              </w:rPr>
              <w:t>绩效</w:t>
            </w:r>
            <w:r>
              <w:rPr>
                <w:rFonts w:hint="default" w:ascii="宋体" w:hAnsi="宋体" w:eastAsia="宋体" w:cs="宋体"/>
                <w:color w:val="000000"/>
                <w:kern w:val="0"/>
                <w:sz w:val="24"/>
                <w:szCs w:val="24"/>
              </w:rPr>
              <w:t xml:space="preserve"> </w:t>
            </w:r>
            <w:r>
              <w:rPr>
                <w:rFonts w:hint="eastAsia" w:ascii="宋体" w:hAnsi="宋体" w:eastAsia="宋体" w:cs="宋体"/>
                <w:color w:val="000000"/>
                <w:kern w:val="0"/>
                <w:sz w:val="24"/>
                <w:szCs w:val="24"/>
              </w:rPr>
              <w:t>指标</w:t>
            </w:r>
          </w:p>
        </w:tc>
        <w:tc>
          <w:tcPr>
            <w:tcW w:w="1081" w:type="dxa"/>
            <w:tcBorders>
              <w:top w:val="single" w:color="000000" w:sz="4" w:space="0"/>
              <w:left w:val="single" w:color="000000" w:sz="4" w:space="0"/>
              <w:bottom w:val="single" w:color="000000" w:sz="4" w:space="0"/>
              <w:right w:val="single" w:color="000000" w:sz="4" w:space="0"/>
            </w:tcBorders>
            <w:vAlign w:val="center"/>
          </w:tcPr>
          <w:p w14:paraId="26CC0927">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Times New Roman"/>
                <w:color w:val="000000"/>
                <w:sz w:val="24"/>
                <w:szCs w:val="24"/>
              </w:rPr>
            </w:pPr>
            <w:r>
              <w:rPr>
                <w:rFonts w:hint="eastAsia" w:ascii="宋体" w:hAnsi="宋体" w:eastAsia="宋体" w:cs="宋体"/>
                <w:color w:val="000000"/>
                <w:kern w:val="0"/>
                <w:sz w:val="24"/>
                <w:szCs w:val="24"/>
              </w:rPr>
              <w:t>一级指标</w:t>
            </w:r>
          </w:p>
        </w:tc>
        <w:tc>
          <w:tcPr>
            <w:tcW w:w="1250" w:type="dxa"/>
            <w:tcBorders>
              <w:top w:val="single" w:color="000000" w:sz="4" w:space="0"/>
              <w:left w:val="single" w:color="000000" w:sz="4" w:space="0"/>
              <w:bottom w:val="single" w:color="000000" w:sz="4" w:space="0"/>
              <w:right w:val="single" w:color="000000" w:sz="4" w:space="0"/>
            </w:tcBorders>
            <w:vAlign w:val="center"/>
          </w:tcPr>
          <w:p w14:paraId="33DD016A">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Times New Roman"/>
                <w:color w:val="000000"/>
                <w:sz w:val="24"/>
                <w:szCs w:val="24"/>
              </w:rPr>
            </w:pPr>
            <w:r>
              <w:rPr>
                <w:rFonts w:hint="eastAsia" w:ascii="宋体" w:hAnsi="宋体" w:eastAsia="宋体" w:cs="宋体"/>
                <w:color w:val="000000"/>
                <w:kern w:val="0"/>
                <w:sz w:val="24"/>
                <w:szCs w:val="24"/>
              </w:rPr>
              <w:t>二级指标</w:t>
            </w:r>
          </w:p>
        </w:tc>
        <w:tc>
          <w:tcPr>
            <w:tcW w:w="1312" w:type="dxa"/>
            <w:tcBorders>
              <w:top w:val="single" w:color="000000" w:sz="4" w:space="0"/>
              <w:left w:val="single" w:color="000000" w:sz="4" w:space="0"/>
              <w:bottom w:val="single" w:color="000000" w:sz="4" w:space="0"/>
              <w:right w:val="single" w:color="000000" w:sz="4" w:space="0"/>
            </w:tcBorders>
            <w:vAlign w:val="center"/>
          </w:tcPr>
          <w:p w14:paraId="176BCB88">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Times New Roman"/>
                <w:color w:val="000000"/>
                <w:sz w:val="24"/>
                <w:szCs w:val="24"/>
              </w:rPr>
            </w:pPr>
            <w:r>
              <w:rPr>
                <w:rFonts w:hint="eastAsia" w:ascii="宋体" w:hAnsi="宋体" w:eastAsia="宋体" w:cs="宋体"/>
                <w:color w:val="000000"/>
                <w:kern w:val="0"/>
                <w:sz w:val="24"/>
                <w:szCs w:val="24"/>
              </w:rPr>
              <w:t>三级指标</w:t>
            </w:r>
          </w:p>
        </w:tc>
        <w:tc>
          <w:tcPr>
            <w:tcW w:w="1127" w:type="dxa"/>
            <w:tcBorders>
              <w:top w:val="single" w:color="000000" w:sz="4" w:space="0"/>
              <w:left w:val="single" w:color="000000" w:sz="4" w:space="0"/>
              <w:bottom w:val="single" w:color="000000" w:sz="4" w:space="0"/>
              <w:right w:val="single" w:color="000000" w:sz="4" w:space="0"/>
            </w:tcBorders>
            <w:vAlign w:val="center"/>
          </w:tcPr>
          <w:p w14:paraId="0FE79D75">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Times New Roman"/>
                <w:color w:val="000000"/>
                <w:sz w:val="24"/>
                <w:szCs w:val="24"/>
              </w:rPr>
            </w:pPr>
            <w:r>
              <w:rPr>
                <w:rFonts w:hint="eastAsia" w:ascii="宋体" w:hAnsi="宋体" w:eastAsia="宋体" w:cs="宋体"/>
                <w:color w:val="000000"/>
                <w:kern w:val="0"/>
                <w:sz w:val="24"/>
                <w:szCs w:val="24"/>
              </w:rPr>
              <w:t>指标性质</w:t>
            </w:r>
          </w:p>
        </w:tc>
        <w:tc>
          <w:tcPr>
            <w:tcW w:w="971" w:type="dxa"/>
            <w:tcBorders>
              <w:top w:val="single" w:color="000000" w:sz="4" w:space="0"/>
              <w:left w:val="single" w:color="000000" w:sz="4" w:space="0"/>
              <w:bottom w:val="single" w:color="000000" w:sz="4" w:space="0"/>
              <w:right w:val="single" w:color="000000" w:sz="4" w:space="0"/>
            </w:tcBorders>
            <w:vAlign w:val="center"/>
          </w:tcPr>
          <w:p w14:paraId="15848340">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Times New Roman"/>
                <w:color w:val="000000"/>
                <w:sz w:val="24"/>
                <w:szCs w:val="24"/>
              </w:rPr>
            </w:pPr>
            <w:r>
              <w:rPr>
                <w:rFonts w:hint="eastAsia" w:ascii="宋体" w:hAnsi="宋体" w:eastAsia="宋体" w:cs="宋体"/>
                <w:color w:val="000000"/>
                <w:kern w:val="0"/>
                <w:sz w:val="24"/>
                <w:szCs w:val="24"/>
              </w:rPr>
              <w:t>指标值</w:t>
            </w:r>
          </w:p>
        </w:tc>
        <w:tc>
          <w:tcPr>
            <w:tcW w:w="1061" w:type="dxa"/>
            <w:tcBorders>
              <w:top w:val="single" w:color="000000" w:sz="4" w:space="0"/>
              <w:left w:val="single" w:color="000000" w:sz="4" w:space="0"/>
              <w:bottom w:val="single" w:color="000000" w:sz="4" w:space="0"/>
              <w:right w:val="single" w:color="000000" w:sz="4" w:space="0"/>
            </w:tcBorders>
            <w:vAlign w:val="center"/>
          </w:tcPr>
          <w:p w14:paraId="78AE780A">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Times New Roman"/>
                <w:color w:val="000000"/>
                <w:sz w:val="24"/>
                <w:szCs w:val="24"/>
              </w:rPr>
            </w:pPr>
            <w:r>
              <w:rPr>
                <w:rFonts w:hint="eastAsia" w:ascii="宋体" w:hAnsi="宋体" w:eastAsia="宋体" w:cs="宋体"/>
                <w:color w:val="000000"/>
                <w:kern w:val="0"/>
                <w:sz w:val="24"/>
                <w:szCs w:val="24"/>
              </w:rPr>
              <w:t>度量单位</w:t>
            </w:r>
          </w:p>
        </w:tc>
        <w:tc>
          <w:tcPr>
            <w:tcW w:w="938" w:type="dxa"/>
            <w:tcBorders>
              <w:top w:val="single" w:color="000000" w:sz="4" w:space="0"/>
              <w:left w:val="single" w:color="000000" w:sz="4" w:space="0"/>
              <w:bottom w:val="single" w:color="000000" w:sz="4" w:space="0"/>
              <w:right w:val="single" w:color="000000" w:sz="4" w:space="0"/>
            </w:tcBorders>
            <w:vAlign w:val="center"/>
          </w:tcPr>
          <w:p w14:paraId="1E3874F1">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Times New Roman"/>
                <w:color w:val="000000"/>
                <w:sz w:val="24"/>
                <w:szCs w:val="24"/>
              </w:rPr>
            </w:pPr>
            <w:r>
              <w:rPr>
                <w:rFonts w:hint="eastAsia" w:ascii="宋体" w:hAnsi="宋体" w:eastAsia="宋体" w:cs="宋体"/>
                <w:color w:val="000000"/>
                <w:kern w:val="0"/>
                <w:sz w:val="24"/>
                <w:szCs w:val="24"/>
              </w:rPr>
              <w:t>权重</w:t>
            </w:r>
          </w:p>
        </w:tc>
        <w:tc>
          <w:tcPr>
            <w:tcW w:w="1841" w:type="dxa"/>
            <w:tcBorders>
              <w:top w:val="single" w:color="000000" w:sz="4" w:space="0"/>
              <w:left w:val="single" w:color="000000" w:sz="4" w:space="0"/>
              <w:bottom w:val="single" w:color="000000" w:sz="4" w:space="0"/>
              <w:right w:val="single" w:color="000000" w:sz="4" w:space="0"/>
            </w:tcBorders>
            <w:vAlign w:val="center"/>
          </w:tcPr>
          <w:p w14:paraId="7E7434CB">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Times New Roman"/>
                <w:color w:val="000000"/>
                <w:sz w:val="24"/>
                <w:szCs w:val="24"/>
              </w:rPr>
            </w:pPr>
            <w:r>
              <w:rPr>
                <w:rFonts w:hint="eastAsia" w:ascii="宋体" w:hAnsi="宋体" w:eastAsia="宋体" w:cs="宋体"/>
                <w:color w:val="000000"/>
                <w:kern w:val="0"/>
                <w:sz w:val="24"/>
                <w:szCs w:val="24"/>
              </w:rPr>
              <w:t>实际完成指标值</w:t>
            </w:r>
          </w:p>
        </w:tc>
      </w:tr>
      <w:tr w14:paraId="416E0CDA">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vAlign w:val="center"/>
          </w:tcPr>
          <w:p w14:paraId="014F52CD">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1081" w:type="dxa"/>
            <w:vMerge w:val="restart"/>
            <w:tcBorders>
              <w:top w:val="single" w:color="000000" w:sz="4" w:space="0"/>
              <w:left w:val="single" w:color="000000" w:sz="4" w:space="0"/>
              <w:bottom w:val="single" w:color="000000" w:sz="4" w:space="0"/>
              <w:right w:val="single" w:color="000000" w:sz="4" w:space="0"/>
            </w:tcBorders>
            <w:vAlign w:val="center"/>
          </w:tcPr>
          <w:p w14:paraId="5217B964">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Times New Roman"/>
                <w:color w:val="000000"/>
                <w:sz w:val="24"/>
                <w:szCs w:val="24"/>
              </w:rPr>
            </w:pPr>
            <w:r>
              <w:rPr>
                <w:rFonts w:hint="eastAsia" w:ascii="宋体" w:hAnsi="宋体" w:eastAsia="宋体" w:cs="宋体"/>
                <w:color w:val="000000"/>
                <w:kern w:val="0"/>
                <w:sz w:val="24"/>
                <w:szCs w:val="24"/>
              </w:rPr>
              <w:t>产出指标</w:t>
            </w:r>
          </w:p>
        </w:tc>
        <w:tc>
          <w:tcPr>
            <w:tcW w:w="1250" w:type="dxa"/>
            <w:vMerge w:val="restart"/>
            <w:tcBorders>
              <w:top w:val="single" w:color="000000" w:sz="4" w:space="0"/>
              <w:left w:val="single" w:color="000000" w:sz="4" w:space="0"/>
              <w:right w:val="single" w:color="000000" w:sz="4" w:space="0"/>
            </w:tcBorders>
            <w:vAlign w:val="center"/>
          </w:tcPr>
          <w:p w14:paraId="6A2D53E5">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Times New Roman"/>
                <w:color w:val="000000"/>
                <w:sz w:val="24"/>
                <w:szCs w:val="24"/>
              </w:rPr>
            </w:pPr>
            <w:r>
              <w:rPr>
                <w:rFonts w:hint="eastAsia" w:ascii="宋体" w:hAnsi="宋体" w:eastAsia="宋体" w:cs="宋体"/>
                <w:color w:val="000000"/>
                <w:kern w:val="0"/>
                <w:sz w:val="24"/>
                <w:szCs w:val="24"/>
              </w:rPr>
              <w:t>数量指标</w:t>
            </w:r>
          </w:p>
        </w:tc>
        <w:tc>
          <w:tcPr>
            <w:tcW w:w="1312" w:type="dxa"/>
            <w:tcBorders>
              <w:top w:val="single" w:color="000000" w:sz="4" w:space="0"/>
              <w:left w:val="single" w:color="000000" w:sz="4" w:space="0"/>
              <w:bottom w:val="single" w:color="000000" w:sz="4" w:space="0"/>
              <w:right w:val="single" w:color="000000" w:sz="4" w:space="0"/>
            </w:tcBorders>
            <w:vAlign w:val="center"/>
          </w:tcPr>
          <w:p w14:paraId="3AD55794">
            <w:pPr>
              <w:keepNext w:val="0"/>
              <w:keepLines w:val="0"/>
              <w:suppressLineNumbers w:val="0"/>
              <w:spacing w:before="0" w:beforeAutospacing="0" w:after="0" w:afterAutospacing="0"/>
              <w:ind w:left="0" w:right="0"/>
              <w:jc w:val="center"/>
              <w:rPr>
                <w:rFonts w:hint="default" w:ascii="宋体" w:hAnsi="Times New Roman" w:eastAsia="宋体" w:cs="宋体"/>
                <w:color w:val="000000"/>
                <w:sz w:val="18"/>
                <w:szCs w:val="18"/>
              </w:rPr>
            </w:pPr>
            <w:r>
              <w:rPr>
                <w:rFonts w:hint="eastAsia" w:ascii="Times New Roman" w:hAnsi="Times New Roman" w:eastAsia="仿宋_GB2312" w:cs="仿宋_GB2312"/>
                <w:color w:val="000000"/>
                <w:sz w:val="18"/>
                <w:szCs w:val="18"/>
              </w:rPr>
              <w:t>签约项目</w:t>
            </w:r>
          </w:p>
        </w:tc>
        <w:tc>
          <w:tcPr>
            <w:tcW w:w="1127" w:type="dxa"/>
            <w:tcBorders>
              <w:top w:val="single" w:color="000000" w:sz="4" w:space="0"/>
              <w:left w:val="single" w:color="000000" w:sz="4" w:space="0"/>
              <w:bottom w:val="single" w:color="000000" w:sz="4" w:space="0"/>
              <w:right w:val="single" w:color="000000" w:sz="4" w:space="0"/>
            </w:tcBorders>
            <w:vAlign w:val="center"/>
          </w:tcPr>
          <w:p w14:paraId="3512CC79">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r>
              <w:rPr>
                <w:rFonts w:hint="eastAsia" w:ascii="宋体" w:hAnsi="宋体" w:eastAsia="宋体" w:cs="宋体"/>
                <w:color w:val="000000"/>
                <w:sz w:val="24"/>
                <w:szCs w:val="24"/>
              </w:rPr>
              <w:t>＝</w:t>
            </w:r>
          </w:p>
        </w:tc>
        <w:tc>
          <w:tcPr>
            <w:tcW w:w="971" w:type="dxa"/>
            <w:tcBorders>
              <w:top w:val="single" w:color="000000" w:sz="4" w:space="0"/>
              <w:left w:val="single" w:color="000000" w:sz="4" w:space="0"/>
              <w:bottom w:val="single" w:color="000000" w:sz="4" w:space="0"/>
              <w:right w:val="single" w:color="000000" w:sz="4" w:space="0"/>
            </w:tcBorders>
            <w:vAlign w:val="center"/>
          </w:tcPr>
          <w:p w14:paraId="249B13C3">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r>
              <w:rPr>
                <w:rFonts w:hint="default" w:ascii="宋体" w:hAnsi="宋体" w:eastAsia="宋体" w:cs="宋体"/>
                <w:color w:val="000000"/>
                <w:sz w:val="24"/>
                <w:szCs w:val="24"/>
              </w:rPr>
              <w:t>2</w:t>
            </w:r>
          </w:p>
        </w:tc>
        <w:tc>
          <w:tcPr>
            <w:tcW w:w="1061" w:type="dxa"/>
            <w:tcBorders>
              <w:top w:val="single" w:color="000000" w:sz="4" w:space="0"/>
              <w:left w:val="single" w:color="000000" w:sz="4" w:space="0"/>
              <w:bottom w:val="single" w:color="000000" w:sz="4" w:space="0"/>
              <w:right w:val="single" w:color="000000" w:sz="4" w:space="0"/>
            </w:tcBorders>
            <w:vAlign w:val="center"/>
          </w:tcPr>
          <w:p w14:paraId="1CD88E7B">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r>
              <w:rPr>
                <w:rFonts w:hint="eastAsia" w:ascii="宋体" w:hAnsi="宋体" w:eastAsia="宋体" w:cs="宋体"/>
                <w:color w:val="000000"/>
                <w:sz w:val="24"/>
                <w:szCs w:val="24"/>
              </w:rPr>
              <w:t>个</w:t>
            </w:r>
          </w:p>
        </w:tc>
        <w:tc>
          <w:tcPr>
            <w:tcW w:w="938" w:type="dxa"/>
            <w:tcBorders>
              <w:top w:val="single" w:color="000000" w:sz="4" w:space="0"/>
              <w:left w:val="single" w:color="000000" w:sz="4" w:space="0"/>
              <w:bottom w:val="single" w:color="000000" w:sz="4" w:space="0"/>
              <w:right w:val="single" w:color="000000" w:sz="4" w:space="0"/>
            </w:tcBorders>
            <w:vAlign w:val="center"/>
          </w:tcPr>
          <w:p w14:paraId="406B71BA">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r>
              <w:rPr>
                <w:rFonts w:hint="default" w:ascii="宋体" w:hAnsi="宋体" w:eastAsia="宋体" w:cs="宋体"/>
                <w:color w:val="000000"/>
                <w:sz w:val="24"/>
                <w:szCs w:val="24"/>
              </w:rPr>
              <w:t>10</w:t>
            </w:r>
          </w:p>
        </w:tc>
        <w:tc>
          <w:tcPr>
            <w:tcW w:w="1841" w:type="dxa"/>
            <w:tcBorders>
              <w:top w:val="single" w:color="000000" w:sz="4" w:space="0"/>
              <w:left w:val="single" w:color="000000" w:sz="4" w:space="0"/>
              <w:bottom w:val="single" w:color="000000" w:sz="4" w:space="0"/>
              <w:right w:val="single" w:color="000000" w:sz="4" w:space="0"/>
            </w:tcBorders>
            <w:vAlign w:val="center"/>
          </w:tcPr>
          <w:p w14:paraId="551C406E">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r>
              <w:rPr>
                <w:rFonts w:hint="default" w:ascii="宋体" w:hAnsi="宋体" w:eastAsia="宋体" w:cs="宋体"/>
                <w:color w:val="000000"/>
                <w:sz w:val="24"/>
                <w:szCs w:val="24"/>
              </w:rPr>
              <w:t>16</w:t>
            </w:r>
          </w:p>
        </w:tc>
      </w:tr>
      <w:tr w14:paraId="1458FF1D">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vAlign w:val="center"/>
          </w:tcPr>
          <w:p w14:paraId="73719B3F">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1081" w:type="dxa"/>
            <w:vMerge w:val="continue"/>
            <w:tcBorders>
              <w:top w:val="single" w:color="000000" w:sz="4" w:space="0"/>
              <w:left w:val="single" w:color="000000" w:sz="4" w:space="0"/>
              <w:bottom w:val="single" w:color="000000" w:sz="4" w:space="0"/>
              <w:right w:val="single" w:color="000000" w:sz="4" w:space="0"/>
            </w:tcBorders>
            <w:vAlign w:val="center"/>
          </w:tcPr>
          <w:p w14:paraId="10E73205">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1250" w:type="dxa"/>
            <w:vMerge w:val="continue"/>
            <w:tcBorders>
              <w:left w:val="single" w:color="000000" w:sz="4" w:space="0"/>
              <w:right w:val="single" w:color="000000" w:sz="4" w:space="0"/>
            </w:tcBorders>
            <w:vAlign w:val="center"/>
          </w:tcPr>
          <w:p w14:paraId="6078D54E">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1312" w:type="dxa"/>
            <w:tcBorders>
              <w:top w:val="single" w:color="000000" w:sz="4" w:space="0"/>
              <w:left w:val="single" w:color="000000" w:sz="4" w:space="0"/>
              <w:bottom w:val="single" w:color="000000" w:sz="4" w:space="0"/>
              <w:right w:val="single" w:color="000000" w:sz="4" w:space="0"/>
            </w:tcBorders>
            <w:vAlign w:val="center"/>
          </w:tcPr>
          <w:p w14:paraId="675057D8">
            <w:pPr>
              <w:keepNext w:val="0"/>
              <w:keepLines w:val="0"/>
              <w:suppressLineNumbers w:val="0"/>
              <w:spacing w:before="0" w:beforeAutospacing="0" w:after="0" w:afterAutospacing="0"/>
              <w:ind w:left="0" w:right="0"/>
              <w:jc w:val="center"/>
              <w:rPr>
                <w:rFonts w:hint="default" w:ascii="宋体" w:hAnsi="Times New Roman" w:eastAsia="宋体" w:cs="宋体"/>
                <w:color w:val="000000"/>
                <w:sz w:val="18"/>
                <w:szCs w:val="18"/>
              </w:rPr>
            </w:pPr>
            <w:r>
              <w:rPr>
                <w:rFonts w:hint="eastAsia" w:ascii="Times New Roman" w:hAnsi="Times New Roman" w:eastAsia="仿宋_GB2312" w:cs="仿宋_GB2312"/>
                <w:color w:val="000000"/>
                <w:sz w:val="18"/>
                <w:szCs w:val="18"/>
              </w:rPr>
              <w:t>洽谈项目</w:t>
            </w:r>
          </w:p>
        </w:tc>
        <w:tc>
          <w:tcPr>
            <w:tcW w:w="1127" w:type="dxa"/>
            <w:tcBorders>
              <w:top w:val="single" w:color="000000" w:sz="4" w:space="0"/>
              <w:left w:val="single" w:color="000000" w:sz="4" w:space="0"/>
              <w:bottom w:val="single" w:color="000000" w:sz="4" w:space="0"/>
              <w:right w:val="single" w:color="000000" w:sz="4" w:space="0"/>
            </w:tcBorders>
            <w:vAlign w:val="center"/>
          </w:tcPr>
          <w:p w14:paraId="07EDA00F">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r>
              <w:rPr>
                <w:rFonts w:hint="eastAsia" w:ascii="宋体" w:hAnsi="宋体" w:eastAsia="宋体" w:cs="宋体"/>
                <w:color w:val="000000"/>
                <w:sz w:val="24"/>
                <w:szCs w:val="24"/>
              </w:rPr>
              <w:t>＝</w:t>
            </w:r>
          </w:p>
        </w:tc>
        <w:tc>
          <w:tcPr>
            <w:tcW w:w="971" w:type="dxa"/>
            <w:tcBorders>
              <w:top w:val="single" w:color="000000" w:sz="4" w:space="0"/>
              <w:left w:val="single" w:color="000000" w:sz="4" w:space="0"/>
              <w:bottom w:val="single" w:color="000000" w:sz="4" w:space="0"/>
              <w:right w:val="single" w:color="000000" w:sz="4" w:space="0"/>
            </w:tcBorders>
            <w:vAlign w:val="center"/>
          </w:tcPr>
          <w:p w14:paraId="4A07ECCF">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r>
              <w:rPr>
                <w:rFonts w:hint="default" w:ascii="宋体" w:hAnsi="宋体" w:eastAsia="宋体" w:cs="宋体"/>
                <w:color w:val="000000"/>
                <w:sz w:val="24"/>
                <w:szCs w:val="24"/>
              </w:rPr>
              <w:t>10</w:t>
            </w:r>
          </w:p>
        </w:tc>
        <w:tc>
          <w:tcPr>
            <w:tcW w:w="1061" w:type="dxa"/>
            <w:tcBorders>
              <w:top w:val="single" w:color="000000" w:sz="4" w:space="0"/>
              <w:left w:val="single" w:color="000000" w:sz="4" w:space="0"/>
              <w:bottom w:val="single" w:color="000000" w:sz="4" w:space="0"/>
              <w:right w:val="single" w:color="000000" w:sz="4" w:space="0"/>
            </w:tcBorders>
            <w:vAlign w:val="center"/>
          </w:tcPr>
          <w:p w14:paraId="18AE81E0">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r>
              <w:rPr>
                <w:rFonts w:hint="eastAsia" w:ascii="宋体" w:hAnsi="宋体" w:eastAsia="宋体" w:cs="宋体"/>
                <w:color w:val="000000"/>
                <w:sz w:val="24"/>
                <w:szCs w:val="24"/>
              </w:rPr>
              <w:t>个</w:t>
            </w:r>
          </w:p>
        </w:tc>
        <w:tc>
          <w:tcPr>
            <w:tcW w:w="938" w:type="dxa"/>
            <w:tcBorders>
              <w:top w:val="single" w:color="000000" w:sz="4" w:space="0"/>
              <w:left w:val="single" w:color="000000" w:sz="4" w:space="0"/>
              <w:bottom w:val="single" w:color="000000" w:sz="4" w:space="0"/>
              <w:right w:val="single" w:color="000000" w:sz="4" w:space="0"/>
            </w:tcBorders>
            <w:vAlign w:val="center"/>
          </w:tcPr>
          <w:p w14:paraId="7C1FF884">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r>
              <w:rPr>
                <w:rFonts w:hint="default" w:ascii="宋体" w:hAnsi="宋体" w:eastAsia="宋体" w:cs="宋体"/>
                <w:color w:val="000000"/>
                <w:sz w:val="24"/>
                <w:szCs w:val="24"/>
              </w:rPr>
              <w:t>5</w:t>
            </w:r>
          </w:p>
        </w:tc>
        <w:tc>
          <w:tcPr>
            <w:tcW w:w="1841" w:type="dxa"/>
            <w:tcBorders>
              <w:top w:val="single" w:color="000000" w:sz="4" w:space="0"/>
              <w:left w:val="single" w:color="000000" w:sz="4" w:space="0"/>
              <w:bottom w:val="single" w:color="000000" w:sz="4" w:space="0"/>
              <w:right w:val="single" w:color="000000" w:sz="4" w:space="0"/>
            </w:tcBorders>
            <w:vAlign w:val="center"/>
          </w:tcPr>
          <w:p w14:paraId="071F9336">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r>
              <w:rPr>
                <w:rFonts w:hint="default" w:ascii="宋体" w:hAnsi="宋体" w:eastAsia="宋体" w:cs="宋体"/>
                <w:color w:val="000000"/>
                <w:sz w:val="24"/>
                <w:szCs w:val="24"/>
              </w:rPr>
              <w:t>15</w:t>
            </w:r>
          </w:p>
        </w:tc>
      </w:tr>
      <w:tr w14:paraId="2DD12C07">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vAlign w:val="center"/>
          </w:tcPr>
          <w:p w14:paraId="1AA95D4C">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1081" w:type="dxa"/>
            <w:vMerge w:val="continue"/>
            <w:tcBorders>
              <w:top w:val="single" w:color="000000" w:sz="4" w:space="0"/>
              <w:left w:val="single" w:color="000000" w:sz="4" w:space="0"/>
              <w:bottom w:val="single" w:color="000000" w:sz="4" w:space="0"/>
              <w:right w:val="single" w:color="000000" w:sz="4" w:space="0"/>
            </w:tcBorders>
            <w:vAlign w:val="center"/>
          </w:tcPr>
          <w:p w14:paraId="5E92A2DA">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1250" w:type="dxa"/>
            <w:vMerge w:val="continue"/>
            <w:tcBorders>
              <w:left w:val="single" w:color="000000" w:sz="4" w:space="0"/>
              <w:bottom w:val="single" w:color="000000" w:sz="4" w:space="0"/>
              <w:right w:val="single" w:color="000000" w:sz="4" w:space="0"/>
            </w:tcBorders>
            <w:vAlign w:val="center"/>
          </w:tcPr>
          <w:p w14:paraId="7A40B167">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1312" w:type="dxa"/>
            <w:tcBorders>
              <w:top w:val="single" w:color="000000" w:sz="4" w:space="0"/>
              <w:left w:val="single" w:color="000000" w:sz="4" w:space="0"/>
              <w:bottom w:val="single" w:color="000000" w:sz="4" w:space="0"/>
              <w:right w:val="single" w:color="000000" w:sz="4" w:space="0"/>
            </w:tcBorders>
            <w:vAlign w:val="center"/>
          </w:tcPr>
          <w:p w14:paraId="6888898E">
            <w:pPr>
              <w:keepNext w:val="0"/>
              <w:keepLines w:val="0"/>
              <w:suppressLineNumbers w:val="0"/>
              <w:spacing w:before="0" w:beforeAutospacing="0" w:after="0" w:afterAutospacing="0"/>
              <w:ind w:left="0" w:right="0"/>
              <w:jc w:val="center"/>
              <w:rPr>
                <w:rFonts w:hint="default" w:ascii="宋体" w:hAnsi="Times New Roman" w:eastAsia="宋体" w:cs="宋体"/>
                <w:color w:val="000000"/>
                <w:sz w:val="18"/>
                <w:szCs w:val="18"/>
              </w:rPr>
            </w:pPr>
            <w:r>
              <w:rPr>
                <w:rFonts w:hint="eastAsia" w:ascii="Times New Roman" w:hAnsi="Times New Roman" w:eastAsia="仿宋_GB2312" w:cs="仿宋_GB2312"/>
                <w:color w:val="000000"/>
                <w:sz w:val="18"/>
                <w:szCs w:val="18"/>
              </w:rPr>
              <w:t>培育新进规企业</w:t>
            </w:r>
          </w:p>
        </w:tc>
        <w:tc>
          <w:tcPr>
            <w:tcW w:w="1127" w:type="dxa"/>
            <w:tcBorders>
              <w:top w:val="single" w:color="000000" w:sz="4" w:space="0"/>
              <w:left w:val="single" w:color="000000" w:sz="4" w:space="0"/>
              <w:bottom w:val="single" w:color="000000" w:sz="4" w:space="0"/>
              <w:right w:val="single" w:color="000000" w:sz="4" w:space="0"/>
            </w:tcBorders>
            <w:vAlign w:val="center"/>
          </w:tcPr>
          <w:p w14:paraId="704AF4EF">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r>
              <w:rPr>
                <w:rFonts w:hint="eastAsia" w:ascii="宋体" w:hAnsi="宋体" w:eastAsia="宋体" w:cs="宋体"/>
                <w:color w:val="000000"/>
                <w:sz w:val="24"/>
                <w:szCs w:val="24"/>
              </w:rPr>
              <w:t>＝</w:t>
            </w:r>
          </w:p>
        </w:tc>
        <w:tc>
          <w:tcPr>
            <w:tcW w:w="971" w:type="dxa"/>
            <w:tcBorders>
              <w:top w:val="single" w:color="000000" w:sz="4" w:space="0"/>
              <w:left w:val="single" w:color="000000" w:sz="4" w:space="0"/>
              <w:bottom w:val="single" w:color="000000" w:sz="4" w:space="0"/>
              <w:right w:val="single" w:color="000000" w:sz="4" w:space="0"/>
            </w:tcBorders>
            <w:vAlign w:val="center"/>
          </w:tcPr>
          <w:p w14:paraId="03082B54">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r>
              <w:rPr>
                <w:rFonts w:hint="default" w:ascii="宋体" w:hAnsi="宋体" w:eastAsia="宋体" w:cs="宋体"/>
                <w:color w:val="000000"/>
                <w:sz w:val="24"/>
                <w:szCs w:val="24"/>
              </w:rPr>
              <w:t>1</w:t>
            </w:r>
          </w:p>
        </w:tc>
        <w:tc>
          <w:tcPr>
            <w:tcW w:w="1061" w:type="dxa"/>
            <w:tcBorders>
              <w:top w:val="single" w:color="000000" w:sz="4" w:space="0"/>
              <w:left w:val="single" w:color="000000" w:sz="4" w:space="0"/>
              <w:bottom w:val="single" w:color="000000" w:sz="4" w:space="0"/>
              <w:right w:val="single" w:color="000000" w:sz="4" w:space="0"/>
            </w:tcBorders>
            <w:vAlign w:val="center"/>
          </w:tcPr>
          <w:p w14:paraId="53DAD9C2">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r>
              <w:rPr>
                <w:rFonts w:hint="eastAsia" w:ascii="宋体" w:hAnsi="宋体" w:eastAsia="宋体" w:cs="宋体"/>
                <w:color w:val="000000"/>
                <w:sz w:val="24"/>
                <w:szCs w:val="24"/>
              </w:rPr>
              <w:t>家</w:t>
            </w:r>
          </w:p>
        </w:tc>
        <w:tc>
          <w:tcPr>
            <w:tcW w:w="938" w:type="dxa"/>
            <w:tcBorders>
              <w:top w:val="single" w:color="000000" w:sz="4" w:space="0"/>
              <w:left w:val="single" w:color="000000" w:sz="4" w:space="0"/>
              <w:bottom w:val="single" w:color="000000" w:sz="4" w:space="0"/>
              <w:right w:val="single" w:color="000000" w:sz="4" w:space="0"/>
            </w:tcBorders>
            <w:vAlign w:val="center"/>
          </w:tcPr>
          <w:p w14:paraId="300FFED8">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r>
              <w:rPr>
                <w:rFonts w:hint="default" w:ascii="宋体" w:hAnsi="宋体" w:eastAsia="宋体" w:cs="宋体"/>
                <w:color w:val="000000"/>
                <w:sz w:val="24"/>
                <w:szCs w:val="24"/>
              </w:rPr>
              <w:t>20</w:t>
            </w:r>
          </w:p>
        </w:tc>
        <w:tc>
          <w:tcPr>
            <w:tcW w:w="1841" w:type="dxa"/>
            <w:tcBorders>
              <w:top w:val="single" w:color="000000" w:sz="4" w:space="0"/>
              <w:left w:val="single" w:color="000000" w:sz="4" w:space="0"/>
              <w:bottom w:val="single" w:color="000000" w:sz="4" w:space="0"/>
              <w:right w:val="single" w:color="000000" w:sz="4" w:space="0"/>
            </w:tcBorders>
            <w:vAlign w:val="center"/>
          </w:tcPr>
          <w:p w14:paraId="6E0140A8">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r>
              <w:rPr>
                <w:rFonts w:hint="default" w:ascii="宋体" w:hAnsi="宋体" w:eastAsia="宋体" w:cs="宋体"/>
                <w:color w:val="000000"/>
                <w:sz w:val="24"/>
                <w:szCs w:val="24"/>
              </w:rPr>
              <w:t>1</w:t>
            </w:r>
          </w:p>
        </w:tc>
      </w:tr>
      <w:tr w14:paraId="63AE4851">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vAlign w:val="center"/>
          </w:tcPr>
          <w:p w14:paraId="562A41A8">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1081" w:type="dxa"/>
            <w:vMerge w:val="continue"/>
            <w:tcBorders>
              <w:top w:val="single" w:color="000000" w:sz="4" w:space="0"/>
              <w:left w:val="single" w:color="000000" w:sz="4" w:space="0"/>
              <w:bottom w:val="single" w:color="000000" w:sz="4" w:space="0"/>
              <w:right w:val="single" w:color="000000" w:sz="4" w:space="0"/>
            </w:tcBorders>
            <w:vAlign w:val="center"/>
          </w:tcPr>
          <w:p w14:paraId="74803B90">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1250" w:type="dxa"/>
            <w:vMerge w:val="restart"/>
            <w:tcBorders>
              <w:top w:val="single" w:color="000000" w:sz="4" w:space="0"/>
              <w:left w:val="single" w:color="000000" w:sz="4" w:space="0"/>
              <w:bottom w:val="single" w:color="000000" w:sz="4" w:space="0"/>
              <w:right w:val="single" w:color="000000" w:sz="4" w:space="0"/>
            </w:tcBorders>
            <w:vAlign w:val="center"/>
          </w:tcPr>
          <w:p w14:paraId="3C802767">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Times New Roman"/>
                <w:color w:val="000000"/>
                <w:sz w:val="24"/>
                <w:szCs w:val="24"/>
              </w:rPr>
            </w:pPr>
            <w:r>
              <w:rPr>
                <w:rFonts w:hint="eastAsia" w:ascii="宋体" w:hAnsi="宋体" w:eastAsia="宋体" w:cs="宋体"/>
                <w:color w:val="000000"/>
                <w:kern w:val="0"/>
                <w:sz w:val="24"/>
                <w:szCs w:val="24"/>
              </w:rPr>
              <w:t>质量指标</w:t>
            </w:r>
          </w:p>
        </w:tc>
        <w:tc>
          <w:tcPr>
            <w:tcW w:w="1312" w:type="dxa"/>
            <w:tcBorders>
              <w:top w:val="single" w:color="000000" w:sz="4" w:space="0"/>
              <w:left w:val="single" w:color="000000" w:sz="4" w:space="0"/>
              <w:bottom w:val="single" w:color="000000" w:sz="4" w:space="0"/>
              <w:right w:val="single" w:color="000000" w:sz="4" w:space="0"/>
            </w:tcBorders>
            <w:vAlign w:val="center"/>
          </w:tcPr>
          <w:p w14:paraId="0444FBD8">
            <w:pPr>
              <w:keepNext w:val="0"/>
              <w:keepLines w:val="0"/>
              <w:suppressLineNumbers w:val="0"/>
              <w:spacing w:before="0" w:beforeAutospacing="0" w:after="0" w:afterAutospacing="0" w:line="300" w:lineRule="exact"/>
              <w:ind w:left="0" w:right="0"/>
              <w:rPr>
                <w:rFonts w:hint="default" w:ascii="宋体" w:hAnsi="宋体" w:eastAsia="宋体" w:cs="Times New Roman"/>
                <w:color w:val="000000"/>
                <w:sz w:val="24"/>
                <w:szCs w:val="24"/>
              </w:rPr>
            </w:pPr>
            <w:r>
              <w:rPr>
                <w:rFonts w:hint="eastAsia" w:ascii="宋体" w:hAnsi="宋体" w:eastAsia="宋体" w:cs="宋体"/>
                <w:color w:val="000000"/>
                <w:sz w:val="24"/>
                <w:szCs w:val="24"/>
              </w:rPr>
              <w:t>项目推进</w:t>
            </w:r>
          </w:p>
        </w:tc>
        <w:tc>
          <w:tcPr>
            <w:tcW w:w="1127" w:type="dxa"/>
            <w:tcBorders>
              <w:top w:val="single" w:color="000000" w:sz="4" w:space="0"/>
              <w:left w:val="single" w:color="000000" w:sz="4" w:space="0"/>
              <w:bottom w:val="single" w:color="000000" w:sz="4" w:space="0"/>
              <w:right w:val="single" w:color="000000" w:sz="4" w:space="0"/>
            </w:tcBorders>
            <w:vAlign w:val="center"/>
          </w:tcPr>
          <w:p w14:paraId="31039A76">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r>
              <w:rPr>
                <w:rFonts w:hint="eastAsia" w:ascii="宋体" w:hAnsi="宋体" w:eastAsia="宋体" w:cs="宋体"/>
                <w:color w:val="000000"/>
                <w:sz w:val="24"/>
                <w:szCs w:val="24"/>
              </w:rPr>
              <w:t>定性</w:t>
            </w:r>
          </w:p>
        </w:tc>
        <w:tc>
          <w:tcPr>
            <w:tcW w:w="971" w:type="dxa"/>
            <w:tcBorders>
              <w:top w:val="single" w:color="000000" w:sz="4" w:space="0"/>
              <w:left w:val="single" w:color="000000" w:sz="4" w:space="0"/>
              <w:bottom w:val="single" w:color="000000" w:sz="4" w:space="0"/>
              <w:right w:val="single" w:color="000000" w:sz="4" w:space="0"/>
            </w:tcBorders>
            <w:vAlign w:val="center"/>
          </w:tcPr>
          <w:p w14:paraId="1D8C9764">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r>
              <w:rPr>
                <w:rFonts w:hint="eastAsia" w:ascii="宋体" w:hAnsi="宋体" w:eastAsia="宋体" w:cs="宋体"/>
                <w:color w:val="000000"/>
                <w:sz w:val="24"/>
                <w:szCs w:val="24"/>
              </w:rPr>
              <w:t>顺利推进</w:t>
            </w:r>
          </w:p>
        </w:tc>
        <w:tc>
          <w:tcPr>
            <w:tcW w:w="1061" w:type="dxa"/>
            <w:tcBorders>
              <w:top w:val="single" w:color="000000" w:sz="4" w:space="0"/>
              <w:left w:val="single" w:color="000000" w:sz="4" w:space="0"/>
              <w:bottom w:val="single" w:color="000000" w:sz="4" w:space="0"/>
              <w:right w:val="single" w:color="000000" w:sz="4" w:space="0"/>
            </w:tcBorders>
            <w:vAlign w:val="center"/>
          </w:tcPr>
          <w:p w14:paraId="2007764A">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938" w:type="dxa"/>
            <w:tcBorders>
              <w:top w:val="single" w:color="000000" w:sz="4" w:space="0"/>
              <w:left w:val="single" w:color="000000" w:sz="4" w:space="0"/>
              <w:bottom w:val="single" w:color="000000" w:sz="4" w:space="0"/>
              <w:right w:val="single" w:color="000000" w:sz="4" w:space="0"/>
            </w:tcBorders>
            <w:vAlign w:val="center"/>
          </w:tcPr>
          <w:p w14:paraId="0769A204">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r>
              <w:rPr>
                <w:rFonts w:hint="default" w:ascii="宋体" w:hAnsi="宋体" w:eastAsia="宋体" w:cs="宋体"/>
                <w:color w:val="000000"/>
                <w:sz w:val="24"/>
                <w:szCs w:val="24"/>
              </w:rPr>
              <w:t>10</w:t>
            </w:r>
          </w:p>
        </w:tc>
        <w:tc>
          <w:tcPr>
            <w:tcW w:w="1841" w:type="dxa"/>
            <w:tcBorders>
              <w:top w:val="single" w:color="000000" w:sz="4" w:space="0"/>
              <w:left w:val="single" w:color="000000" w:sz="4" w:space="0"/>
              <w:bottom w:val="single" w:color="000000" w:sz="4" w:space="0"/>
              <w:right w:val="single" w:color="000000" w:sz="4" w:space="0"/>
            </w:tcBorders>
            <w:vAlign w:val="center"/>
          </w:tcPr>
          <w:p w14:paraId="19F35361">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r>
              <w:rPr>
                <w:rFonts w:hint="eastAsia" w:ascii="宋体" w:hAnsi="宋体" w:eastAsia="宋体" w:cs="宋体"/>
                <w:color w:val="000000"/>
                <w:sz w:val="24"/>
                <w:szCs w:val="24"/>
              </w:rPr>
              <w:t>按计划推进</w:t>
            </w:r>
          </w:p>
        </w:tc>
      </w:tr>
      <w:tr w14:paraId="564BAEFE">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vAlign w:val="center"/>
          </w:tcPr>
          <w:p w14:paraId="7FD7998C">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1081" w:type="dxa"/>
            <w:vMerge w:val="continue"/>
            <w:tcBorders>
              <w:top w:val="single" w:color="000000" w:sz="4" w:space="0"/>
              <w:left w:val="single" w:color="000000" w:sz="4" w:space="0"/>
              <w:bottom w:val="single" w:color="000000" w:sz="4" w:space="0"/>
              <w:right w:val="single" w:color="000000" w:sz="4" w:space="0"/>
            </w:tcBorders>
            <w:vAlign w:val="center"/>
          </w:tcPr>
          <w:p w14:paraId="472CC0DB">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1250" w:type="dxa"/>
            <w:vMerge w:val="continue"/>
            <w:tcBorders>
              <w:top w:val="single" w:color="000000" w:sz="4" w:space="0"/>
              <w:left w:val="single" w:color="000000" w:sz="4" w:space="0"/>
              <w:bottom w:val="single" w:color="000000" w:sz="4" w:space="0"/>
              <w:right w:val="single" w:color="000000" w:sz="4" w:space="0"/>
            </w:tcBorders>
            <w:vAlign w:val="center"/>
          </w:tcPr>
          <w:p w14:paraId="2F1B5ADD">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1312" w:type="dxa"/>
            <w:tcBorders>
              <w:top w:val="single" w:color="000000" w:sz="4" w:space="0"/>
              <w:left w:val="single" w:color="000000" w:sz="4" w:space="0"/>
              <w:bottom w:val="single" w:color="000000" w:sz="4" w:space="0"/>
              <w:right w:val="single" w:color="000000" w:sz="4" w:space="0"/>
            </w:tcBorders>
            <w:vAlign w:val="center"/>
          </w:tcPr>
          <w:p w14:paraId="598C8FEF">
            <w:pPr>
              <w:keepNext w:val="0"/>
              <w:keepLines w:val="0"/>
              <w:suppressLineNumbers w:val="0"/>
              <w:spacing w:before="0" w:beforeAutospacing="0" w:after="0" w:afterAutospacing="0" w:line="300" w:lineRule="exact"/>
              <w:ind w:left="0" w:right="0"/>
              <w:rPr>
                <w:rFonts w:hint="default" w:ascii="宋体" w:hAnsi="宋体" w:eastAsia="宋体" w:cs="Times New Roman"/>
                <w:color w:val="000000"/>
                <w:sz w:val="24"/>
                <w:szCs w:val="24"/>
              </w:rPr>
            </w:pPr>
          </w:p>
        </w:tc>
        <w:tc>
          <w:tcPr>
            <w:tcW w:w="1127" w:type="dxa"/>
            <w:tcBorders>
              <w:top w:val="single" w:color="000000" w:sz="4" w:space="0"/>
              <w:left w:val="single" w:color="000000" w:sz="4" w:space="0"/>
              <w:bottom w:val="single" w:color="000000" w:sz="4" w:space="0"/>
              <w:right w:val="single" w:color="000000" w:sz="4" w:space="0"/>
            </w:tcBorders>
            <w:vAlign w:val="center"/>
          </w:tcPr>
          <w:p w14:paraId="4333C8E9">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971" w:type="dxa"/>
            <w:tcBorders>
              <w:top w:val="single" w:color="000000" w:sz="4" w:space="0"/>
              <w:left w:val="single" w:color="000000" w:sz="4" w:space="0"/>
              <w:bottom w:val="single" w:color="000000" w:sz="4" w:space="0"/>
              <w:right w:val="single" w:color="000000" w:sz="4" w:space="0"/>
            </w:tcBorders>
            <w:vAlign w:val="center"/>
          </w:tcPr>
          <w:p w14:paraId="6231F5CA">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1061" w:type="dxa"/>
            <w:tcBorders>
              <w:top w:val="single" w:color="000000" w:sz="4" w:space="0"/>
              <w:left w:val="single" w:color="000000" w:sz="4" w:space="0"/>
              <w:bottom w:val="single" w:color="000000" w:sz="4" w:space="0"/>
              <w:right w:val="single" w:color="000000" w:sz="4" w:space="0"/>
            </w:tcBorders>
            <w:vAlign w:val="center"/>
          </w:tcPr>
          <w:p w14:paraId="24A39CD6">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938" w:type="dxa"/>
            <w:tcBorders>
              <w:top w:val="single" w:color="000000" w:sz="4" w:space="0"/>
              <w:left w:val="single" w:color="000000" w:sz="4" w:space="0"/>
              <w:bottom w:val="single" w:color="000000" w:sz="4" w:space="0"/>
              <w:right w:val="single" w:color="000000" w:sz="4" w:space="0"/>
            </w:tcBorders>
            <w:vAlign w:val="center"/>
          </w:tcPr>
          <w:p w14:paraId="7C3261CB">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1841" w:type="dxa"/>
            <w:tcBorders>
              <w:top w:val="single" w:color="000000" w:sz="4" w:space="0"/>
              <w:left w:val="single" w:color="000000" w:sz="4" w:space="0"/>
              <w:bottom w:val="single" w:color="000000" w:sz="4" w:space="0"/>
              <w:right w:val="single" w:color="000000" w:sz="4" w:space="0"/>
            </w:tcBorders>
            <w:vAlign w:val="center"/>
          </w:tcPr>
          <w:p w14:paraId="3C205058">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r>
      <w:tr w14:paraId="1C3C4E54">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vAlign w:val="center"/>
          </w:tcPr>
          <w:p w14:paraId="7E134D5C">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1081" w:type="dxa"/>
            <w:vMerge w:val="continue"/>
            <w:tcBorders>
              <w:top w:val="single" w:color="000000" w:sz="4" w:space="0"/>
              <w:left w:val="single" w:color="000000" w:sz="4" w:space="0"/>
              <w:bottom w:val="single" w:color="000000" w:sz="4" w:space="0"/>
              <w:right w:val="single" w:color="000000" w:sz="4" w:space="0"/>
            </w:tcBorders>
            <w:vAlign w:val="center"/>
          </w:tcPr>
          <w:p w14:paraId="1A36DA31">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1250" w:type="dxa"/>
            <w:vMerge w:val="restart"/>
            <w:tcBorders>
              <w:top w:val="single" w:color="000000" w:sz="4" w:space="0"/>
              <w:left w:val="single" w:color="000000" w:sz="4" w:space="0"/>
              <w:bottom w:val="single" w:color="000000" w:sz="4" w:space="0"/>
              <w:right w:val="single" w:color="000000" w:sz="4" w:space="0"/>
            </w:tcBorders>
            <w:vAlign w:val="center"/>
          </w:tcPr>
          <w:p w14:paraId="541EFFFB">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Times New Roman"/>
                <w:color w:val="000000"/>
                <w:sz w:val="24"/>
                <w:szCs w:val="24"/>
              </w:rPr>
            </w:pPr>
            <w:r>
              <w:rPr>
                <w:rFonts w:hint="eastAsia" w:ascii="宋体" w:hAnsi="宋体" w:eastAsia="宋体" w:cs="宋体"/>
                <w:color w:val="000000"/>
                <w:kern w:val="0"/>
                <w:sz w:val="24"/>
                <w:szCs w:val="24"/>
              </w:rPr>
              <w:t>时效指标</w:t>
            </w:r>
          </w:p>
        </w:tc>
        <w:tc>
          <w:tcPr>
            <w:tcW w:w="1312" w:type="dxa"/>
            <w:tcBorders>
              <w:top w:val="single" w:color="000000" w:sz="4" w:space="0"/>
              <w:left w:val="single" w:color="000000" w:sz="4" w:space="0"/>
              <w:bottom w:val="single" w:color="000000" w:sz="4" w:space="0"/>
              <w:right w:val="single" w:color="000000" w:sz="4" w:space="0"/>
            </w:tcBorders>
            <w:vAlign w:val="center"/>
          </w:tcPr>
          <w:p w14:paraId="65451AED">
            <w:pPr>
              <w:keepNext w:val="0"/>
              <w:keepLines w:val="0"/>
              <w:suppressLineNumbers w:val="0"/>
              <w:spacing w:before="0" w:beforeAutospacing="0" w:after="0" w:afterAutospacing="0" w:line="300" w:lineRule="exact"/>
              <w:ind w:left="0" w:right="0"/>
              <w:rPr>
                <w:rFonts w:hint="default" w:ascii="宋体" w:hAnsi="宋体" w:eastAsia="宋体" w:cs="Times New Roman"/>
                <w:color w:val="000000"/>
                <w:sz w:val="24"/>
                <w:szCs w:val="24"/>
              </w:rPr>
            </w:pPr>
            <w:r>
              <w:rPr>
                <w:rFonts w:hint="eastAsia" w:ascii="宋体" w:hAnsi="宋体" w:eastAsia="宋体" w:cs="宋体"/>
                <w:color w:val="000000"/>
                <w:sz w:val="24"/>
                <w:szCs w:val="24"/>
              </w:rPr>
              <w:t>完成时间</w:t>
            </w:r>
          </w:p>
        </w:tc>
        <w:tc>
          <w:tcPr>
            <w:tcW w:w="1127" w:type="dxa"/>
            <w:tcBorders>
              <w:top w:val="single" w:color="000000" w:sz="4" w:space="0"/>
              <w:left w:val="single" w:color="000000" w:sz="4" w:space="0"/>
              <w:bottom w:val="single" w:color="000000" w:sz="4" w:space="0"/>
              <w:right w:val="single" w:color="000000" w:sz="4" w:space="0"/>
            </w:tcBorders>
            <w:vAlign w:val="center"/>
          </w:tcPr>
          <w:p w14:paraId="1B566CED">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r>
              <w:rPr>
                <w:rFonts w:hint="eastAsia" w:ascii="宋体" w:hAnsi="宋体" w:eastAsia="宋体" w:cs="宋体"/>
                <w:color w:val="000000"/>
                <w:sz w:val="24"/>
                <w:szCs w:val="24"/>
              </w:rPr>
              <w:t>≤</w:t>
            </w:r>
          </w:p>
        </w:tc>
        <w:tc>
          <w:tcPr>
            <w:tcW w:w="971" w:type="dxa"/>
            <w:tcBorders>
              <w:top w:val="single" w:color="000000" w:sz="4" w:space="0"/>
              <w:left w:val="single" w:color="000000" w:sz="4" w:space="0"/>
              <w:bottom w:val="single" w:color="000000" w:sz="4" w:space="0"/>
              <w:right w:val="single" w:color="000000" w:sz="4" w:space="0"/>
            </w:tcBorders>
            <w:vAlign w:val="center"/>
          </w:tcPr>
          <w:p w14:paraId="6244DEE9">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r>
              <w:rPr>
                <w:rFonts w:hint="default" w:ascii="宋体" w:hAnsi="宋体" w:eastAsia="宋体" w:cs="宋体"/>
                <w:color w:val="000000"/>
                <w:sz w:val="24"/>
                <w:szCs w:val="24"/>
              </w:rPr>
              <w:t>12</w:t>
            </w:r>
          </w:p>
        </w:tc>
        <w:tc>
          <w:tcPr>
            <w:tcW w:w="1061" w:type="dxa"/>
            <w:tcBorders>
              <w:top w:val="single" w:color="000000" w:sz="4" w:space="0"/>
              <w:left w:val="single" w:color="000000" w:sz="4" w:space="0"/>
              <w:bottom w:val="single" w:color="000000" w:sz="4" w:space="0"/>
              <w:right w:val="single" w:color="000000" w:sz="4" w:space="0"/>
            </w:tcBorders>
            <w:vAlign w:val="center"/>
          </w:tcPr>
          <w:p w14:paraId="0614CCAE">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r>
              <w:rPr>
                <w:rFonts w:hint="eastAsia" w:ascii="宋体" w:hAnsi="宋体" w:eastAsia="宋体" w:cs="宋体"/>
                <w:color w:val="000000"/>
                <w:sz w:val="24"/>
                <w:szCs w:val="24"/>
              </w:rPr>
              <w:t>月</w:t>
            </w:r>
          </w:p>
        </w:tc>
        <w:tc>
          <w:tcPr>
            <w:tcW w:w="938" w:type="dxa"/>
            <w:tcBorders>
              <w:top w:val="single" w:color="000000" w:sz="4" w:space="0"/>
              <w:left w:val="single" w:color="000000" w:sz="4" w:space="0"/>
              <w:bottom w:val="single" w:color="000000" w:sz="4" w:space="0"/>
              <w:right w:val="single" w:color="000000" w:sz="4" w:space="0"/>
            </w:tcBorders>
            <w:vAlign w:val="center"/>
          </w:tcPr>
          <w:p w14:paraId="189078E2">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r>
              <w:rPr>
                <w:rFonts w:hint="default" w:ascii="宋体" w:hAnsi="宋体" w:eastAsia="宋体" w:cs="宋体"/>
                <w:color w:val="000000"/>
                <w:sz w:val="24"/>
                <w:szCs w:val="24"/>
              </w:rPr>
              <w:t>5</w:t>
            </w:r>
          </w:p>
        </w:tc>
        <w:tc>
          <w:tcPr>
            <w:tcW w:w="1841" w:type="dxa"/>
            <w:tcBorders>
              <w:top w:val="single" w:color="000000" w:sz="4" w:space="0"/>
              <w:left w:val="single" w:color="000000" w:sz="4" w:space="0"/>
              <w:bottom w:val="single" w:color="000000" w:sz="4" w:space="0"/>
              <w:right w:val="single" w:color="000000" w:sz="4" w:space="0"/>
            </w:tcBorders>
            <w:vAlign w:val="center"/>
          </w:tcPr>
          <w:p w14:paraId="35055223">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r>
              <w:rPr>
                <w:rFonts w:hint="default" w:ascii="宋体" w:hAnsi="宋体" w:eastAsia="宋体" w:cs="宋体"/>
                <w:color w:val="000000"/>
                <w:sz w:val="24"/>
                <w:szCs w:val="24"/>
              </w:rPr>
              <w:t>12</w:t>
            </w:r>
          </w:p>
        </w:tc>
      </w:tr>
      <w:tr w14:paraId="0558BA98">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vAlign w:val="center"/>
          </w:tcPr>
          <w:p w14:paraId="491FCB28">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1081" w:type="dxa"/>
            <w:vMerge w:val="continue"/>
            <w:tcBorders>
              <w:top w:val="single" w:color="000000" w:sz="4" w:space="0"/>
              <w:left w:val="single" w:color="000000" w:sz="4" w:space="0"/>
              <w:bottom w:val="single" w:color="000000" w:sz="4" w:space="0"/>
              <w:right w:val="single" w:color="000000" w:sz="4" w:space="0"/>
            </w:tcBorders>
            <w:vAlign w:val="center"/>
          </w:tcPr>
          <w:p w14:paraId="1A027DE9">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1250" w:type="dxa"/>
            <w:vMerge w:val="continue"/>
            <w:tcBorders>
              <w:top w:val="single" w:color="000000" w:sz="4" w:space="0"/>
              <w:left w:val="single" w:color="000000" w:sz="4" w:space="0"/>
              <w:bottom w:val="single" w:color="000000" w:sz="4" w:space="0"/>
              <w:right w:val="single" w:color="000000" w:sz="4" w:space="0"/>
            </w:tcBorders>
            <w:vAlign w:val="center"/>
          </w:tcPr>
          <w:p w14:paraId="5F8A2AF5">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1312" w:type="dxa"/>
            <w:tcBorders>
              <w:top w:val="single" w:color="000000" w:sz="4" w:space="0"/>
              <w:left w:val="single" w:color="000000" w:sz="4" w:space="0"/>
              <w:bottom w:val="single" w:color="000000" w:sz="4" w:space="0"/>
              <w:right w:val="single" w:color="000000" w:sz="4" w:space="0"/>
            </w:tcBorders>
            <w:vAlign w:val="center"/>
          </w:tcPr>
          <w:p w14:paraId="238F44FA">
            <w:pPr>
              <w:keepNext w:val="0"/>
              <w:keepLines w:val="0"/>
              <w:suppressLineNumbers w:val="0"/>
              <w:spacing w:before="0" w:beforeAutospacing="0" w:after="0" w:afterAutospacing="0" w:line="300" w:lineRule="exact"/>
              <w:ind w:left="0" w:right="0"/>
              <w:rPr>
                <w:rFonts w:hint="default" w:ascii="宋体" w:hAnsi="宋体" w:eastAsia="宋体" w:cs="Times New Roman"/>
                <w:color w:val="000000"/>
                <w:sz w:val="24"/>
                <w:szCs w:val="24"/>
              </w:rPr>
            </w:pPr>
          </w:p>
        </w:tc>
        <w:tc>
          <w:tcPr>
            <w:tcW w:w="1127" w:type="dxa"/>
            <w:tcBorders>
              <w:top w:val="single" w:color="000000" w:sz="4" w:space="0"/>
              <w:left w:val="single" w:color="000000" w:sz="4" w:space="0"/>
              <w:bottom w:val="single" w:color="000000" w:sz="4" w:space="0"/>
              <w:right w:val="single" w:color="000000" w:sz="4" w:space="0"/>
            </w:tcBorders>
            <w:vAlign w:val="center"/>
          </w:tcPr>
          <w:p w14:paraId="7CD9B62A">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971" w:type="dxa"/>
            <w:tcBorders>
              <w:top w:val="single" w:color="000000" w:sz="4" w:space="0"/>
              <w:left w:val="single" w:color="000000" w:sz="4" w:space="0"/>
              <w:bottom w:val="single" w:color="000000" w:sz="4" w:space="0"/>
              <w:right w:val="single" w:color="000000" w:sz="4" w:space="0"/>
            </w:tcBorders>
            <w:vAlign w:val="center"/>
          </w:tcPr>
          <w:p w14:paraId="0C39C3EF">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1061" w:type="dxa"/>
            <w:tcBorders>
              <w:top w:val="single" w:color="000000" w:sz="4" w:space="0"/>
              <w:left w:val="single" w:color="000000" w:sz="4" w:space="0"/>
              <w:bottom w:val="single" w:color="000000" w:sz="4" w:space="0"/>
              <w:right w:val="single" w:color="000000" w:sz="4" w:space="0"/>
            </w:tcBorders>
            <w:vAlign w:val="center"/>
          </w:tcPr>
          <w:p w14:paraId="7FD9C411">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938" w:type="dxa"/>
            <w:tcBorders>
              <w:top w:val="single" w:color="000000" w:sz="4" w:space="0"/>
              <w:left w:val="single" w:color="000000" w:sz="4" w:space="0"/>
              <w:bottom w:val="single" w:color="000000" w:sz="4" w:space="0"/>
              <w:right w:val="single" w:color="000000" w:sz="4" w:space="0"/>
            </w:tcBorders>
            <w:vAlign w:val="center"/>
          </w:tcPr>
          <w:p w14:paraId="7FB83F42">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1841" w:type="dxa"/>
            <w:tcBorders>
              <w:top w:val="single" w:color="000000" w:sz="4" w:space="0"/>
              <w:left w:val="single" w:color="000000" w:sz="4" w:space="0"/>
              <w:bottom w:val="single" w:color="000000" w:sz="4" w:space="0"/>
              <w:right w:val="single" w:color="000000" w:sz="4" w:space="0"/>
            </w:tcBorders>
            <w:vAlign w:val="center"/>
          </w:tcPr>
          <w:p w14:paraId="1A389666">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r>
      <w:tr w14:paraId="6BE6418C">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vAlign w:val="center"/>
          </w:tcPr>
          <w:p w14:paraId="20F9BD0D">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1081" w:type="dxa"/>
            <w:vMerge w:val="continue"/>
            <w:tcBorders>
              <w:top w:val="single" w:color="000000" w:sz="4" w:space="0"/>
              <w:left w:val="single" w:color="000000" w:sz="4" w:space="0"/>
              <w:bottom w:val="single" w:color="000000" w:sz="4" w:space="0"/>
              <w:right w:val="single" w:color="000000" w:sz="4" w:space="0"/>
            </w:tcBorders>
            <w:vAlign w:val="center"/>
          </w:tcPr>
          <w:p w14:paraId="286BCB80">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1250" w:type="dxa"/>
            <w:tcBorders>
              <w:top w:val="single" w:color="000000" w:sz="4" w:space="0"/>
              <w:left w:val="single" w:color="000000" w:sz="4" w:space="0"/>
              <w:bottom w:val="single" w:color="000000" w:sz="4" w:space="0"/>
              <w:right w:val="single" w:color="000000" w:sz="4" w:space="0"/>
            </w:tcBorders>
            <w:vAlign w:val="center"/>
          </w:tcPr>
          <w:p w14:paraId="0CE65180">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Times New Roman"/>
                <w:color w:val="000000"/>
                <w:sz w:val="24"/>
                <w:szCs w:val="24"/>
              </w:rPr>
            </w:pPr>
            <w:r>
              <w:rPr>
                <w:rFonts w:hint="default" w:ascii="宋体" w:hAnsi="宋体" w:eastAsia="宋体" w:cs="宋体"/>
                <w:color w:val="000000"/>
                <w:kern w:val="0"/>
                <w:sz w:val="24"/>
                <w:szCs w:val="24"/>
              </w:rPr>
              <w:t>......</w:t>
            </w:r>
          </w:p>
        </w:tc>
        <w:tc>
          <w:tcPr>
            <w:tcW w:w="1312" w:type="dxa"/>
            <w:tcBorders>
              <w:top w:val="single" w:color="000000" w:sz="4" w:space="0"/>
              <w:left w:val="single" w:color="000000" w:sz="4" w:space="0"/>
              <w:bottom w:val="single" w:color="000000" w:sz="4" w:space="0"/>
              <w:right w:val="single" w:color="000000" w:sz="4" w:space="0"/>
            </w:tcBorders>
            <w:vAlign w:val="center"/>
          </w:tcPr>
          <w:p w14:paraId="03E10F00">
            <w:pPr>
              <w:keepNext w:val="0"/>
              <w:keepLines w:val="0"/>
              <w:suppressLineNumbers w:val="0"/>
              <w:spacing w:before="0" w:beforeAutospacing="0" w:after="0" w:afterAutospacing="0" w:line="300" w:lineRule="exact"/>
              <w:ind w:left="0" w:right="0"/>
              <w:rPr>
                <w:rFonts w:hint="default" w:ascii="宋体" w:hAnsi="宋体" w:eastAsia="宋体" w:cs="Times New Roman"/>
                <w:color w:val="000000"/>
                <w:sz w:val="24"/>
                <w:szCs w:val="24"/>
              </w:rPr>
            </w:pPr>
          </w:p>
        </w:tc>
        <w:tc>
          <w:tcPr>
            <w:tcW w:w="1127" w:type="dxa"/>
            <w:tcBorders>
              <w:top w:val="single" w:color="000000" w:sz="4" w:space="0"/>
              <w:left w:val="single" w:color="000000" w:sz="4" w:space="0"/>
              <w:bottom w:val="single" w:color="000000" w:sz="4" w:space="0"/>
              <w:right w:val="single" w:color="000000" w:sz="4" w:space="0"/>
            </w:tcBorders>
            <w:vAlign w:val="center"/>
          </w:tcPr>
          <w:p w14:paraId="24BECAF8">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971" w:type="dxa"/>
            <w:tcBorders>
              <w:top w:val="single" w:color="000000" w:sz="4" w:space="0"/>
              <w:left w:val="single" w:color="000000" w:sz="4" w:space="0"/>
              <w:bottom w:val="single" w:color="000000" w:sz="4" w:space="0"/>
              <w:right w:val="single" w:color="000000" w:sz="4" w:space="0"/>
            </w:tcBorders>
            <w:vAlign w:val="center"/>
          </w:tcPr>
          <w:p w14:paraId="43C31B62">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1061" w:type="dxa"/>
            <w:tcBorders>
              <w:top w:val="single" w:color="000000" w:sz="4" w:space="0"/>
              <w:left w:val="single" w:color="000000" w:sz="4" w:space="0"/>
              <w:bottom w:val="single" w:color="000000" w:sz="4" w:space="0"/>
              <w:right w:val="single" w:color="000000" w:sz="4" w:space="0"/>
            </w:tcBorders>
            <w:vAlign w:val="center"/>
          </w:tcPr>
          <w:p w14:paraId="299BFD01">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938" w:type="dxa"/>
            <w:tcBorders>
              <w:top w:val="single" w:color="000000" w:sz="4" w:space="0"/>
              <w:left w:val="single" w:color="000000" w:sz="4" w:space="0"/>
              <w:bottom w:val="single" w:color="000000" w:sz="4" w:space="0"/>
              <w:right w:val="single" w:color="000000" w:sz="4" w:space="0"/>
            </w:tcBorders>
            <w:vAlign w:val="center"/>
          </w:tcPr>
          <w:p w14:paraId="4CA121AA">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1841" w:type="dxa"/>
            <w:tcBorders>
              <w:top w:val="single" w:color="000000" w:sz="4" w:space="0"/>
              <w:left w:val="single" w:color="000000" w:sz="4" w:space="0"/>
              <w:bottom w:val="single" w:color="000000" w:sz="4" w:space="0"/>
              <w:right w:val="single" w:color="000000" w:sz="4" w:space="0"/>
            </w:tcBorders>
            <w:vAlign w:val="center"/>
          </w:tcPr>
          <w:p w14:paraId="44A5414A">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r>
      <w:tr w14:paraId="64D5E0FC">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vAlign w:val="center"/>
          </w:tcPr>
          <w:p w14:paraId="741D68FC">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1081" w:type="dxa"/>
            <w:vMerge w:val="restart"/>
            <w:tcBorders>
              <w:top w:val="single" w:color="000000" w:sz="4" w:space="0"/>
              <w:left w:val="single" w:color="000000" w:sz="4" w:space="0"/>
              <w:bottom w:val="single" w:color="000000" w:sz="4" w:space="0"/>
              <w:right w:val="single" w:color="000000" w:sz="4" w:space="0"/>
            </w:tcBorders>
            <w:vAlign w:val="center"/>
          </w:tcPr>
          <w:p w14:paraId="26D9165A">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Times New Roman"/>
                <w:color w:val="000000"/>
                <w:sz w:val="24"/>
                <w:szCs w:val="24"/>
              </w:rPr>
            </w:pPr>
            <w:r>
              <w:rPr>
                <w:rFonts w:hint="eastAsia" w:ascii="宋体" w:hAnsi="宋体" w:eastAsia="宋体" w:cs="宋体"/>
                <w:color w:val="000000"/>
                <w:kern w:val="0"/>
                <w:sz w:val="24"/>
                <w:szCs w:val="24"/>
              </w:rPr>
              <w:t>效益指标</w:t>
            </w:r>
          </w:p>
        </w:tc>
        <w:tc>
          <w:tcPr>
            <w:tcW w:w="1250" w:type="dxa"/>
            <w:vMerge w:val="restart"/>
            <w:tcBorders>
              <w:top w:val="single" w:color="000000" w:sz="4" w:space="0"/>
              <w:left w:val="single" w:color="000000" w:sz="4" w:space="0"/>
              <w:bottom w:val="single" w:color="000000" w:sz="4" w:space="0"/>
              <w:right w:val="single" w:color="000000" w:sz="4" w:space="0"/>
            </w:tcBorders>
            <w:vAlign w:val="center"/>
          </w:tcPr>
          <w:p w14:paraId="349D5FB4">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Times New Roman"/>
                <w:color w:val="000000"/>
                <w:kern w:val="0"/>
                <w:sz w:val="24"/>
                <w:szCs w:val="24"/>
              </w:rPr>
            </w:pPr>
            <w:r>
              <w:rPr>
                <w:rFonts w:hint="eastAsia" w:ascii="宋体" w:hAnsi="宋体" w:eastAsia="宋体" w:cs="宋体"/>
                <w:color w:val="000000"/>
                <w:kern w:val="0"/>
                <w:sz w:val="24"/>
                <w:szCs w:val="24"/>
              </w:rPr>
              <w:t>经济效益</w:t>
            </w:r>
          </w:p>
          <w:p w14:paraId="4DD435B4">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Times New Roman"/>
                <w:color w:val="000000"/>
                <w:sz w:val="24"/>
                <w:szCs w:val="24"/>
              </w:rPr>
            </w:pPr>
            <w:r>
              <w:rPr>
                <w:rFonts w:hint="eastAsia" w:ascii="宋体" w:hAnsi="宋体" w:eastAsia="宋体" w:cs="宋体"/>
                <w:color w:val="000000"/>
                <w:kern w:val="0"/>
                <w:sz w:val="24"/>
                <w:szCs w:val="24"/>
              </w:rPr>
              <w:t>指标</w:t>
            </w:r>
          </w:p>
        </w:tc>
        <w:tc>
          <w:tcPr>
            <w:tcW w:w="1312" w:type="dxa"/>
            <w:tcBorders>
              <w:top w:val="single" w:color="000000" w:sz="4" w:space="0"/>
              <w:left w:val="single" w:color="000000" w:sz="4" w:space="0"/>
              <w:bottom w:val="single" w:color="000000" w:sz="4" w:space="0"/>
              <w:right w:val="single" w:color="000000" w:sz="4" w:space="0"/>
            </w:tcBorders>
            <w:vAlign w:val="center"/>
          </w:tcPr>
          <w:p w14:paraId="4FC3D51E">
            <w:pPr>
              <w:keepNext w:val="0"/>
              <w:keepLines w:val="0"/>
              <w:suppressLineNumbers w:val="0"/>
              <w:spacing w:before="0" w:beforeAutospacing="0" w:after="0" w:afterAutospacing="0" w:line="300" w:lineRule="exact"/>
              <w:ind w:left="0" w:right="0"/>
              <w:rPr>
                <w:rFonts w:hint="default" w:ascii="宋体" w:hAnsi="宋体" w:eastAsia="宋体" w:cs="Times New Roman"/>
                <w:color w:val="000000"/>
                <w:sz w:val="24"/>
                <w:szCs w:val="24"/>
              </w:rPr>
            </w:pPr>
            <w:r>
              <w:rPr>
                <w:rFonts w:hint="eastAsia" w:ascii="宋体" w:hAnsi="宋体" w:eastAsia="宋体" w:cs="宋体"/>
                <w:color w:val="000000"/>
                <w:sz w:val="24"/>
                <w:szCs w:val="24"/>
              </w:rPr>
              <w:t>建成成渝地区能源安全保障基地</w:t>
            </w:r>
          </w:p>
        </w:tc>
        <w:tc>
          <w:tcPr>
            <w:tcW w:w="1127" w:type="dxa"/>
            <w:tcBorders>
              <w:top w:val="single" w:color="000000" w:sz="4" w:space="0"/>
              <w:left w:val="single" w:color="000000" w:sz="4" w:space="0"/>
              <w:bottom w:val="single" w:color="000000" w:sz="4" w:space="0"/>
              <w:right w:val="single" w:color="000000" w:sz="4" w:space="0"/>
            </w:tcBorders>
            <w:vAlign w:val="center"/>
          </w:tcPr>
          <w:p w14:paraId="39C14F79">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r>
              <w:rPr>
                <w:rFonts w:hint="eastAsia" w:ascii="宋体" w:hAnsi="宋体" w:eastAsia="宋体" w:cs="宋体"/>
                <w:color w:val="000000"/>
                <w:sz w:val="24"/>
                <w:szCs w:val="24"/>
              </w:rPr>
              <w:t>定性</w:t>
            </w:r>
          </w:p>
        </w:tc>
        <w:tc>
          <w:tcPr>
            <w:tcW w:w="971" w:type="dxa"/>
            <w:tcBorders>
              <w:top w:val="single" w:color="000000" w:sz="4" w:space="0"/>
              <w:left w:val="single" w:color="000000" w:sz="4" w:space="0"/>
              <w:bottom w:val="single" w:color="000000" w:sz="4" w:space="0"/>
              <w:right w:val="single" w:color="000000" w:sz="4" w:space="0"/>
            </w:tcBorders>
            <w:vAlign w:val="center"/>
          </w:tcPr>
          <w:p w14:paraId="161D8F74">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1061" w:type="dxa"/>
            <w:tcBorders>
              <w:top w:val="single" w:color="000000" w:sz="4" w:space="0"/>
              <w:left w:val="single" w:color="000000" w:sz="4" w:space="0"/>
              <w:bottom w:val="single" w:color="000000" w:sz="4" w:space="0"/>
              <w:right w:val="single" w:color="000000" w:sz="4" w:space="0"/>
            </w:tcBorders>
            <w:vAlign w:val="center"/>
          </w:tcPr>
          <w:p w14:paraId="0BD238D9">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938" w:type="dxa"/>
            <w:tcBorders>
              <w:top w:val="single" w:color="000000" w:sz="4" w:space="0"/>
              <w:left w:val="single" w:color="000000" w:sz="4" w:space="0"/>
              <w:bottom w:val="single" w:color="000000" w:sz="4" w:space="0"/>
              <w:right w:val="single" w:color="000000" w:sz="4" w:space="0"/>
            </w:tcBorders>
            <w:vAlign w:val="center"/>
          </w:tcPr>
          <w:p w14:paraId="1042150C">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r>
              <w:rPr>
                <w:rFonts w:hint="default" w:ascii="宋体" w:hAnsi="宋体" w:eastAsia="宋体" w:cs="宋体"/>
                <w:color w:val="000000"/>
                <w:sz w:val="24"/>
                <w:szCs w:val="24"/>
              </w:rPr>
              <w:t>20</w:t>
            </w:r>
          </w:p>
        </w:tc>
        <w:tc>
          <w:tcPr>
            <w:tcW w:w="1841" w:type="dxa"/>
            <w:tcBorders>
              <w:top w:val="single" w:color="000000" w:sz="4" w:space="0"/>
              <w:left w:val="single" w:color="000000" w:sz="4" w:space="0"/>
              <w:bottom w:val="single" w:color="000000" w:sz="4" w:space="0"/>
              <w:right w:val="single" w:color="000000" w:sz="4" w:space="0"/>
            </w:tcBorders>
            <w:vAlign w:val="center"/>
          </w:tcPr>
          <w:p w14:paraId="7C7CC7C6">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r>
              <w:rPr>
                <w:rFonts w:hint="eastAsia" w:ascii="宋体" w:hAnsi="宋体" w:eastAsia="宋体" w:cs="宋体"/>
                <w:color w:val="000000"/>
                <w:sz w:val="24"/>
                <w:szCs w:val="24"/>
              </w:rPr>
              <w:t>按计划推进</w:t>
            </w:r>
          </w:p>
        </w:tc>
      </w:tr>
      <w:tr w14:paraId="19B1C7BB">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vAlign w:val="center"/>
          </w:tcPr>
          <w:p w14:paraId="7C74BDB7">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1081" w:type="dxa"/>
            <w:vMerge w:val="continue"/>
            <w:tcBorders>
              <w:top w:val="single" w:color="000000" w:sz="4" w:space="0"/>
              <w:left w:val="single" w:color="000000" w:sz="4" w:space="0"/>
              <w:bottom w:val="single" w:color="000000" w:sz="4" w:space="0"/>
              <w:right w:val="single" w:color="000000" w:sz="4" w:space="0"/>
            </w:tcBorders>
            <w:vAlign w:val="center"/>
          </w:tcPr>
          <w:p w14:paraId="1835AE91">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1250" w:type="dxa"/>
            <w:vMerge w:val="continue"/>
            <w:tcBorders>
              <w:top w:val="single" w:color="000000" w:sz="4" w:space="0"/>
              <w:left w:val="single" w:color="000000" w:sz="4" w:space="0"/>
              <w:bottom w:val="single" w:color="000000" w:sz="4" w:space="0"/>
              <w:right w:val="single" w:color="000000" w:sz="4" w:space="0"/>
            </w:tcBorders>
            <w:vAlign w:val="center"/>
          </w:tcPr>
          <w:p w14:paraId="007AC91A">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1312" w:type="dxa"/>
            <w:tcBorders>
              <w:top w:val="single" w:color="000000" w:sz="4" w:space="0"/>
              <w:left w:val="single" w:color="000000" w:sz="4" w:space="0"/>
              <w:bottom w:val="single" w:color="000000" w:sz="4" w:space="0"/>
              <w:right w:val="single" w:color="000000" w:sz="4" w:space="0"/>
            </w:tcBorders>
            <w:vAlign w:val="center"/>
          </w:tcPr>
          <w:p w14:paraId="62BC684D">
            <w:pPr>
              <w:keepNext w:val="0"/>
              <w:keepLines w:val="0"/>
              <w:suppressLineNumbers w:val="0"/>
              <w:spacing w:before="0" w:beforeAutospacing="0" w:after="0" w:afterAutospacing="0" w:line="300" w:lineRule="exact"/>
              <w:ind w:left="0" w:right="0"/>
              <w:rPr>
                <w:rFonts w:hint="default" w:ascii="宋体" w:hAnsi="宋体" w:eastAsia="宋体" w:cs="Times New Roman"/>
                <w:color w:val="000000"/>
                <w:sz w:val="24"/>
                <w:szCs w:val="24"/>
              </w:rPr>
            </w:pPr>
          </w:p>
        </w:tc>
        <w:tc>
          <w:tcPr>
            <w:tcW w:w="1127" w:type="dxa"/>
            <w:tcBorders>
              <w:top w:val="single" w:color="000000" w:sz="4" w:space="0"/>
              <w:left w:val="single" w:color="000000" w:sz="4" w:space="0"/>
              <w:bottom w:val="single" w:color="000000" w:sz="4" w:space="0"/>
              <w:right w:val="single" w:color="000000" w:sz="4" w:space="0"/>
            </w:tcBorders>
            <w:vAlign w:val="center"/>
          </w:tcPr>
          <w:p w14:paraId="46CA991B">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971" w:type="dxa"/>
            <w:tcBorders>
              <w:top w:val="single" w:color="000000" w:sz="4" w:space="0"/>
              <w:left w:val="single" w:color="000000" w:sz="4" w:space="0"/>
              <w:bottom w:val="single" w:color="000000" w:sz="4" w:space="0"/>
              <w:right w:val="single" w:color="000000" w:sz="4" w:space="0"/>
            </w:tcBorders>
            <w:vAlign w:val="center"/>
          </w:tcPr>
          <w:p w14:paraId="68AC2306">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1061" w:type="dxa"/>
            <w:tcBorders>
              <w:top w:val="single" w:color="000000" w:sz="4" w:space="0"/>
              <w:left w:val="single" w:color="000000" w:sz="4" w:space="0"/>
              <w:bottom w:val="single" w:color="000000" w:sz="4" w:space="0"/>
              <w:right w:val="single" w:color="000000" w:sz="4" w:space="0"/>
            </w:tcBorders>
            <w:vAlign w:val="center"/>
          </w:tcPr>
          <w:p w14:paraId="2451633D">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938" w:type="dxa"/>
            <w:tcBorders>
              <w:top w:val="single" w:color="000000" w:sz="4" w:space="0"/>
              <w:left w:val="single" w:color="000000" w:sz="4" w:space="0"/>
              <w:bottom w:val="single" w:color="000000" w:sz="4" w:space="0"/>
              <w:right w:val="single" w:color="000000" w:sz="4" w:space="0"/>
            </w:tcBorders>
            <w:vAlign w:val="center"/>
          </w:tcPr>
          <w:p w14:paraId="2E2569A3">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1841" w:type="dxa"/>
            <w:tcBorders>
              <w:top w:val="single" w:color="000000" w:sz="4" w:space="0"/>
              <w:left w:val="single" w:color="000000" w:sz="4" w:space="0"/>
              <w:bottom w:val="single" w:color="000000" w:sz="4" w:space="0"/>
              <w:right w:val="single" w:color="000000" w:sz="4" w:space="0"/>
            </w:tcBorders>
            <w:vAlign w:val="center"/>
          </w:tcPr>
          <w:p w14:paraId="1D0F00D4">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r>
      <w:tr w14:paraId="21377AE5">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vAlign w:val="center"/>
          </w:tcPr>
          <w:p w14:paraId="3152C301">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1081" w:type="dxa"/>
            <w:vMerge w:val="continue"/>
            <w:tcBorders>
              <w:top w:val="single" w:color="000000" w:sz="4" w:space="0"/>
              <w:left w:val="single" w:color="000000" w:sz="4" w:space="0"/>
              <w:bottom w:val="single" w:color="000000" w:sz="4" w:space="0"/>
              <w:right w:val="single" w:color="000000" w:sz="4" w:space="0"/>
            </w:tcBorders>
            <w:vAlign w:val="center"/>
          </w:tcPr>
          <w:p w14:paraId="7361190F">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1250" w:type="dxa"/>
            <w:vMerge w:val="restart"/>
            <w:tcBorders>
              <w:top w:val="single" w:color="000000" w:sz="4" w:space="0"/>
              <w:left w:val="single" w:color="000000" w:sz="4" w:space="0"/>
              <w:right w:val="single" w:color="000000" w:sz="4" w:space="0"/>
            </w:tcBorders>
            <w:vAlign w:val="center"/>
          </w:tcPr>
          <w:p w14:paraId="1F12BE23">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Times New Roman"/>
                <w:color w:val="000000"/>
                <w:kern w:val="0"/>
                <w:sz w:val="24"/>
                <w:szCs w:val="24"/>
              </w:rPr>
            </w:pPr>
            <w:r>
              <w:rPr>
                <w:rFonts w:hint="eastAsia" w:ascii="宋体" w:hAnsi="宋体" w:eastAsia="宋体" w:cs="宋体"/>
                <w:color w:val="000000"/>
                <w:kern w:val="0"/>
                <w:sz w:val="24"/>
                <w:szCs w:val="24"/>
              </w:rPr>
              <w:t>社会效益</w:t>
            </w:r>
          </w:p>
          <w:p w14:paraId="65E548B6">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Times New Roman"/>
                <w:color w:val="000000"/>
                <w:sz w:val="24"/>
                <w:szCs w:val="24"/>
              </w:rPr>
            </w:pPr>
            <w:r>
              <w:rPr>
                <w:rFonts w:hint="eastAsia" w:ascii="宋体" w:hAnsi="宋体" w:eastAsia="宋体" w:cs="宋体"/>
                <w:color w:val="000000"/>
                <w:kern w:val="0"/>
                <w:sz w:val="24"/>
                <w:szCs w:val="24"/>
              </w:rPr>
              <w:t>指标</w:t>
            </w:r>
          </w:p>
        </w:tc>
        <w:tc>
          <w:tcPr>
            <w:tcW w:w="1312" w:type="dxa"/>
            <w:tcBorders>
              <w:top w:val="single" w:color="000000" w:sz="4" w:space="0"/>
              <w:left w:val="single" w:color="000000" w:sz="4" w:space="0"/>
              <w:bottom w:val="single" w:color="000000" w:sz="4" w:space="0"/>
              <w:right w:val="single" w:color="000000" w:sz="4" w:space="0"/>
            </w:tcBorders>
            <w:vAlign w:val="center"/>
          </w:tcPr>
          <w:p w14:paraId="599974D0">
            <w:pPr>
              <w:keepNext w:val="0"/>
              <w:keepLines w:val="0"/>
              <w:suppressLineNumbers w:val="0"/>
              <w:spacing w:before="0" w:beforeAutospacing="0" w:after="0" w:afterAutospacing="0" w:line="300" w:lineRule="exact"/>
              <w:ind w:left="0" w:right="0"/>
              <w:rPr>
                <w:rFonts w:hint="default" w:ascii="宋体" w:hAnsi="宋体" w:eastAsia="宋体" w:cs="Times New Roman"/>
                <w:color w:val="000000"/>
                <w:sz w:val="24"/>
                <w:szCs w:val="24"/>
              </w:rPr>
            </w:pPr>
            <w:r>
              <w:rPr>
                <w:rFonts w:hint="eastAsia" w:ascii="宋体" w:hAnsi="宋体" w:eastAsia="宋体" w:cs="宋体"/>
                <w:color w:val="000000"/>
                <w:sz w:val="24"/>
                <w:szCs w:val="24"/>
              </w:rPr>
              <w:t>助力“双碳”目标实现</w:t>
            </w:r>
          </w:p>
        </w:tc>
        <w:tc>
          <w:tcPr>
            <w:tcW w:w="1127" w:type="dxa"/>
            <w:tcBorders>
              <w:top w:val="single" w:color="000000" w:sz="4" w:space="0"/>
              <w:left w:val="single" w:color="000000" w:sz="4" w:space="0"/>
              <w:bottom w:val="single" w:color="000000" w:sz="4" w:space="0"/>
              <w:right w:val="single" w:color="000000" w:sz="4" w:space="0"/>
            </w:tcBorders>
            <w:vAlign w:val="center"/>
          </w:tcPr>
          <w:p w14:paraId="05B4835C">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r>
              <w:rPr>
                <w:rFonts w:hint="eastAsia" w:ascii="宋体" w:hAnsi="宋体" w:eastAsia="宋体" w:cs="宋体"/>
                <w:color w:val="000000"/>
                <w:sz w:val="24"/>
                <w:szCs w:val="24"/>
              </w:rPr>
              <w:t>定性</w:t>
            </w:r>
          </w:p>
        </w:tc>
        <w:tc>
          <w:tcPr>
            <w:tcW w:w="971" w:type="dxa"/>
            <w:tcBorders>
              <w:top w:val="single" w:color="000000" w:sz="4" w:space="0"/>
              <w:left w:val="single" w:color="000000" w:sz="4" w:space="0"/>
              <w:bottom w:val="single" w:color="000000" w:sz="4" w:space="0"/>
              <w:right w:val="single" w:color="000000" w:sz="4" w:space="0"/>
            </w:tcBorders>
            <w:vAlign w:val="center"/>
          </w:tcPr>
          <w:p w14:paraId="48A51D95">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r>
              <w:rPr>
                <w:rFonts w:hint="eastAsia" w:ascii="宋体" w:hAnsi="宋体" w:eastAsia="宋体" w:cs="宋体"/>
                <w:color w:val="000000"/>
                <w:sz w:val="24"/>
                <w:szCs w:val="24"/>
              </w:rPr>
              <w:t>加快新能源项目建设，提高清洁能源占比，优化能源结构。</w:t>
            </w:r>
          </w:p>
        </w:tc>
        <w:tc>
          <w:tcPr>
            <w:tcW w:w="1061" w:type="dxa"/>
            <w:tcBorders>
              <w:top w:val="single" w:color="000000" w:sz="4" w:space="0"/>
              <w:left w:val="single" w:color="000000" w:sz="4" w:space="0"/>
              <w:bottom w:val="single" w:color="000000" w:sz="4" w:space="0"/>
              <w:right w:val="single" w:color="000000" w:sz="4" w:space="0"/>
            </w:tcBorders>
            <w:vAlign w:val="center"/>
          </w:tcPr>
          <w:p w14:paraId="59308265">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938" w:type="dxa"/>
            <w:tcBorders>
              <w:top w:val="single" w:color="000000" w:sz="4" w:space="0"/>
              <w:left w:val="single" w:color="000000" w:sz="4" w:space="0"/>
              <w:bottom w:val="single" w:color="000000" w:sz="4" w:space="0"/>
              <w:right w:val="single" w:color="000000" w:sz="4" w:space="0"/>
            </w:tcBorders>
            <w:vAlign w:val="center"/>
          </w:tcPr>
          <w:p w14:paraId="12726F0A">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r>
              <w:rPr>
                <w:rFonts w:hint="default" w:ascii="宋体" w:hAnsi="宋体" w:eastAsia="宋体" w:cs="宋体"/>
                <w:color w:val="000000"/>
                <w:sz w:val="24"/>
                <w:szCs w:val="24"/>
              </w:rPr>
              <w:t>10</w:t>
            </w:r>
          </w:p>
        </w:tc>
        <w:tc>
          <w:tcPr>
            <w:tcW w:w="1841" w:type="dxa"/>
            <w:tcBorders>
              <w:top w:val="single" w:color="000000" w:sz="4" w:space="0"/>
              <w:left w:val="single" w:color="000000" w:sz="4" w:space="0"/>
              <w:bottom w:val="single" w:color="000000" w:sz="4" w:space="0"/>
              <w:right w:val="single" w:color="000000" w:sz="4" w:space="0"/>
            </w:tcBorders>
            <w:vAlign w:val="center"/>
          </w:tcPr>
          <w:p w14:paraId="02B19B9A">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r>
              <w:rPr>
                <w:rFonts w:hint="eastAsia" w:ascii="宋体" w:hAnsi="宋体" w:eastAsia="宋体" w:cs="宋体"/>
                <w:color w:val="000000"/>
                <w:sz w:val="24"/>
                <w:szCs w:val="24"/>
              </w:rPr>
              <w:t>我市并网发电装机容量</w:t>
            </w:r>
            <w:r>
              <w:rPr>
                <w:rFonts w:hint="default" w:ascii="宋体" w:hAnsi="宋体" w:eastAsia="宋体" w:cs="宋体"/>
                <w:color w:val="000000"/>
                <w:sz w:val="24"/>
                <w:szCs w:val="24"/>
              </w:rPr>
              <w:t>336.47</w:t>
            </w:r>
            <w:r>
              <w:rPr>
                <w:rFonts w:hint="eastAsia" w:ascii="宋体" w:hAnsi="宋体" w:eastAsia="宋体" w:cs="宋体"/>
                <w:color w:val="000000"/>
                <w:sz w:val="24"/>
                <w:szCs w:val="24"/>
              </w:rPr>
              <w:t>万千瓦，清洁能源占比</w:t>
            </w:r>
            <w:r>
              <w:rPr>
                <w:rFonts w:hint="default" w:ascii="宋体" w:hAnsi="宋体" w:eastAsia="宋体" w:cs="宋体"/>
                <w:color w:val="000000"/>
                <w:sz w:val="24"/>
                <w:szCs w:val="24"/>
              </w:rPr>
              <w:t>100%</w:t>
            </w:r>
            <w:r>
              <w:rPr>
                <w:rFonts w:hint="eastAsia" w:ascii="宋体" w:hAnsi="宋体" w:eastAsia="宋体" w:cs="宋体"/>
                <w:color w:val="000000"/>
                <w:sz w:val="24"/>
                <w:szCs w:val="24"/>
              </w:rPr>
              <w:t>。</w:t>
            </w:r>
          </w:p>
        </w:tc>
      </w:tr>
      <w:tr w14:paraId="27A65FF8">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vAlign w:val="center"/>
          </w:tcPr>
          <w:p w14:paraId="1B5AA053">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1081" w:type="dxa"/>
            <w:vMerge w:val="continue"/>
            <w:tcBorders>
              <w:top w:val="single" w:color="000000" w:sz="4" w:space="0"/>
              <w:left w:val="single" w:color="000000" w:sz="4" w:space="0"/>
              <w:bottom w:val="single" w:color="000000" w:sz="4" w:space="0"/>
              <w:right w:val="single" w:color="000000" w:sz="4" w:space="0"/>
            </w:tcBorders>
            <w:vAlign w:val="center"/>
          </w:tcPr>
          <w:p w14:paraId="45AF7712">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1250" w:type="dxa"/>
            <w:vMerge w:val="continue"/>
            <w:tcBorders>
              <w:top w:val="single" w:color="000000" w:sz="4" w:space="0"/>
              <w:left w:val="single" w:color="000000" w:sz="4" w:space="0"/>
              <w:right w:val="single" w:color="000000" w:sz="4" w:space="0"/>
            </w:tcBorders>
            <w:vAlign w:val="center"/>
          </w:tcPr>
          <w:p w14:paraId="2E8C2E8E">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1312" w:type="dxa"/>
            <w:tcBorders>
              <w:top w:val="single" w:color="000000" w:sz="4" w:space="0"/>
              <w:left w:val="single" w:color="000000" w:sz="4" w:space="0"/>
              <w:bottom w:val="single" w:color="000000" w:sz="4" w:space="0"/>
              <w:right w:val="single" w:color="000000" w:sz="4" w:space="0"/>
            </w:tcBorders>
            <w:vAlign w:val="center"/>
          </w:tcPr>
          <w:p w14:paraId="5ACA24B3">
            <w:pPr>
              <w:keepNext w:val="0"/>
              <w:keepLines w:val="0"/>
              <w:suppressLineNumbers w:val="0"/>
              <w:spacing w:before="0" w:beforeAutospacing="0" w:after="0" w:afterAutospacing="0" w:line="300" w:lineRule="exact"/>
              <w:ind w:left="0" w:right="0"/>
              <w:rPr>
                <w:rFonts w:hint="default" w:ascii="宋体" w:hAnsi="宋体" w:eastAsia="宋体" w:cs="Times New Roman"/>
                <w:color w:val="000000"/>
                <w:sz w:val="24"/>
                <w:szCs w:val="24"/>
              </w:rPr>
            </w:pPr>
          </w:p>
        </w:tc>
        <w:tc>
          <w:tcPr>
            <w:tcW w:w="1127" w:type="dxa"/>
            <w:tcBorders>
              <w:top w:val="single" w:color="000000" w:sz="4" w:space="0"/>
              <w:left w:val="single" w:color="000000" w:sz="4" w:space="0"/>
              <w:bottom w:val="single" w:color="000000" w:sz="4" w:space="0"/>
              <w:right w:val="single" w:color="000000" w:sz="4" w:space="0"/>
            </w:tcBorders>
            <w:vAlign w:val="center"/>
          </w:tcPr>
          <w:p w14:paraId="491EAFFC">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971" w:type="dxa"/>
            <w:tcBorders>
              <w:top w:val="single" w:color="000000" w:sz="4" w:space="0"/>
              <w:left w:val="single" w:color="000000" w:sz="4" w:space="0"/>
              <w:bottom w:val="single" w:color="000000" w:sz="4" w:space="0"/>
              <w:right w:val="single" w:color="000000" w:sz="4" w:space="0"/>
            </w:tcBorders>
            <w:vAlign w:val="center"/>
          </w:tcPr>
          <w:p w14:paraId="4B9D157A">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1061" w:type="dxa"/>
            <w:tcBorders>
              <w:top w:val="single" w:color="000000" w:sz="4" w:space="0"/>
              <w:left w:val="single" w:color="000000" w:sz="4" w:space="0"/>
              <w:bottom w:val="single" w:color="000000" w:sz="4" w:space="0"/>
              <w:right w:val="single" w:color="000000" w:sz="4" w:space="0"/>
            </w:tcBorders>
            <w:vAlign w:val="center"/>
          </w:tcPr>
          <w:p w14:paraId="0140C40C">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938" w:type="dxa"/>
            <w:tcBorders>
              <w:top w:val="single" w:color="000000" w:sz="4" w:space="0"/>
              <w:left w:val="single" w:color="000000" w:sz="4" w:space="0"/>
              <w:bottom w:val="single" w:color="000000" w:sz="4" w:space="0"/>
              <w:right w:val="single" w:color="000000" w:sz="4" w:space="0"/>
            </w:tcBorders>
            <w:vAlign w:val="center"/>
          </w:tcPr>
          <w:p w14:paraId="0F1B130D">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1841" w:type="dxa"/>
            <w:tcBorders>
              <w:top w:val="single" w:color="000000" w:sz="4" w:space="0"/>
              <w:left w:val="single" w:color="000000" w:sz="4" w:space="0"/>
              <w:bottom w:val="single" w:color="000000" w:sz="4" w:space="0"/>
              <w:right w:val="single" w:color="000000" w:sz="4" w:space="0"/>
            </w:tcBorders>
            <w:vAlign w:val="center"/>
          </w:tcPr>
          <w:p w14:paraId="19AF3F8F">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r>
      <w:tr w14:paraId="39E2228B">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vAlign w:val="center"/>
          </w:tcPr>
          <w:p w14:paraId="564989C2">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1081" w:type="dxa"/>
            <w:vMerge w:val="continue"/>
            <w:tcBorders>
              <w:top w:val="single" w:color="000000" w:sz="4" w:space="0"/>
              <w:left w:val="single" w:color="000000" w:sz="4" w:space="0"/>
              <w:bottom w:val="single" w:color="000000" w:sz="4" w:space="0"/>
              <w:right w:val="single" w:color="000000" w:sz="4" w:space="0"/>
            </w:tcBorders>
            <w:vAlign w:val="center"/>
          </w:tcPr>
          <w:p w14:paraId="5E1B137A">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1250" w:type="dxa"/>
            <w:tcBorders>
              <w:top w:val="single" w:color="000000" w:sz="4" w:space="0"/>
              <w:left w:val="single" w:color="000000" w:sz="4" w:space="0"/>
              <w:bottom w:val="single" w:color="000000" w:sz="4" w:space="0"/>
              <w:right w:val="single" w:color="000000" w:sz="4" w:space="0"/>
            </w:tcBorders>
            <w:vAlign w:val="center"/>
          </w:tcPr>
          <w:p w14:paraId="2279D3DB">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Times New Roman"/>
                <w:color w:val="000000"/>
                <w:sz w:val="24"/>
                <w:szCs w:val="24"/>
              </w:rPr>
            </w:pPr>
            <w:r>
              <w:rPr>
                <w:rFonts w:hint="default" w:ascii="宋体" w:hAnsi="宋体" w:eastAsia="宋体" w:cs="宋体"/>
                <w:color w:val="000000"/>
                <w:kern w:val="0"/>
                <w:sz w:val="24"/>
                <w:szCs w:val="24"/>
              </w:rPr>
              <w:t>......</w:t>
            </w:r>
          </w:p>
        </w:tc>
        <w:tc>
          <w:tcPr>
            <w:tcW w:w="1312" w:type="dxa"/>
            <w:tcBorders>
              <w:top w:val="single" w:color="000000" w:sz="4" w:space="0"/>
              <w:left w:val="single" w:color="000000" w:sz="4" w:space="0"/>
              <w:bottom w:val="single" w:color="000000" w:sz="4" w:space="0"/>
              <w:right w:val="single" w:color="000000" w:sz="4" w:space="0"/>
            </w:tcBorders>
            <w:vAlign w:val="center"/>
          </w:tcPr>
          <w:p w14:paraId="6D364C5D">
            <w:pPr>
              <w:keepNext w:val="0"/>
              <w:keepLines w:val="0"/>
              <w:suppressLineNumbers w:val="0"/>
              <w:spacing w:before="0" w:beforeAutospacing="0" w:after="0" w:afterAutospacing="0" w:line="300" w:lineRule="exact"/>
              <w:ind w:left="0" w:right="0"/>
              <w:rPr>
                <w:rFonts w:hint="default" w:ascii="宋体" w:hAnsi="宋体" w:eastAsia="宋体" w:cs="Times New Roman"/>
                <w:color w:val="000000"/>
                <w:sz w:val="24"/>
                <w:szCs w:val="24"/>
              </w:rPr>
            </w:pPr>
          </w:p>
        </w:tc>
        <w:tc>
          <w:tcPr>
            <w:tcW w:w="1127" w:type="dxa"/>
            <w:tcBorders>
              <w:top w:val="single" w:color="000000" w:sz="4" w:space="0"/>
              <w:left w:val="single" w:color="000000" w:sz="4" w:space="0"/>
              <w:bottom w:val="single" w:color="000000" w:sz="4" w:space="0"/>
              <w:right w:val="single" w:color="000000" w:sz="4" w:space="0"/>
            </w:tcBorders>
            <w:vAlign w:val="center"/>
          </w:tcPr>
          <w:p w14:paraId="4C1176F1">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971" w:type="dxa"/>
            <w:tcBorders>
              <w:top w:val="single" w:color="000000" w:sz="4" w:space="0"/>
              <w:left w:val="single" w:color="000000" w:sz="4" w:space="0"/>
              <w:bottom w:val="single" w:color="000000" w:sz="4" w:space="0"/>
              <w:right w:val="single" w:color="000000" w:sz="4" w:space="0"/>
            </w:tcBorders>
            <w:vAlign w:val="center"/>
          </w:tcPr>
          <w:p w14:paraId="260BEEA8">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1061" w:type="dxa"/>
            <w:tcBorders>
              <w:top w:val="single" w:color="000000" w:sz="4" w:space="0"/>
              <w:left w:val="single" w:color="000000" w:sz="4" w:space="0"/>
              <w:bottom w:val="single" w:color="000000" w:sz="4" w:space="0"/>
              <w:right w:val="single" w:color="000000" w:sz="4" w:space="0"/>
            </w:tcBorders>
            <w:vAlign w:val="center"/>
          </w:tcPr>
          <w:p w14:paraId="2A5DD9BE">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938" w:type="dxa"/>
            <w:tcBorders>
              <w:top w:val="single" w:color="000000" w:sz="4" w:space="0"/>
              <w:left w:val="single" w:color="000000" w:sz="4" w:space="0"/>
              <w:bottom w:val="single" w:color="000000" w:sz="4" w:space="0"/>
              <w:right w:val="single" w:color="000000" w:sz="4" w:space="0"/>
            </w:tcBorders>
            <w:vAlign w:val="center"/>
          </w:tcPr>
          <w:p w14:paraId="4D287C9F">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1841" w:type="dxa"/>
            <w:tcBorders>
              <w:top w:val="single" w:color="000000" w:sz="4" w:space="0"/>
              <w:left w:val="single" w:color="000000" w:sz="4" w:space="0"/>
              <w:bottom w:val="single" w:color="000000" w:sz="4" w:space="0"/>
              <w:right w:val="single" w:color="000000" w:sz="4" w:space="0"/>
            </w:tcBorders>
            <w:vAlign w:val="center"/>
          </w:tcPr>
          <w:p w14:paraId="37AE38A3">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r>
      <w:tr w14:paraId="5CEE45A4">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vAlign w:val="center"/>
          </w:tcPr>
          <w:p w14:paraId="1982E72E">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1081" w:type="dxa"/>
            <w:tcBorders>
              <w:top w:val="single" w:color="000000" w:sz="4" w:space="0"/>
              <w:left w:val="single" w:color="000000" w:sz="4" w:space="0"/>
              <w:right w:val="single" w:color="000000" w:sz="4" w:space="0"/>
            </w:tcBorders>
            <w:vAlign w:val="center"/>
          </w:tcPr>
          <w:p w14:paraId="47A14F7A">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Times New Roman"/>
                <w:color w:val="000000"/>
                <w:kern w:val="0"/>
                <w:sz w:val="24"/>
                <w:szCs w:val="24"/>
              </w:rPr>
            </w:pPr>
            <w:r>
              <w:rPr>
                <w:rFonts w:hint="eastAsia" w:ascii="宋体" w:hAnsi="宋体" w:eastAsia="宋体" w:cs="宋体"/>
                <w:color w:val="000000"/>
                <w:kern w:val="0"/>
                <w:sz w:val="24"/>
                <w:szCs w:val="24"/>
              </w:rPr>
              <w:t>满意度</w:t>
            </w:r>
          </w:p>
          <w:p w14:paraId="715EB9A8">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Times New Roman"/>
                <w:color w:val="000000"/>
                <w:sz w:val="24"/>
                <w:szCs w:val="24"/>
              </w:rPr>
            </w:pPr>
            <w:r>
              <w:rPr>
                <w:rFonts w:hint="eastAsia" w:ascii="宋体" w:hAnsi="宋体" w:eastAsia="宋体" w:cs="宋体"/>
                <w:color w:val="000000"/>
                <w:kern w:val="0"/>
                <w:sz w:val="24"/>
                <w:szCs w:val="24"/>
              </w:rPr>
              <w:t>指标</w:t>
            </w:r>
          </w:p>
        </w:tc>
        <w:tc>
          <w:tcPr>
            <w:tcW w:w="1250" w:type="dxa"/>
            <w:tcBorders>
              <w:top w:val="single" w:color="000000" w:sz="4" w:space="0"/>
              <w:left w:val="single" w:color="000000" w:sz="4" w:space="0"/>
              <w:right w:val="single" w:color="000000" w:sz="4" w:space="0"/>
            </w:tcBorders>
            <w:vAlign w:val="center"/>
          </w:tcPr>
          <w:p w14:paraId="62CA5CFC">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Times New Roman"/>
                <w:color w:val="000000"/>
                <w:kern w:val="0"/>
                <w:sz w:val="24"/>
                <w:szCs w:val="24"/>
              </w:rPr>
            </w:pPr>
            <w:r>
              <w:rPr>
                <w:rFonts w:hint="eastAsia" w:ascii="宋体" w:hAnsi="宋体" w:eastAsia="宋体" w:cs="宋体"/>
                <w:color w:val="000000"/>
                <w:kern w:val="0"/>
                <w:sz w:val="24"/>
                <w:szCs w:val="24"/>
              </w:rPr>
              <w:t>服务对象</w:t>
            </w:r>
          </w:p>
          <w:p w14:paraId="71C8A759">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Times New Roman"/>
                <w:color w:val="000000"/>
                <w:sz w:val="24"/>
                <w:szCs w:val="24"/>
              </w:rPr>
            </w:pPr>
            <w:r>
              <w:rPr>
                <w:rFonts w:hint="eastAsia" w:ascii="宋体" w:hAnsi="宋体" w:eastAsia="宋体" w:cs="宋体"/>
                <w:color w:val="000000"/>
                <w:kern w:val="0"/>
                <w:sz w:val="24"/>
                <w:szCs w:val="24"/>
              </w:rPr>
              <w:t>满意度指标</w:t>
            </w:r>
          </w:p>
        </w:tc>
        <w:tc>
          <w:tcPr>
            <w:tcW w:w="1312" w:type="dxa"/>
            <w:tcBorders>
              <w:top w:val="single" w:color="000000" w:sz="4" w:space="0"/>
              <w:left w:val="single" w:color="000000" w:sz="4" w:space="0"/>
              <w:bottom w:val="single" w:color="000000" w:sz="4" w:space="0"/>
              <w:right w:val="single" w:color="000000" w:sz="4" w:space="0"/>
            </w:tcBorders>
            <w:vAlign w:val="center"/>
          </w:tcPr>
          <w:p w14:paraId="6BA5DDEE">
            <w:pPr>
              <w:keepNext w:val="0"/>
              <w:keepLines w:val="0"/>
              <w:suppressLineNumbers w:val="0"/>
              <w:spacing w:before="0" w:beforeAutospacing="0" w:after="0" w:afterAutospacing="0" w:line="300" w:lineRule="exact"/>
              <w:ind w:left="0" w:right="0"/>
              <w:rPr>
                <w:rFonts w:hint="default" w:ascii="宋体" w:hAnsi="宋体" w:eastAsia="宋体" w:cs="Times New Roman"/>
                <w:color w:val="000000"/>
                <w:sz w:val="24"/>
                <w:szCs w:val="24"/>
              </w:rPr>
            </w:pPr>
            <w:r>
              <w:rPr>
                <w:rFonts w:hint="eastAsia" w:ascii="宋体" w:hAnsi="宋体" w:eastAsia="宋体" w:cs="宋体"/>
                <w:color w:val="000000"/>
                <w:sz w:val="24"/>
                <w:szCs w:val="24"/>
              </w:rPr>
              <w:t>社会满意度</w:t>
            </w:r>
          </w:p>
        </w:tc>
        <w:tc>
          <w:tcPr>
            <w:tcW w:w="1127" w:type="dxa"/>
            <w:tcBorders>
              <w:top w:val="single" w:color="000000" w:sz="4" w:space="0"/>
              <w:left w:val="single" w:color="000000" w:sz="4" w:space="0"/>
              <w:bottom w:val="single" w:color="000000" w:sz="4" w:space="0"/>
              <w:right w:val="single" w:color="000000" w:sz="4" w:space="0"/>
            </w:tcBorders>
            <w:vAlign w:val="center"/>
          </w:tcPr>
          <w:p w14:paraId="109E8139">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r>
              <w:rPr>
                <w:rFonts w:hint="eastAsia" w:ascii="宋体" w:hAnsi="宋体" w:eastAsia="宋体" w:cs="宋体"/>
                <w:color w:val="000000"/>
                <w:sz w:val="24"/>
                <w:szCs w:val="24"/>
              </w:rPr>
              <w:t>≥</w:t>
            </w:r>
          </w:p>
        </w:tc>
        <w:tc>
          <w:tcPr>
            <w:tcW w:w="971" w:type="dxa"/>
            <w:tcBorders>
              <w:top w:val="single" w:color="000000" w:sz="4" w:space="0"/>
              <w:left w:val="single" w:color="000000" w:sz="4" w:space="0"/>
              <w:bottom w:val="single" w:color="000000" w:sz="4" w:space="0"/>
              <w:right w:val="single" w:color="000000" w:sz="4" w:space="0"/>
            </w:tcBorders>
            <w:vAlign w:val="center"/>
          </w:tcPr>
          <w:p w14:paraId="2F86B0EF">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r>
              <w:rPr>
                <w:rFonts w:hint="default" w:ascii="宋体" w:hAnsi="宋体" w:eastAsia="宋体" w:cs="宋体"/>
                <w:color w:val="000000"/>
                <w:sz w:val="24"/>
                <w:szCs w:val="24"/>
              </w:rPr>
              <w:t>95</w:t>
            </w:r>
          </w:p>
        </w:tc>
        <w:tc>
          <w:tcPr>
            <w:tcW w:w="1061" w:type="dxa"/>
            <w:tcBorders>
              <w:top w:val="single" w:color="000000" w:sz="4" w:space="0"/>
              <w:left w:val="single" w:color="000000" w:sz="4" w:space="0"/>
              <w:bottom w:val="single" w:color="000000" w:sz="4" w:space="0"/>
              <w:right w:val="single" w:color="000000" w:sz="4" w:space="0"/>
            </w:tcBorders>
            <w:vAlign w:val="center"/>
          </w:tcPr>
          <w:p w14:paraId="5D9D050B">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r>
              <w:rPr>
                <w:rFonts w:hint="default" w:ascii="宋体" w:hAnsi="宋体" w:eastAsia="宋体" w:cs="宋体"/>
                <w:color w:val="000000"/>
                <w:sz w:val="24"/>
                <w:szCs w:val="24"/>
              </w:rPr>
              <w:t>%</w:t>
            </w:r>
          </w:p>
        </w:tc>
        <w:tc>
          <w:tcPr>
            <w:tcW w:w="938" w:type="dxa"/>
            <w:tcBorders>
              <w:top w:val="single" w:color="000000" w:sz="4" w:space="0"/>
              <w:left w:val="single" w:color="000000" w:sz="4" w:space="0"/>
              <w:bottom w:val="single" w:color="000000" w:sz="4" w:space="0"/>
              <w:right w:val="single" w:color="000000" w:sz="4" w:space="0"/>
            </w:tcBorders>
            <w:vAlign w:val="center"/>
          </w:tcPr>
          <w:p w14:paraId="2D67C369">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r>
              <w:rPr>
                <w:rFonts w:hint="default" w:ascii="宋体" w:hAnsi="宋体" w:eastAsia="宋体" w:cs="宋体"/>
                <w:color w:val="000000"/>
                <w:sz w:val="24"/>
                <w:szCs w:val="24"/>
              </w:rPr>
              <w:t>100</w:t>
            </w:r>
          </w:p>
        </w:tc>
        <w:tc>
          <w:tcPr>
            <w:tcW w:w="1841" w:type="dxa"/>
            <w:tcBorders>
              <w:top w:val="single" w:color="000000" w:sz="4" w:space="0"/>
              <w:left w:val="single" w:color="000000" w:sz="4" w:space="0"/>
              <w:bottom w:val="single" w:color="000000" w:sz="4" w:space="0"/>
              <w:right w:val="single" w:color="000000" w:sz="4" w:space="0"/>
            </w:tcBorders>
            <w:vAlign w:val="center"/>
          </w:tcPr>
          <w:p w14:paraId="602B133E">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r>
              <w:rPr>
                <w:rFonts w:hint="default" w:ascii="宋体" w:hAnsi="宋体" w:eastAsia="宋体" w:cs="宋体"/>
                <w:color w:val="000000"/>
                <w:sz w:val="24"/>
                <w:szCs w:val="24"/>
              </w:rPr>
              <w:t>100</w:t>
            </w:r>
          </w:p>
        </w:tc>
      </w:tr>
      <w:tr w14:paraId="1B00837D">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vAlign w:val="center"/>
          </w:tcPr>
          <w:p w14:paraId="67191C29">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1081" w:type="dxa"/>
            <w:vMerge w:val="restart"/>
            <w:tcBorders>
              <w:top w:val="single" w:color="000000" w:sz="4" w:space="0"/>
              <w:left w:val="single" w:color="000000" w:sz="4" w:space="0"/>
              <w:bottom w:val="single" w:color="000000" w:sz="4" w:space="0"/>
              <w:right w:val="single" w:color="000000" w:sz="4" w:space="0"/>
            </w:tcBorders>
            <w:vAlign w:val="center"/>
          </w:tcPr>
          <w:p w14:paraId="5F831027">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Times New Roman"/>
                <w:color w:val="000000"/>
                <w:sz w:val="24"/>
                <w:szCs w:val="24"/>
              </w:rPr>
            </w:pPr>
            <w:r>
              <w:rPr>
                <w:rFonts w:hint="eastAsia" w:ascii="宋体" w:hAnsi="宋体" w:eastAsia="宋体" w:cs="宋体"/>
                <w:color w:val="000000"/>
                <w:kern w:val="0"/>
                <w:sz w:val="24"/>
                <w:szCs w:val="24"/>
              </w:rPr>
              <w:t>成本指标</w:t>
            </w:r>
          </w:p>
        </w:tc>
        <w:tc>
          <w:tcPr>
            <w:tcW w:w="1250" w:type="dxa"/>
            <w:tcBorders>
              <w:top w:val="single" w:color="000000" w:sz="4" w:space="0"/>
              <w:left w:val="single" w:color="000000" w:sz="4" w:space="0"/>
              <w:bottom w:val="single" w:color="000000" w:sz="4" w:space="0"/>
              <w:right w:val="single" w:color="000000" w:sz="4" w:space="0"/>
            </w:tcBorders>
            <w:vAlign w:val="center"/>
          </w:tcPr>
          <w:p w14:paraId="24E86792">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Times New Roman"/>
                <w:color w:val="000000"/>
                <w:kern w:val="0"/>
                <w:sz w:val="24"/>
                <w:szCs w:val="24"/>
              </w:rPr>
            </w:pPr>
            <w:r>
              <w:rPr>
                <w:rFonts w:hint="eastAsia" w:ascii="宋体" w:hAnsi="宋体" w:eastAsia="宋体" w:cs="宋体"/>
                <w:color w:val="000000"/>
                <w:kern w:val="0"/>
                <w:sz w:val="24"/>
                <w:szCs w:val="24"/>
              </w:rPr>
              <w:t>经济成本</w:t>
            </w:r>
          </w:p>
          <w:p w14:paraId="3F433F6E">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Times New Roman"/>
                <w:color w:val="000000"/>
                <w:sz w:val="24"/>
                <w:szCs w:val="24"/>
              </w:rPr>
            </w:pPr>
            <w:r>
              <w:rPr>
                <w:rFonts w:hint="eastAsia" w:ascii="宋体" w:hAnsi="宋体" w:eastAsia="宋体" w:cs="宋体"/>
                <w:color w:val="000000"/>
                <w:kern w:val="0"/>
                <w:sz w:val="24"/>
                <w:szCs w:val="24"/>
              </w:rPr>
              <w:t>指标</w:t>
            </w:r>
          </w:p>
        </w:tc>
        <w:tc>
          <w:tcPr>
            <w:tcW w:w="1312" w:type="dxa"/>
            <w:tcBorders>
              <w:top w:val="single" w:color="000000" w:sz="4" w:space="0"/>
              <w:bottom w:val="single" w:color="000000" w:sz="4" w:space="0"/>
              <w:right w:val="single" w:color="000000" w:sz="4" w:space="0"/>
            </w:tcBorders>
            <w:vAlign w:val="center"/>
          </w:tcPr>
          <w:p w14:paraId="343DEB8D">
            <w:pPr>
              <w:keepNext w:val="0"/>
              <w:keepLines w:val="0"/>
              <w:suppressLineNumbers w:val="0"/>
              <w:spacing w:before="0" w:beforeAutospacing="0" w:after="0" w:afterAutospacing="0" w:line="300" w:lineRule="exact"/>
              <w:ind w:left="0" w:right="0"/>
              <w:rPr>
                <w:rFonts w:hint="default" w:ascii="宋体" w:hAnsi="宋体" w:eastAsia="宋体" w:cs="Times New Roman"/>
                <w:color w:val="000000"/>
                <w:sz w:val="24"/>
                <w:szCs w:val="24"/>
              </w:rPr>
            </w:pPr>
            <w:r>
              <w:rPr>
                <w:rFonts w:hint="default" w:ascii="宋体" w:hAnsi="宋体" w:eastAsia="宋体" w:cs="宋体"/>
                <w:color w:val="000000"/>
                <w:sz w:val="24"/>
                <w:szCs w:val="24"/>
              </w:rPr>
              <w:t>/</w:t>
            </w:r>
          </w:p>
        </w:tc>
        <w:tc>
          <w:tcPr>
            <w:tcW w:w="1127" w:type="dxa"/>
            <w:tcBorders>
              <w:top w:val="single" w:color="000000" w:sz="4" w:space="0"/>
              <w:left w:val="single" w:color="000000" w:sz="4" w:space="0"/>
              <w:bottom w:val="single" w:color="000000" w:sz="4" w:space="0"/>
              <w:right w:val="single" w:color="000000" w:sz="4" w:space="0"/>
            </w:tcBorders>
            <w:vAlign w:val="center"/>
          </w:tcPr>
          <w:p w14:paraId="7B853879">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971" w:type="dxa"/>
            <w:tcBorders>
              <w:top w:val="single" w:color="000000" w:sz="4" w:space="0"/>
              <w:left w:val="single" w:color="000000" w:sz="4" w:space="0"/>
              <w:bottom w:val="single" w:color="000000" w:sz="4" w:space="0"/>
              <w:right w:val="single" w:color="000000" w:sz="4" w:space="0"/>
            </w:tcBorders>
            <w:vAlign w:val="center"/>
          </w:tcPr>
          <w:p w14:paraId="371CB8F9">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1061" w:type="dxa"/>
            <w:tcBorders>
              <w:top w:val="single" w:color="000000" w:sz="4" w:space="0"/>
              <w:left w:val="single" w:color="000000" w:sz="4" w:space="0"/>
              <w:bottom w:val="single" w:color="000000" w:sz="4" w:space="0"/>
              <w:right w:val="single" w:color="000000" w:sz="4" w:space="0"/>
            </w:tcBorders>
            <w:vAlign w:val="center"/>
          </w:tcPr>
          <w:p w14:paraId="3DCC3209">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938" w:type="dxa"/>
            <w:tcBorders>
              <w:top w:val="single" w:color="000000" w:sz="4" w:space="0"/>
              <w:left w:val="single" w:color="000000" w:sz="4" w:space="0"/>
              <w:bottom w:val="single" w:color="000000" w:sz="4" w:space="0"/>
              <w:right w:val="single" w:color="000000" w:sz="4" w:space="0"/>
            </w:tcBorders>
            <w:vAlign w:val="center"/>
          </w:tcPr>
          <w:p w14:paraId="217A0F9D">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1841" w:type="dxa"/>
            <w:tcBorders>
              <w:top w:val="single" w:color="000000" w:sz="4" w:space="0"/>
              <w:left w:val="single" w:color="000000" w:sz="4" w:space="0"/>
              <w:bottom w:val="single" w:color="000000" w:sz="4" w:space="0"/>
              <w:right w:val="single" w:color="000000" w:sz="4" w:space="0"/>
            </w:tcBorders>
            <w:vAlign w:val="center"/>
          </w:tcPr>
          <w:p w14:paraId="3EBFC981">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r>
      <w:tr w14:paraId="14787637">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vAlign w:val="center"/>
          </w:tcPr>
          <w:p w14:paraId="70B5B1A3">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1081" w:type="dxa"/>
            <w:vMerge w:val="continue"/>
            <w:tcBorders>
              <w:top w:val="single" w:color="000000" w:sz="4" w:space="0"/>
              <w:left w:val="single" w:color="000000" w:sz="4" w:space="0"/>
              <w:bottom w:val="single" w:color="000000" w:sz="4" w:space="0"/>
              <w:right w:val="single" w:color="000000" w:sz="4" w:space="0"/>
            </w:tcBorders>
            <w:vAlign w:val="center"/>
          </w:tcPr>
          <w:p w14:paraId="7697AC44">
            <w:pPr>
              <w:keepNext w:val="0"/>
              <w:keepLines w:val="0"/>
              <w:suppressLineNumbers w:val="0"/>
              <w:spacing w:before="0" w:beforeAutospacing="0" w:after="0" w:afterAutospacing="0" w:line="300" w:lineRule="exact"/>
              <w:ind w:left="0" w:right="0"/>
              <w:jc w:val="left"/>
              <w:rPr>
                <w:rFonts w:hint="default" w:ascii="宋体" w:hAnsi="宋体" w:eastAsia="宋体" w:cs="Times New Roman"/>
                <w:color w:val="000000"/>
                <w:sz w:val="24"/>
                <w:szCs w:val="24"/>
              </w:rPr>
            </w:pPr>
          </w:p>
        </w:tc>
        <w:tc>
          <w:tcPr>
            <w:tcW w:w="1250" w:type="dxa"/>
            <w:tcBorders>
              <w:top w:val="single" w:color="000000" w:sz="4" w:space="0"/>
              <w:left w:val="single" w:color="000000" w:sz="4" w:space="0"/>
              <w:bottom w:val="single" w:color="000000" w:sz="4" w:space="0"/>
              <w:right w:val="single" w:color="000000" w:sz="4" w:space="0"/>
            </w:tcBorders>
            <w:vAlign w:val="center"/>
          </w:tcPr>
          <w:p w14:paraId="75F91303">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Times New Roman"/>
                <w:color w:val="000000"/>
                <w:sz w:val="24"/>
                <w:szCs w:val="24"/>
              </w:rPr>
            </w:pPr>
            <w:r>
              <w:rPr>
                <w:rFonts w:hint="default" w:ascii="宋体" w:hAnsi="宋体" w:eastAsia="宋体" w:cs="宋体"/>
                <w:color w:val="000000"/>
                <w:kern w:val="0"/>
                <w:sz w:val="24"/>
                <w:szCs w:val="24"/>
              </w:rPr>
              <w:t>......</w:t>
            </w:r>
          </w:p>
        </w:tc>
        <w:tc>
          <w:tcPr>
            <w:tcW w:w="1312" w:type="dxa"/>
            <w:tcBorders>
              <w:top w:val="single" w:color="000000" w:sz="4" w:space="0"/>
              <w:bottom w:val="single" w:color="000000" w:sz="4" w:space="0"/>
              <w:right w:val="single" w:color="000000" w:sz="4" w:space="0"/>
            </w:tcBorders>
            <w:vAlign w:val="center"/>
          </w:tcPr>
          <w:p w14:paraId="1B16CB5B">
            <w:pPr>
              <w:keepNext w:val="0"/>
              <w:keepLines w:val="0"/>
              <w:suppressLineNumbers w:val="0"/>
              <w:spacing w:before="0" w:beforeAutospacing="0" w:after="0" w:afterAutospacing="0" w:line="300" w:lineRule="exact"/>
              <w:ind w:left="0" w:right="0"/>
              <w:rPr>
                <w:rFonts w:hint="default" w:ascii="宋体" w:hAnsi="宋体" w:eastAsia="宋体" w:cs="Times New Roman"/>
                <w:color w:val="000000"/>
                <w:sz w:val="24"/>
                <w:szCs w:val="24"/>
              </w:rPr>
            </w:pPr>
          </w:p>
        </w:tc>
        <w:tc>
          <w:tcPr>
            <w:tcW w:w="1127" w:type="dxa"/>
            <w:tcBorders>
              <w:top w:val="single" w:color="000000" w:sz="4" w:space="0"/>
              <w:left w:val="single" w:color="000000" w:sz="4" w:space="0"/>
              <w:bottom w:val="single" w:color="000000" w:sz="4" w:space="0"/>
              <w:right w:val="single" w:color="000000" w:sz="4" w:space="0"/>
            </w:tcBorders>
            <w:vAlign w:val="center"/>
          </w:tcPr>
          <w:p w14:paraId="7E861CF4">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971" w:type="dxa"/>
            <w:tcBorders>
              <w:top w:val="single" w:color="000000" w:sz="4" w:space="0"/>
              <w:left w:val="single" w:color="000000" w:sz="4" w:space="0"/>
              <w:bottom w:val="single" w:color="000000" w:sz="4" w:space="0"/>
              <w:right w:val="single" w:color="000000" w:sz="4" w:space="0"/>
            </w:tcBorders>
            <w:vAlign w:val="center"/>
          </w:tcPr>
          <w:p w14:paraId="42C879C6">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1061" w:type="dxa"/>
            <w:tcBorders>
              <w:top w:val="single" w:color="000000" w:sz="4" w:space="0"/>
              <w:left w:val="single" w:color="000000" w:sz="4" w:space="0"/>
              <w:bottom w:val="single" w:color="000000" w:sz="4" w:space="0"/>
              <w:right w:val="single" w:color="000000" w:sz="4" w:space="0"/>
            </w:tcBorders>
            <w:vAlign w:val="center"/>
          </w:tcPr>
          <w:p w14:paraId="5A84727C">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938" w:type="dxa"/>
            <w:tcBorders>
              <w:top w:val="single" w:color="000000" w:sz="4" w:space="0"/>
              <w:left w:val="single" w:color="000000" w:sz="4" w:space="0"/>
              <w:bottom w:val="single" w:color="000000" w:sz="4" w:space="0"/>
              <w:right w:val="single" w:color="000000" w:sz="4" w:space="0"/>
            </w:tcBorders>
            <w:vAlign w:val="center"/>
          </w:tcPr>
          <w:p w14:paraId="032CD17A">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c>
          <w:tcPr>
            <w:tcW w:w="1841" w:type="dxa"/>
            <w:tcBorders>
              <w:top w:val="single" w:color="000000" w:sz="4" w:space="0"/>
              <w:left w:val="single" w:color="000000" w:sz="4" w:space="0"/>
              <w:bottom w:val="single" w:color="000000" w:sz="4" w:space="0"/>
              <w:right w:val="single" w:color="000000" w:sz="4" w:space="0"/>
            </w:tcBorders>
            <w:vAlign w:val="center"/>
          </w:tcPr>
          <w:p w14:paraId="7AA75C32">
            <w:pPr>
              <w:keepNext w:val="0"/>
              <w:keepLines w:val="0"/>
              <w:suppressLineNumbers w:val="0"/>
              <w:spacing w:before="0" w:beforeAutospacing="0" w:after="0" w:afterAutospacing="0" w:line="300" w:lineRule="exact"/>
              <w:ind w:left="0" w:right="0"/>
              <w:jc w:val="center"/>
              <w:rPr>
                <w:rFonts w:hint="default" w:ascii="宋体" w:hAnsi="宋体" w:eastAsia="宋体" w:cs="Times New Roman"/>
                <w:color w:val="000000"/>
                <w:sz w:val="24"/>
                <w:szCs w:val="24"/>
              </w:rPr>
            </w:pPr>
          </w:p>
        </w:tc>
      </w:tr>
    </w:tbl>
    <w:p w14:paraId="3E3D8508">
      <w:pPr>
        <w:widowControl w:val="0"/>
        <w:spacing w:after="0" w:line="578" w:lineRule="exact"/>
        <w:ind w:left="0" w:leftChars="0" w:firstLine="480" w:firstLineChars="200"/>
        <w:jc w:val="both"/>
        <w:rPr>
          <w:rFonts w:ascii="黑体" w:hAnsi="黑体" w:eastAsia="黑体" w:cs="Times New Roman"/>
          <w:kern w:val="2"/>
          <w:sz w:val="24"/>
          <w:szCs w:val="24"/>
          <w:lang w:val="en-US" w:eastAsia="zh-CN" w:bidi="ar-SA"/>
        </w:rPr>
      </w:pPr>
    </w:p>
    <w:p w14:paraId="75686C72">
      <w:pPr>
        <w:pStyle w:val="19"/>
        <w:rPr>
          <w:rFonts w:hint="eastAsia" w:ascii="黑体" w:hAnsi="黑体" w:eastAsia="黑体"/>
          <w:b/>
          <w:bCs/>
          <w:color w:val="auto"/>
          <w:sz w:val="44"/>
          <w:szCs w:val="44"/>
          <w:highlight w:val="none"/>
        </w:rPr>
      </w:pPr>
    </w:p>
    <w:p w14:paraId="1D39735C">
      <w:pPr>
        <w:pStyle w:val="41"/>
        <w:spacing w:line="576" w:lineRule="exact"/>
        <w:jc w:val="center"/>
        <w:rPr>
          <w:rFonts w:hint="eastAsia" w:ascii="方正小标宋简体" w:eastAsia="方正小标宋简体" w:cs="方正小标宋简体"/>
          <w:color w:val="auto"/>
          <w:kern w:val="2"/>
          <w:sz w:val="44"/>
          <w:szCs w:val="44"/>
          <w:lang w:val="en-US"/>
        </w:rPr>
      </w:pPr>
      <w:r>
        <w:rPr>
          <w:rFonts w:hint="eastAsia" w:ascii="方正小标宋简体" w:eastAsia="方正小标宋简体" w:cs="方正小标宋简体"/>
          <w:color w:val="auto"/>
          <w:kern w:val="2"/>
          <w:sz w:val="44"/>
          <w:szCs w:val="44"/>
          <w:lang w:val="en-US"/>
        </w:rPr>
        <w:t>广元市发展和改革委员会</w:t>
      </w:r>
    </w:p>
    <w:p w14:paraId="70867723">
      <w:pPr>
        <w:pStyle w:val="41"/>
        <w:spacing w:line="576" w:lineRule="exact"/>
        <w:jc w:val="center"/>
        <w:rPr>
          <w:rFonts w:hint="eastAsia" w:ascii="方正小标宋简体" w:eastAsia="方正小标宋简体" w:cs="方正小标宋简体"/>
          <w:color w:val="auto"/>
          <w:kern w:val="2"/>
          <w:sz w:val="44"/>
          <w:szCs w:val="44"/>
          <w:lang w:val="en-US"/>
        </w:rPr>
      </w:pPr>
      <w:r>
        <w:rPr>
          <w:rFonts w:hint="eastAsia" w:ascii="方正小标宋简体" w:eastAsia="方正小标宋简体" w:cs="方正小标宋简体"/>
          <w:color w:val="auto"/>
          <w:kern w:val="2"/>
          <w:sz w:val="44"/>
          <w:szCs w:val="44"/>
          <w:lang w:val="en-US"/>
        </w:rPr>
        <w:t>关于报送2023年涉改乡镇干部周转房项目</w:t>
      </w:r>
    </w:p>
    <w:p w14:paraId="43B2383B">
      <w:pPr>
        <w:pStyle w:val="41"/>
        <w:spacing w:line="576" w:lineRule="exact"/>
        <w:jc w:val="center"/>
        <w:rPr>
          <w:rFonts w:hint="eastAsia" w:ascii="宋体"/>
          <w:color w:val="auto"/>
          <w:kern w:val="2"/>
          <w:sz w:val="32"/>
          <w:szCs w:val="32"/>
        </w:rPr>
      </w:pPr>
      <w:r>
        <w:rPr>
          <w:rFonts w:hint="eastAsia" w:ascii="方正小标宋简体" w:eastAsia="方正小标宋简体" w:cs="方正小标宋简体"/>
          <w:color w:val="auto"/>
          <w:kern w:val="2"/>
          <w:sz w:val="44"/>
          <w:szCs w:val="44"/>
          <w:lang w:val="en-US"/>
        </w:rPr>
        <w:t>预算绩效评价情况的报告</w:t>
      </w:r>
    </w:p>
    <w:p w14:paraId="61BE869F">
      <w:pPr>
        <w:pStyle w:val="41"/>
        <w:spacing w:line="576" w:lineRule="exact"/>
        <w:rPr>
          <w:rFonts w:hint="eastAsia" w:ascii="仿宋_GB2312" w:eastAsia="仿宋_GB2312" w:cs="仿宋_GB2312"/>
          <w:color w:val="auto"/>
          <w:sz w:val="32"/>
          <w:szCs w:val="32"/>
          <w:shd w:val="clear" w:color="auto" w:fill="FFFFFF"/>
          <w:lang w:val="en-US"/>
        </w:rPr>
      </w:pPr>
    </w:p>
    <w:p w14:paraId="4509EA94">
      <w:pPr>
        <w:adjustRightInd w:val="0"/>
        <w:snapToGrid w:val="0"/>
        <w:spacing w:line="576" w:lineRule="exact"/>
        <w:ind w:firstLine="640" w:firstLineChars="200"/>
        <w:rPr>
          <w:rFonts w:hint="eastAsia" w:ascii="黑体" w:eastAsia="黑体" w:cs="黑体"/>
          <w:sz w:val="32"/>
          <w:szCs w:val="32"/>
          <w:lang w:val="zh-CN"/>
        </w:rPr>
      </w:pPr>
      <w:r>
        <w:rPr>
          <w:rFonts w:hint="eastAsia" w:ascii="黑体" w:eastAsia="黑体" w:cs="黑体"/>
          <w:sz w:val="32"/>
          <w:szCs w:val="32"/>
        </w:rPr>
        <w:t>一、</w:t>
      </w:r>
      <w:r>
        <w:rPr>
          <w:rFonts w:hint="eastAsia" w:ascii="黑体" w:eastAsia="黑体" w:cs="黑体"/>
          <w:sz w:val="32"/>
          <w:szCs w:val="32"/>
          <w:lang w:val="zh-CN"/>
        </w:rPr>
        <w:t>项目概况</w:t>
      </w:r>
    </w:p>
    <w:p w14:paraId="1A355552">
      <w:pPr>
        <w:widowControl/>
        <w:adjustRightInd w:val="0"/>
        <w:snapToGrid w:val="0"/>
        <w:spacing w:line="576" w:lineRule="exact"/>
        <w:ind w:firstLine="640" w:firstLineChars="200"/>
        <w:contextualSpacing/>
        <w:jc w:val="left"/>
        <w:rPr>
          <w:rFonts w:hint="eastAsia" w:ascii="楷体_GB2312" w:hAnsi="楷体_GB2312" w:eastAsia="仿宋_GB2312"/>
          <w:sz w:val="32"/>
          <w:szCs w:val="32"/>
        </w:rPr>
      </w:pPr>
      <w:r>
        <w:rPr>
          <w:rFonts w:hint="eastAsia" w:ascii="仿宋_GB2312" w:eastAsia="仿宋_GB2312" w:cs="仿宋_GB2312"/>
          <w:kern w:val="0"/>
          <w:sz w:val="32"/>
          <w:szCs w:val="32"/>
          <w:shd w:val="clear" w:color="auto" w:fill="FFFFFF"/>
        </w:rPr>
        <w:t>2022年7月，省发展改革委印发</w:t>
      </w:r>
      <w:r>
        <w:rPr>
          <w:rFonts w:hint="eastAsia" w:ascii="仿宋_GB2312" w:eastAsia="仿宋_GB2312" w:cs="仿宋_GB2312"/>
          <w:kern w:val="0"/>
          <w:sz w:val="32"/>
          <w:szCs w:val="32"/>
          <w:shd w:val="clear" w:color="auto" w:fill="FFFFFF"/>
          <w:lang w:val="zh-CN"/>
        </w:rPr>
        <w:t>《四川省涉改乡镇干部周转房省级预算内基本建设投资补助管理办法》（川发改投资〔2022〕333号），明确采用“以奖代补”的方式安排省预算内资金，用于支持完成建设任务的涉改乡镇干部周转房项目建设。我委按照省发展改革委有关工作要求，组织开展涉改乡镇干部周转房项目申报工作。</w:t>
      </w:r>
      <w:r>
        <w:rPr>
          <w:rFonts w:hint="eastAsia" w:ascii="仿宋_GB2312" w:eastAsia="仿宋_GB2312" w:cs="仿宋_GB2312"/>
          <w:kern w:val="0"/>
          <w:sz w:val="32"/>
          <w:szCs w:val="32"/>
          <w:shd w:val="clear" w:color="auto" w:fill="FFFFFF"/>
        </w:rPr>
        <w:t>2023年4月，省发展改革委印发《关于下达2023年省预算内基本建设投资计划的通知》（川发改投资〔2023〕176号），下达我市涉改乡镇干部周转房建设项目3个、省预算内投资860万元；2023年9月，省发展改革委印发《关于下达2023年省预算内基本建设投资计划的通知》（川发改投资〔2023〕465号），下达我市涉改乡镇干部周转房建设项目5个、省预算内投资1166万元。</w:t>
      </w:r>
    </w:p>
    <w:p w14:paraId="78023A48">
      <w:pPr>
        <w:widowControl/>
        <w:adjustRightInd w:val="0"/>
        <w:snapToGrid w:val="0"/>
        <w:spacing w:line="576" w:lineRule="exact"/>
        <w:ind w:firstLine="640" w:firstLineChars="200"/>
        <w:contextualSpacing/>
        <w:jc w:val="left"/>
        <w:rPr>
          <w:rFonts w:hint="eastAsia" w:ascii="楷体_GB2312" w:eastAsia="楷体_GB2312"/>
          <w:sz w:val="32"/>
          <w:szCs w:val="32"/>
          <w:lang w:val="zh-CN"/>
        </w:rPr>
      </w:pPr>
      <w:r>
        <w:rPr>
          <w:rFonts w:hint="eastAsia" w:ascii="黑体" w:eastAsia="黑体" w:cs="黑体"/>
          <w:sz w:val="32"/>
          <w:szCs w:val="32"/>
          <w:shd w:val="clear" w:color="auto" w:fill="FFFFFF"/>
          <w:lang w:val="zh-CN"/>
        </w:rPr>
        <w:t>二、</w:t>
      </w:r>
      <w:r>
        <w:rPr>
          <w:rFonts w:hint="eastAsia" w:ascii="黑体" w:eastAsia="黑体" w:cs="黑体"/>
          <w:sz w:val="32"/>
          <w:szCs w:val="32"/>
          <w:lang w:val="zh-CN"/>
        </w:rPr>
        <w:t>资金安排及分配情况</w:t>
      </w:r>
    </w:p>
    <w:p w14:paraId="2085DCCD">
      <w:pPr>
        <w:widowControl/>
        <w:spacing w:line="576" w:lineRule="exact"/>
        <w:ind w:firstLine="640" w:firstLineChars="200"/>
        <w:jc w:val="left"/>
        <w:rPr>
          <w:rFonts w:hint="eastAsia" w:ascii="仿宋_GB2312" w:eastAsia="仿宋_GB2312" w:cs="仿宋_GB2312"/>
          <w:kern w:val="0"/>
          <w:sz w:val="32"/>
          <w:szCs w:val="32"/>
          <w:shd w:val="clear" w:color="auto" w:fill="FFFFFF"/>
        </w:rPr>
      </w:pPr>
      <w:r>
        <w:rPr>
          <w:rFonts w:hint="eastAsia" w:ascii="仿宋_GB2312" w:eastAsia="仿宋_GB2312" w:cs="仿宋_GB2312"/>
          <w:kern w:val="0"/>
          <w:sz w:val="32"/>
          <w:szCs w:val="32"/>
          <w:shd w:val="clear" w:color="auto" w:fill="FFFFFF"/>
        </w:rPr>
        <w:t>2023年全市争取到位涉改乡镇干部周转房项目8个、省预算内投资2026万元，省发展改革委投资计划直接明确到具体项目，共涉及2个县区，其中，剑阁县6个、省预算内投资1567万元，苍溪县2个、省预算内投资459万元。我委按照投资计划下达文件要求，及时将投资计划转下达相关县区，并督促县区加快落实投资计划下达、资金拨付等工作。</w:t>
      </w:r>
    </w:p>
    <w:p w14:paraId="500E8D6A">
      <w:pPr>
        <w:adjustRightInd w:val="0"/>
        <w:snapToGrid w:val="0"/>
        <w:spacing w:line="576" w:lineRule="exact"/>
        <w:ind w:firstLine="640" w:firstLineChars="200"/>
        <w:rPr>
          <w:rFonts w:hint="eastAsia" w:ascii="黑体" w:eastAsia="黑体" w:cs="黑体"/>
          <w:sz w:val="32"/>
          <w:szCs w:val="32"/>
          <w:lang w:val="zh-CN"/>
        </w:rPr>
      </w:pPr>
      <w:r>
        <w:rPr>
          <w:rFonts w:hint="eastAsia" w:ascii="黑体" w:eastAsia="黑体" w:cs="黑体"/>
          <w:sz w:val="32"/>
          <w:szCs w:val="32"/>
          <w:lang w:val="zh-CN"/>
        </w:rPr>
        <w:t>三、绩效评价</w:t>
      </w:r>
    </w:p>
    <w:p w14:paraId="740EA5F1">
      <w:pPr>
        <w:pStyle w:val="8"/>
        <w:tabs>
          <w:tab w:val="left" w:pos="2160"/>
        </w:tabs>
        <w:spacing w:line="576" w:lineRule="exact"/>
        <w:ind w:firstLine="640" w:firstLineChars="200"/>
        <w:rPr>
          <w:rFonts w:hint="eastAsia" w:ascii="仿宋_GB2312" w:eastAsia="仿宋_GB2312" w:cs="仿宋_GB2312"/>
          <w:position w:val="0"/>
          <w:sz w:val="32"/>
          <w:szCs w:val="32"/>
        </w:rPr>
      </w:pPr>
      <w:r>
        <w:rPr>
          <w:rFonts w:hint="eastAsia" w:ascii="仿宋_GB2312" w:eastAsia="仿宋_GB2312" w:cs="仿宋_GB2312"/>
          <w:sz w:val="32"/>
          <w:szCs w:val="32"/>
          <w:shd w:val="clear" w:color="auto" w:fill="FFFFFF"/>
        </w:rPr>
        <w:t>本次绩效评价工作采取</w:t>
      </w:r>
      <w:r>
        <w:rPr>
          <w:rFonts w:hint="eastAsia" w:ascii="仿宋_GB2312" w:eastAsia="仿宋_GB2312" w:cs="仿宋_GB2312"/>
          <w:sz w:val="32"/>
          <w:szCs w:val="32"/>
          <w:lang w:val="zh-CN"/>
        </w:rPr>
        <w:t>项目单位自评，县区复评的方式开展，综合评判项目绩效目标实现情况，由有关县区对分配到资金的项目开展全覆盖自评。经评价，省下达资金均严格按照要求用于涉改乡镇干部周转房项目建设，</w:t>
      </w:r>
      <w:r>
        <w:rPr>
          <w:rFonts w:hint="eastAsia" w:ascii="仿宋_GB2312" w:eastAsia="仿宋_GB2312" w:cs="仿宋_GB2312"/>
          <w:sz w:val="32"/>
          <w:szCs w:val="32"/>
          <w:shd w:val="clear" w:color="auto" w:fill="FFFFFF"/>
        </w:rPr>
        <w:t>涉及</w:t>
      </w:r>
      <w:r>
        <w:rPr>
          <w:rFonts w:hint="eastAsia" w:ascii="仿宋_GB2312" w:eastAsia="仿宋_GB2312" w:cs="仿宋_GB2312"/>
          <w:kern w:val="2"/>
          <w:sz w:val="32"/>
          <w:szCs w:val="32"/>
          <w:shd w:val="clear" w:color="auto" w:fill="FFFFFF"/>
        </w:rPr>
        <w:t>项目由县区发展改革部门、财政部门等共同对基本建设程序、资金使用等进行管理，资金由财政专户管理。项目资金使用拨付、项目实施符合规定，已完成预期目标，实施结果与绩效目标相匹配。</w:t>
      </w:r>
      <w:r>
        <w:rPr>
          <w:rFonts w:hint="eastAsia" w:ascii="仿宋_GB2312" w:eastAsia="仿宋_GB2312" w:cs="仿宋_GB2312"/>
          <w:kern w:val="2"/>
          <w:sz w:val="32"/>
          <w:szCs w:val="32"/>
          <w:shd w:val="clear" w:color="auto" w:fill="FFFFFF"/>
          <w:lang w:val="zh-CN"/>
        </w:rPr>
        <w:t>本专项个性指标对</w:t>
      </w:r>
      <w:r>
        <w:rPr>
          <w:rFonts w:hint="eastAsia" w:ascii="仿宋_GB2312" w:eastAsia="仿宋_GB2312" w:cs="仿宋_GB2312"/>
          <w:sz w:val="32"/>
          <w:szCs w:val="32"/>
          <w:shd w:val="clear" w:color="auto" w:fill="FFFFFF"/>
          <w:lang w:val="zh-CN"/>
        </w:rPr>
        <w:t>社会效益和公众满意度</w:t>
      </w:r>
      <w:r>
        <w:rPr>
          <w:rFonts w:hint="eastAsia" w:ascii="仿宋_GB2312" w:eastAsia="仿宋_GB2312" w:cs="仿宋_GB2312"/>
          <w:kern w:val="2"/>
          <w:sz w:val="32"/>
          <w:szCs w:val="32"/>
          <w:shd w:val="clear" w:color="auto" w:fill="FFFFFF"/>
          <w:lang w:val="zh-CN"/>
        </w:rPr>
        <w:t>方面进行设置，两项个性指标均完成。</w:t>
      </w:r>
      <w:r>
        <w:rPr>
          <w:rFonts w:hint="eastAsia" w:ascii="仿宋_GB2312" w:eastAsia="仿宋_GB2312" w:cs="仿宋_GB2312"/>
          <w:position w:val="0"/>
          <w:sz w:val="32"/>
          <w:szCs w:val="32"/>
        </w:rPr>
        <w:t>本专项绩效自评情况总体较好，评价得分为100分。</w:t>
      </w:r>
    </w:p>
    <w:p w14:paraId="3342BEF0">
      <w:pPr>
        <w:spacing w:line="576" w:lineRule="exact"/>
        <w:ind w:firstLine="640" w:firstLineChars="200"/>
        <w:rPr>
          <w:rFonts w:hint="eastAsia" w:ascii="仿宋_GB2312" w:eastAsia="仿宋_GB2312" w:cs="仿宋_GB2312"/>
          <w:position w:val="3"/>
          <w:sz w:val="32"/>
          <w:szCs w:val="32"/>
          <w:shd w:val="clear" w:color="auto" w:fill="FFFFFF"/>
          <w:lang w:val="zh-CN"/>
        </w:rPr>
      </w:pPr>
      <w:r>
        <w:rPr>
          <w:rFonts w:hint="eastAsia" w:ascii="仿宋_GB2312" w:eastAsia="仿宋_GB2312" w:cs="仿宋_GB2312"/>
          <w:position w:val="3"/>
          <w:sz w:val="32"/>
          <w:szCs w:val="32"/>
          <w:shd w:val="clear" w:color="auto" w:fill="FFFFFF"/>
          <w:lang w:val="zh-CN"/>
        </w:rPr>
        <w:t>特此报告。</w:t>
      </w:r>
    </w:p>
    <w:p w14:paraId="7A1489D9">
      <w:pPr>
        <w:snapToGrid w:val="0"/>
        <w:spacing w:line="576" w:lineRule="exact"/>
        <w:ind w:firstLine="420" w:firstLineChars="200"/>
        <w:rPr>
          <w:rFonts w:hint="eastAsia"/>
          <w:color w:val="000000"/>
          <w:kern w:val="0"/>
          <w:szCs w:val="32"/>
          <w:shd w:val="clear" w:color="auto" w:fill="FFFFFF"/>
          <w:lang w:val="zh-CN"/>
        </w:rPr>
      </w:pPr>
    </w:p>
    <w:p w14:paraId="798160A2">
      <w:pPr>
        <w:snapToGrid w:val="0"/>
        <w:spacing w:line="576" w:lineRule="exact"/>
        <w:ind w:firstLine="640" w:firstLineChars="200"/>
        <w:rPr>
          <w:rFonts w:hint="eastAsia" w:ascii="仿宋_GB2312" w:eastAsia="仿宋_GB2312" w:cs="仿宋_GB2312"/>
          <w:kern w:val="0"/>
          <w:sz w:val="32"/>
          <w:szCs w:val="32"/>
          <w:shd w:val="clear" w:color="auto" w:fill="FFFFFF"/>
        </w:rPr>
      </w:pPr>
      <w:r>
        <w:rPr>
          <w:rFonts w:hint="eastAsia" w:ascii="仿宋_GB2312" w:eastAsia="仿宋_GB2312" w:cs="仿宋_GB2312"/>
          <w:kern w:val="0"/>
          <w:sz w:val="32"/>
          <w:szCs w:val="32"/>
          <w:shd w:val="clear" w:color="auto" w:fill="FFFFFF"/>
        </w:rPr>
        <w:t>附件：1.项目资金分配涉及所有点位自评得分情况表</w:t>
      </w:r>
    </w:p>
    <w:p w14:paraId="1D298B66">
      <w:pPr>
        <w:snapToGrid w:val="0"/>
        <w:spacing w:line="576" w:lineRule="exact"/>
        <w:ind w:firstLine="1600" w:firstLineChars="500"/>
        <w:rPr>
          <w:rFonts w:hint="eastAsia" w:ascii="仿宋_GB2312" w:eastAsia="仿宋_GB2312" w:cs="仿宋_GB2312"/>
          <w:kern w:val="0"/>
          <w:sz w:val="32"/>
          <w:szCs w:val="32"/>
          <w:shd w:val="clear" w:color="auto" w:fill="FFFFFF"/>
        </w:rPr>
      </w:pPr>
      <w:r>
        <w:rPr>
          <w:rFonts w:hint="eastAsia" w:ascii="仿宋_GB2312" w:eastAsia="仿宋_GB2312" w:cs="仿宋_GB2312"/>
          <w:kern w:val="0"/>
          <w:sz w:val="32"/>
          <w:szCs w:val="32"/>
          <w:shd w:val="clear" w:color="auto" w:fill="FFFFFF"/>
        </w:rPr>
        <w:t>2.专项预算项目绩效目标完成情况自评表</w:t>
      </w:r>
    </w:p>
    <w:p w14:paraId="55D07F8C">
      <w:pPr>
        <w:spacing w:line="576" w:lineRule="exact"/>
        <w:ind w:firstLine="1600" w:firstLineChars="500"/>
        <w:rPr>
          <w:rFonts w:hint="eastAsia" w:ascii="仿宋_GB2312" w:eastAsia="仿宋_GB2312" w:cs="仿宋_GB2312"/>
          <w:kern w:val="0"/>
          <w:sz w:val="32"/>
          <w:szCs w:val="32"/>
          <w:shd w:val="clear" w:color="auto" w:fill="FFFFFF"/>
        </w:rPr>
      </w:pPr>
      <w:r>
        <w:rPr>
          <w:rFonts w:hint="eastAsia" w:ascii="仿宋_GB2312" w:eastAsia="仿宋_GB2312" w:cs="仿宋_GB2312"/>
          <w:kern w:val="0"/>
          <w:sz w:val="32"/>
          <w:szCs w:val="32"/>
          <w:shd w:val="clear" w:color="auto" w:fill="FFFFFF"/>
        </w:rPr>
        <w:t>3.专项（项目）预算绩效评价指标体系</w:t>
      </w:r>
    </w:p>
    <w:p w14:paraId="57598D7C">
      <w:pPr>
        <w:spacing w:line="576" w:lineRule="exact"/>
      </w:pPr>
    </w:p>
    <w:p w14:paraId="05CD8DD6">
      <w:pPr>
        <w:spacing w:line="576" w:lineRule="exact"/>
      </w:pPr>
    </w:p>
    <w:p w14:paraId="1234C47D">
      <w:pPr>
        <w:wordWrap w:val="0"/>
        <w:snapToGrid w:val="0"/>
        <w:spacing w:line="576" w:lineRule="exact"/>
        <w:ind w:firstLine="1600" w:firstLineChars="500"/>
        <w:jc w:val="right"/>
        <w:rPr>
          <w:rFonts w:hint="eastAsia" w:ascii="仿宋_GB2312" w:eastAsia="仿宋_GB2312" w:cs="仿宋_GB2312"/>
          <w:color w:val="000000"/>
          <w:kern w:val="0"/>
          <w:sz w:val="32"/>
          <w:szCs w:val="32"/>
          <w:shd w:val="clear" w:color="auto" w:fill="FFFFFF"/>
        </w:rPr>
      </w:pPr>
      <w:r>
        <w:rPr>
          <w:rFonts w:hint="eastAsia" w:ascii="仿宋_GB2312" w:eastAsia="仿宋_GB2312" w:cs="仿宋_GB2312"/>
          <w:color w:val="000000"/>
          <w:kern w:val="0"/>
          <w:sz w:val="32"/>
          <w:szCs w:val="32"/>
          <w:shd w:val="clear" w:color="auto" w:fill="FFFFFF"/>
        </w:rPr>
        <w:t xml:space="preserve">广元市发展和改革委员会   </w:t>
      </w:r>
    </w:p>
    <w:p w14:paraId="3B1A4B6A">
      <w:pPr>
        <w:wordWrap w:val="0"/>
        <w:snapToGrid w:val="0"/>
        <w:spacing w:line="576" w:lineRule="exact"/>
        <w:ind w:firstLine="1600" w:firstLineChars="500"/>
        <w:jc w:val="right"/>
        <w:rPr>
          <w:rFonts w:hint="eastAsia" w:ascii="仿宋_GB2312" w:eastAsia="仿宋_GB2312" w:cs="仿宋_GB2312"/>
          <w:color w:val="000000"/>
          <w:kern w:val="0"/>
          <w:sz w:val="32"/>
          <w:szCs w:val="32"/>
          <w:shd w:val="clear" w:color="auto" w:fill="FFFFFF"/>
        </w:rPr>
      </w:pPr>
      <w:r>
        <w:rPr>
          <w:rFonts w:hint="eastAsia" w:ascii="仿宋_GB2312" w:eastAsia="仿宋_GB2312" w:cs="仿宋_GB2312"/>
          <w:color w:val="000000"/>
          <w:kern w:val="0"/>
          <w:sz w:val="32"/>
          <w:szCs w:val="32"/>
          <w:shd w:val="clear" w:color="auto" w:fill="FFFFFF"/>
        </w:rPr>
        <w:t xml:space="preserve">2024年7月17日      </w:t>
      </w:r>
    </w:p>
    <w:p w14:paraId="34C78842"/>
    <w:p w14:paraId="15A42DAD">
      <w:pPr>
        <w:snapToGrid w:val="0"/>
        <w:spacing w:line="578" w:lineRule="exact"/>
        <w:rPr>
          <w:rFonts w:hint="eastAsia" w:ascii="黑体" w:eastAsia="黑体" w:cs="黑体"/>
          <w:kern w:val="0"/>
          <w:sz w:val="32"/>
          <w:szCs w:val="32"/>
          <w:shd w:val="clear" w:color="auto" w:fill="FFFFFF"/>
          <w:lang w:val="zh-CN"/>
        </w:rPr>
      </w:pPr>
      <w:r>
        <w:rPr>
          <w:rFonts w:hint="eastAsia"/>
          <w:color w:val="000000"/>
          <w:kern w:val="0"/>
          <w:szCs w:val="32"/>
          <w:shd w:val="clear" w:color="auto" w:fill="FFFFFF"/>
          <w:lang w:val="zh-CN"/>
        </w:rPr>
        <w:br w:type="page"/>
      </w:r>
      <w:r>
        <w:rPr>
          <w:rFonts w:hint="eastAsia" w:ascii="黑体" w:eastAsia="黑体" w:cs="黑体"/>
          <w:kern w:val="0"/>
          <w:sz w:val="32"/>
          <w:szCs w:val="32"/>
          <w:shd w:val="clear" w:color="auto" w:fill="FFFFFF"/>
          <w:lang w:val="zh-CN"/>
        </w:rPr>
        <w:t>附件</w:t>
      </w:r>
      <w:r>
        <w:rPr>
          <w:rFonts w:hint="eastAsia" w:ascii="黑体" w:eastAsia="黑体" w:cs="黑体"/>
          <w:kern w:val="0"/>
          <w:sz w:val="32"/>
          <w:szCs w:val="32"/>
          <w:shd w:val="clear" w:color="auto" w:fill="FFFFFF"/>
        </w:rPr>
        <w:t>1</w:t>
      </w:r>
    </w:p>
    <w:p w14:paraId="106E2A64">
      <w:pPr>
        <w:spacing w:line="576" w:lineRule="exact"/>
        <w:jc w:val="center"/>
        <w:rPr>
          <w:rFonts w:hint="eastAsia" w:ascii="方正小标宋简体" w:eastAsia="方正小标宋简体" w:cs="方正小标宋_GBK"/>
          <w:sz w:val="44"/>
          <w:szCs w:val="44"/>
        </w:rPr>
      </w:pPr>
    </w:p>
    <w:p w14:paraId="0B37C5C0">
      <w:pPr>
        <w:spacing w:line="576" w:lineRule="exact"/>
        <w:jc w:val="center"/>
        <w:rPr>
          <w:rFonts w:hint="eastAsia" w:ascii="方正小标宋简体" w:eastAsia="方正小标宋简体" w:cs="方正小标宋_GBK"/>
          <w:sz w:val="44"/>
          <w:szCs w:val="44"/>
        </w:rPr>
      </w:pPr>
      <w:r>
        <w:rPr>
          <w:rFonts w:hint="eastAsia" w:ascii="方正小标宋简体" w:eastAsia="方正小标宋简体" w:cs="方正小标宋_GBK"/>
          <w:sz w:val="44"/>
          <w:szCs w:val="44"/>
        </w:rPr>
        <w:t>项目资金分配涉及所有点位自评得分情况表</w:t>
      </w:r>
    </w:p>
    <w:p w14:paraId="1424A2F6">
      <w:pPr>
        <w:pStyle w:val="28"/>
        <w:spacing w:before="0" w:after="0" w:line="576" w:lineRule="exact"/>
        <w:jc w:val="center"/>
        <w:outlineLvl w:val="9"/>
        <w:rPr>
          <w:rFonts w:hint="eastAsia" w:ascii="方正小标宋简体" w:eastAsia="方正小标宋简体"/>
          <w:sz w:val="44"/>
          <w:szCs w:val="44"/>
        </w:rPr>
      </w:pPr>
    </w:p>
    <w:tbl>
      <w:tblPr>
        <w:tblStyle w:val="20"/>
        <w:tblW w:w="888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1"/>
        <w:gridCol w:w="3871"/>
        <w:gridCol w:w="2882"/>
        <w:gridCol w:w="1000"/>
      </w:tblGrid>
      <w:tr w14:paraId="77AE2B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exact"/>
          <w:jc w:val="center"/>
        </w:trPr>
        <w:tc>
          <w:tcPr>
            <w:tcW w:w="1131" w:type="dxa"/>
            <w:noWrap w:val="0"/>
            <w:vAlign w:val="center"/>
          </w:tcPr>
          <w:p w14:paraId="25E9E6E8">
            <w:pPr>
              <w:keepNext w:val="0"/>
              <w:keepLines w:val="0"/>
              <w:suppressLineNumbers w:val="0"/>
              <w:spacing w:before="0" w:beforeAutospacing="0" w:after="0" w:afterAutospacing="0" w:line="300" w:lineRule="exact"/>
              <w:ind w:left="0" w:right="0"/>
              <w:jc w:val="center"/>
              <w:rPr>
                <w:rFonts w:hint="eastAsia" w:ascii="黑体" w:eastAsia="黑体" w:cs="黑体"/>
                <w:sz w:val="24"/>
                <w:szCs w:val="24"/>
              </w:rPr>
            </w:pPr>
            <w:r>
              <w:rPr>
                <w:rFonts w:hint="eastAsia" w:ascii="黑体" w:eastAsia="黑体" w:cs="黑体"/>
                <w:sz w:val="24"/>
                <w:szCs w:val="24"/>
              </w:rPr>
              <w:t>序号</w:t>
            </w:r>
          </w:p>
        </w:tc>
        <w:tc>
          <w:tcPr>
            <w:tcW w:w="3871" w:type="dxa"/>
            <w:noWrap w:val="0"/>
            <w:vAlign w:val="center"/>
          </w:tcPr>
          <w:p w14:paraId="3FE8BB8F">
            <w:pPr>
              <w:keepNext w:val="0"/>
              <w:keepLines w:val="0"/>
              <w:suppressLineNumbers w:val="0"/>
              <w:spacing w:before="0" w:beforeAutospacing="0" w:after="0" w:afterAutospacing="0" w:line="300" w:lineRule="exact"/>
              <w:ind w:left="0" w:right="0"/>
              <w:jc w:val="center"/>
              <w:rPr>
                <w:rFonts w:hint="eastAsia" w:ascii="黑体" w:eastAsia="黑体" w:cs="黑体"/>
                <w:sz w:val="24"/>
                <w:szCs w:val="24"/>
                <w:lang w:val="en"/>
              </w:rPr>
            </w:pPr>
            <w:r>
              <w:rPr>
                <w:rFonts w:hint="eastAsia" w:ascii="黑体" w:eastAsia="黑体" w:cs="黑体"/>
                <w:sz w:val="24"/>
                <w:szCs w:val="24"/>
              </w:rPr>
              <w:t>项目资金末端分配点位</w:t>
            </w:r>
          </w:p>
        </w:tc>
        <w:tc>
          <w:tcPr>
            <w:tcW w:w="2882" w:type="dxa"/>
            <w:noWrap w:val="0"/>
            <w:vAlign w:val="center"/>
          </w:tcPr>
          <w:p w14:paraId="12B9291C">
            <w:pPr>
              <w:keepNext w:val="0"/>
              <w:keepLines w:val="0"/>
              <w:suppressLineNumbers w:val="0"/>
              <w:spacing w:before="0" w:beforeAutospacing="0" w:after="0" w:afterAutospacing="0" w:line="300" w:lineRule="exact"/>
              <w:ind w:left="0" w:right="0"/>
              <w:jc w:val="center"/>
              <w:rPr>
                <w:rFonts w:hint="eastAsia" w:ascii="黑体" w:eastAsia="黑体" w:cs="黑体"/>
                <w:sz w:val="24"/>
                <w:szCs w:val="24"/>
              </w:rPr>
            </w:pPr>
            <w:r>
              <w:rPr>
                <w:rFonts w:hint="eastAsia" w:ascii="黑体" w:eastAsia="黑体" w:cs="黑体"/>
                <w:sz w:val="24"/>
                <w:szCs w:val="24"/>
                <w:lang w:val="en"/>
              </w:rPr>
              <w:t>自评得分（百分制）</w:t>
            </w:r>
          </w:p>
        </w:tc>
        <w:tc>
          <w:tcPr>
            <w:tcW w:w="1000" w:type="dxa"/>
            <w:noWrap w:val="0"/>
            <w:vAlign w:val="center"/>
          </w:tcPr>
          <w:p w14:paraId="37B8EE57">
            <w:pPr>
              <w:keepNext w:val="0"/>
              <w:keepLines w:val="0"/>
              <w:suppressLineNumbers w:val="0"/>
              <w:spacing w:before="0" w:beforeAutospacing="0" w:after="0" w:afterAutospacing="0" w:line="300" w:lineRule="exact"/>
              <w:ind w:left="0" w:right="0"/>
              <w:jc w:val="center"/>
              <w:rPr>
                <w:rFonts w:hint="eastAsia" w:ascii="黑体" w:eastAsia="黑体" w:cs="黑体"/>
                <w:sz w:val="24"/>
                <w:szCs w:val="24"/>
              </w:rPr>
            </w:pPr>
            <w:r>
              <w:rPr>
                <w:rFonts w:hint="eastAsia" w:ascii="黑体" w:eastAsia="黑体" w:cs="黑体"/>
                <w:sz w:val="24"/>
                <w:szCs w:val="24"/>
              </w:rPr>
              <w:t>备注</w:t>
            </w:r>
          </w:p>
        </w:tc>
      </w:tr>
      <w:tr w14:paraId="38AAE4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exact"/>
          <w:jc w:val="center"/>
        </w:trPr>
        <w:tc>
          <w:tcPr>
            <w:tcW w:w="1131" w:type="dxa"/>
            <w:noWrap w:val="0"/>
            <w:vAlign w:val="center"/>
          </w:tcPr>
          <w:p w14:paraId="110E3A51">
            <w:pPr>
              <w:keepNext w:val="0"/>
              <w:keepLines w:val="0"/>
              <w:suppressLineNumbers w:val="0"/>
              <w:spacing w:before="0" w:beforeAutospacing="0" w:after="0" w:afterAutospacing="0" w:line="300" w:lineRule="exact"/>
              <w:ind w:left="0" w:right="0"/>
              <w:jc w:val="center"/>
              <w:rPr>
                <w:rFonts w:hint="eastAsia" w:ascii="宋体" w:cs="宋体"/>
                <w:sz w:val="24"/>
                <w:szCs w:val="24"/>
              </w:rPr>
            </w:pPr>
            <w:r>
              <w:rPr>
                <w:rFonts w:hint="eastAsia" w:ascii="宋体" w:cs="宋体"/>
                <w:sz w:val="24"/>
                <w:szCs w:val="24"/>
              </w:rPr>
              <w:t>1</w:t>
            </w:r>
          </w:p>
        </w:tc>
        <w:tc>
          <w:tcPr>
            <w:tcW w:w="3871" w:type="dxa"/>
            <w:noWrap w:val="0"/>
            <w:vAlign w:val="center"/>
          </w:tcPr>
          <w:p w14:paraId="23B1CE15">
            <w:pPr>
              <w:keepNext w:val="0"/>
              <w:keepLines w:val="0"/>
              <w:suppressLineNumbers w:val="0"/>
              <w:spacing w:before="0" w:beforeAutospacing="0" w:after="0" w:afterAutospacing="0" w:line="300" w:lineRule="exact"/>
              <w:ind w:left="0" w:right="0"/>
              <w:jc w:val="center"/>
              <w:rPr>
                <w:rFonts w:hint="eastAsia" w:ascii="宋体" w:cs="宋体"/>
                <w:sz w:val="24"/>
                <w:szCs w:val="24"/>
                <w:lang w:val="en"/>
              </w:rPr>
            </w:pPr>
            <w:r>
              <w:rPr>
                <w:rFonts w:hint="eastAsia" w:ascii="宋体" w:cs="宋体"/>
                <w:sz w:val="24"/>
                <w:szCs w:val="24"/>
                <w:lang w:val="en"/>
              </w:rPr>
              <w:t>苍溪县</w:t>
            </w:r>
          </w:p>
        </w:tc>
        <w:tc>
          <w:tcPr>
            <w:tcW w:w="2882" w:type="dxa"/>
            <w:noWrap w:val="0"/>
            <w:vAlign w:val="center"/>
          </w:tcPr>
          <w:p w14:paraId="518C7BDE">
            <w:pPr>
              <w:keepNext w:val="0"/>
              <w:keepLines w:val="0"/>
              <w:suppressLineNumbers w:val="0"/>
              <w:spacing w:before="0" w:beforeAutospacing="0" w:after="0" w:afterAutospacing="0" w:line="300" w:lineRule="exact"/>
              <w:ind w:left="0" w:right="0"/>
              <w:jc w:val="center"/>
              <w:rPr>
                <w:rFonts w:hint="eastAsia" w:ascii="宋体" w:cs="宋体"/>
                <w:sz w:val="24"/>
                <w:szCs w:val="24"/>
              </w:rPr>
            </w:pPr>
            <w:r>
              <w:rPr>
                <w:rFonts w:hint="eastAsia" w:ascii="宋体" w:cs="宋体"/>
                <w:sz w:val="24"/>
                <w:szCs w:val="24"/>
              </w:rPr>
              <w:t>100</w:t>
            </w:r>
          </w:p>
        </w:tc>
        <w:tc>
          <w:tcPr>
            <w:tcW w:w="1000" w:type="dxa"/>
            <w:noWrap w:val="0"/>
            <w:vAlign w:val="center"/>
          </w:tcPr>
          <w:p w14:paraId="412DBB61">
            <w:pPr>
              <w:keepNext w:val="0"/>
              <w:keepLines w:val="0"/>
              <w:suppressLineNumbers w:val="0"/>
              <w:spacing w:before="0" w:beforeAutospacing="0" w:after="0" w:afterAutospacing="0" w:line="300" w:lineRule="exact"/>
              <w:ind w:left="0" w:right="0"/>
              <w:jc w:val="center"/>
              <w:rPr>
                <w:rFonts w:hint="eastAsia" w:ascii="宋体" w:cs="宋体"/>
                <w:sz w:val="24"/>
                <w:szCs w:val="24"/>
              </w:rPr>
            </w:pPr>
          </w:p>
        </w:tc>
      </w:tr>
      <w:tr w14:paraId="38853D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exact"/>
          <w:jc w:val="center"/>
        </w:trPr>
        <w:tc>
          <w:tcPr>
            <w:tcW w:w="1131" w:type="dxa"/>
            <w:noWrap w:val="0"/>
            <w:vAlign w:val="center"/>
          </w:tcPr>
          <w:p w14:paraId="78340DE3">
            <w:pPr>
              <w:keepNext w:val="0"/>
              <w:keepLines w:val="0"/>
              <w:suppressLineNumbers w:val="0"/>
              <w:spacing w:before="0" w:beforeAutospacing="0" w:after="0" w:afterAutospacing="0" w:line="300" w:lineRule="exact"/>
              <w:ind w:left="0" w:right="0"/>
              <w:jc w:val="center"/>
              <w:rPr>
                <w:rFonts w:hint="eastAsia" w:ascii="宋体" w:cs="宋体"/>
                <w:sz w:val="24"/>
                <w:szCs w:val="24"/>
              </w:rPr>
            </w:pPr>
            <w:r>
              <w:rPr>
                <w:rFonts w:hint="eastAsia" w:ascii="宋体" w:cs="宋体"/>
                <w:sz w:val="24"/>
                <w:szCs w:val="24"/>
              </w:rPr>
              <w:t>2</w:t>
            </w:r>
          </w:p>
        </w:tc>
        <w:tc>
          <w:tcPr>
            <w:tcW w:w="3871" w:type="dxa"/>
            <w:noWrap w:val="0"/>
            <w:vAlign w:val="center"/>
          </w:tcPr>
          <w:p w14:paraId="633D4489">
            <w:pPr>
              <w:keepNext w:val="0"/>
              <w:keepLines w:val="0"/>
              <w:suppressLineNumbers w:val="0"/>
              <w:spacing w:before="0" w:beforeAutospacing="0" w:after="0" w:afterAutospacing="0" w:line="300" w:lineRule="exact"/>
              <w:ind w:left="0" w:right="0"/>
              <w:jc w:val="center"/>
              <w:rPr>
                <w:rFonts w:hint="eastAsia" w:ascii="宋体" w:cs="宋体"/>
                <w:sz w:val="24"/>
                <w:szCs w:val="24"/>
                <w:lang w:val="en"/>
              </w:rPr>
            </w:pPr>
            <w:r>
              <w:rPr>
                <w:rFonts w:hint="eastAsia" w:ascii="宋体" w:cs="宋体"/>
                <w:sz w:val="24"/>
                <w:szCs w:val="24"/>
                <w:lang w:val="en"/>
              </w:rPr>
              <w:t>剑阁县</w:t>
            </w:r>
          </w:p>
        </w:tc>
        <w:tc>
          <w:tcPr>
            <w:tcW w:w="2882" w:type="dxa"/>
            <w:noWrap w:val="0"/>
            <w:vAlign w:val="center"/>
          </w:tcPr>
          <w:p w14:paraId="00E11B90">
            <w:pPr>
              <w:keepNext w:val="0"/>
              <w:keepLines w:val="0"/>
              <w:suppressLineNumbers w:val="0"/>
              <w:spacing w:before="0" w:beforeAutospacing="0" w:after="0" w:afterAutospacing="0" w:line="300" w:lineRule="exact"/>
              <w:ind w:left="0" w:right="0"/>
              <w:jc w:val="center"/>
              <w:rPr>
                <w:rFonts w:hint="eastAsia" w:ascii="宋体" w:cs="宋体"/>
                <w:sz w:val="24"/>
                <w:szCs w:val="24"/>
              </w:rPr>
            </w:pPr>
            <w:r>
              <w:rPr>
                <w:rFonts w:hint="eastAsia" w:ascii="宋体" w:cs="宋体"/>
                <w:sz w:val="24"/>
                <w:szCs w:val="24"/>
              </w:rPr>
              <w:t>100</w:t>
            </w:r>
          </w:p>
        </w:tc>
        <w:tc>
          <w:tcPr>
            <w:tcW w:w="1000" w:type="dxa"/>
            <w:noWrap w:val="0"/>
            <w:vAlign w:val="center"/>
          </w:tcPr>
          <w:p w14:paraId="7F48577D">
            <w:pPr>
              <w:keepNext w:val="0"/>
              <w:keepLines w:val="0"/>
              <w:suppressLineNumbers w:val="0"/>
              <w:spacing w:before="0" w:beforeAutospacing="0" w:after="0" w:afterAutospacing="0" w:line="300" w:lineRule="exact"/>
              <w:ind w:left="0" w:right="0"/>
              <w:jc w:val="center"/>
              <w:rPr>
                <w:rFonts w:hint="eastAsia" w:ascii="宋体" w:cs="宋体"/>
                <w:sz w:val="24"/>
                <w:szCs w:val="24"/>
              </w:rPr>
            </w:pPr>
          </w:p>
        </w:tc>
      </w:tr>
      <w:tr w14:paraId="149981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exact"/>
          <w:jc w:val="center"/>
        </w:trPr>
        <w:tc>
          <w:tcPr>
            <w:tcW w:w="1131" w:type="dxa"/>
            <w:noWrap w:val="0"/>
            <w:vAlign w:val="center"/>
          </w:tcPr>
          <w:p w14:paraId="617D436F">
            <w:pPr>
              <w:keepNext w:val="0"/>
              <w:keepLines w:val="0"/>
              <w:suppressLineNumbers w:val="0"/>
              <w:spacing w:before="0" w:beforeAutospacing="0" w:after="0" w:afterAutospacing="0" w:line="300" w:lineRule="exact"/>
              <w:ind w:left="0" w:right="0"/>
              <w:jc w:val="center"/>
              <w:rPr>
                <w:rFonts w:hint="eastAsia" w:ascii="宋体" w:cs="宋体"/>
                <w:sz w:val="24"/>
                <w:szCs w:val="24"/>
              </w:rPr>
            </w:pPr>
            <w:r>
              <w:rPr>
                <w:rFonts w:hint="eastAsia" w:ascii="宋体" w:cs="宋体"/>
                <w:sz w:val="24"/>
                <w:szCs w:val="24"/>
              </w:rPr>
              <w:t>3</w:t>
            </w:r>
          </w:p>
        </w:tc>
        <w:tc>
          <w:tcPr>
            <w:tcW w:w="3871" w:type="dxa"/>
            <w:noWrap w:val="0"/>
            <w:vAlign w:val="center"/>
          </w:tcPr>
          <w:p w14:paraId="661A29D6">
            <w:pPr>
              <w:keepNext w:val="0"/>
              <w:keepLines w:val="0"/>
              <w:suppressLineNumbers w:val="0"/>
              <w:spacing w:before="0" w:beforeAutospacing="0" w:after="0" w:afterAutospacing="0" w:line="300" w:lineRule="exact"/>
              <w:ind w:left="0" w:right="0"/>
              <w:jc w:val="center"/>
              <w:rPr>
                <w:rFonts w:hint="eastAsia" w:ascii="宋体" w:cs="宋体"/>
                <w:sz w:val="24"/>
                <w:szCs w:val="24"/>
                <w:lang w:val="en"/>
              </w:rPr>
            </w:pPr>
          </w:p>
        </w:tc>
        <w:tc>
          <w:tcPr>
            <w:tcW w:w="2882" w:type="dxa"/>
            <w:noWrap w:val="0"/>
            <w:vAlign w:val="center"/>
          </w:tcPr>
          <w:p w14:paraId="086A90F8">
            <w:pPr>
              <w:keepNext w:val="0"/>
              <w:keepLines w:val="0"/>
              <w:suppressLineNumbers w:val="0"/>
              <w:spacing w:before="0" w:beforeAutospacing="0" w:after="0" w:afterAutospacing="0" w:line="300" w:lineRule="exact"/>
              <w:ind w:left="0" w:right="0"/>
              <w:jc w:val="center"/>
              <w:rPr>
                <w:rFonts w:hint="eastAsia" w:ascii="宋体" w:cs="宋体"/>
                <w:sz w:val="24"/>
                <w:szCs w:val="24"/>
                <w:lang w:val="en"/>
              </w:rPr>
            </w:pPr>
          </w:p>
        </w:tc>
        <w:tc>
          <w:tcPr>
            <w:tcW w:w="1000" w:type="dxa"/>
            <w:noWrap w:val="0"/>
            <w:vAlign w:val="center"/>
          </w:tcPr>
          <w:p w14:paraId="2F3D59AD">
            <w:pPr>
              <w:keepNext w:val="0"/>
              <w:keepLines w:val="0"/>
              <w:suppressLineNumbers w:val="0"/>
              <w:spacing w:before="0" w:beforeAutospacing="0" w:after="0" w:afterAutospacing="0" w:line="300" w:lineRule="exact"/>
              <w:ind w:left="0" w:right="0"/>
              <w:jc w:val="center"/>
              <w:rPr>
                <w:rFonts w:hint="eastAsia" w:ascii="宋体" w:cs="宋体"/>
                <w:sz w:val="24"/>
                <w:szCs w:val="24"/>
              </w:rPr>
            </w:pPr>
          </w:p>
        </w:tc>
      </w:tr>
      <w:tr w14:paraId="1D259A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exact"/>
          <w:jc w:val="center"/>
        </w:trPr>
        <w:tc>
          <w:tcPr>
            <w:tcW w:w="1131" w:type="dxa"/>
            <w:noWrap w:val="0"/>
            <w:vAlign w:val="center"/>
          </w:tcPr>
          <w:p w14:paraId="14F6658F">
            <w:pPr>
              <w:keepNext w:val="0"/>
              <w:keepLines w:val="0"/>
              <w:suppressLineNumbers w:val="0"/>
              <w:spacing w:before="0" w:beforeAutospacing="0" w:after="0" w:afterAutospacing="0" w:line="300" w:lineRule="exact"/>
              <w:ind w:left="0" w:right="0"/>
              <w:jc w:val="center"/>
              <w:rPr>
                <w:rFonts w:hint="eastAsia" w:ascii="宋体" w:cs="宋体"/>
                <w:sz w:val="24"/>
                <w:szCs w:val="24"/>
              </w:rPr>
            </w:pPr>
            <w:r>
              <w:rPr>
                <w:rFonts w:hint="eastAsia" w:ascii="宋体" w:cs="宋体"/>
                <w:sz w:val="24"/>
                <w:szCs w:val="24"/>
              </w:rPr>
              <w:t>4</w:t>
            </w:r>
          </w:p>
        </w:tc>
        <w:tc>
          <w:tcPr>
            <w:tcW w:w="3871" w:type="dxa"/>
            <w:noWrap w:val="0"/>
            <w:vAlign w:val="center"/>
          </w:tcPr>
          <w:p w14:paraId="54A799DB">
            <w:pPr>
              <w:keepNext w:val="0"/>
              <w:keepLines w:val="0"/>
              <w:suppressLineNumbers w:val="0"/>
              <w:spacing w:before="0" w:beforeAutospacing="0" w:after="0" w:afterAutospacing="0" w:line="300" w:lineRule="exact"/>
              <w:ind w:left="0" w:right="0"/>
              <w:jc w:val="center"/>
              <w:rPr>
                <w:rFonts w:hint="eastAsia" w:ascii="宋体" w:cs="宋体"/>
                <w:sz w:val="24"/>
                <w:szCs w:val="24"/>
                <w:lang w:val="en"/>
              </w:rPr>
            </w:pPr>
          </w:p>
        </w:tc>
        <w:tc>
          <w:tcPr>
            <w:tcW w:w="2882" w:type="dxa"/>
            <w:noWrap w:val="0"/>
            <w:vAlign w:val="center"/>
          </w:tcPr>
          <w:p w14:paraId="3CB92908">
            <w:pPr>
              <w:keepNext w:val="0"/>
              <w:keepLines w:val="0"/>
              <w:suppressLineNumbers w:val="0"/>
              <w:spacing w:before="0" w:beforeAutospacing="0" w:after="0" w:afterAutospacing="0" w:line="300" w:lineRule="exact"/>
              <w:ind w:left="0" w:right="0"/>
              <w:jc w:val="center"/>
              <w:rPr>
                <w:rFonts w:hint="eastAsia" w:ascii="宋体" w:cs="宋体"/>
                <w:sz w:val="24"/>
                <w:szCs w:val="24"/>
                <w:lang w:val="en"/>
              </w:rPr>
            </w:pPr>
          </w:p>
        </w:tc>
        <w:tc>
          <w:tcPr>
            <w:tcW w:w="1000" w:type="dxa"/>
            <w:noWrap w:val="0"/>
            <w:vAlign w:val="center"/>
          </w:tcPr>
          <w:p w14:paraId="51BD42F2">
            <w:pPr>
              <w:keepNext w:val="0"/>
              <w:keepLines w:val="0"/>
              <w:suppressLineNumbers w:val="0"/>
              <w:spacing w:before="0" w:beforeAutospacing="0" w:after="0" w:afterAutospacing="0" w:line="300" w:lineRule="exact"/>
              <w:ind w:left="0" w:right="0"/>
              <w:jc w:val="center"/>
              <w:rPr>
                <w:rFonts w:hint="eastAsia" w:ascii="宋体" w:cs="宋体"/>
                <w:sz w:val="24"/>
                <w:szCs w:val="24"/>
              </w:rPr>
            </w:pPr>
          </w:p>
        </w:tc>
      </w:tr>
      <w:tr w14:paraId="72E852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exact"/>
          <w:jc w:val="center"/>
        </w:trPr>
        <w:tc>
          <w:tcPr>
            <w:tcW w:w="1131" w:type="dxa"/>
            <w:noWrap w:val="0"/>
            <w:vAlign w:val="center"/>
          </w:tcPr>
          <w:p w14:paraId="290D32DA">
            <w:pPr>
              <w:keepNext w:val="0"/>
              <w:keepLines w:val="0"/>
              <w:suppressLineNumbers w:val="0"/>
              <w:spacing w:before="0" w:beforeAutospacing="0" w:after="0" w:afterAutospacing="0" w:line="300" w:lineRule="exact"/>
              <w:ind w:left="0" w:right="0"/>
              <w:jc w:val="center"/>
              <w:rPr>
                <w:rFonts w:hint="eastAsia" w:ascii="宋体" w:cs="宋体"/>
                <w:sz w:val="24"/>
                <w:szCs w:val="24"/>
              </w:rPr>
            </w:pPr>
            <w:r>
              <w:rPr>
                <w:rFonts w:hint="eastAsia" w:ascii="宋体" w:cs="宋体"/>
                <w:sz w:val="24"/>
                <w:szCs w:val="24"/>
              </w:rPr>
              <w:t>5</w:t>
            </w:r>
          </w:p>
        </w:tc>
        <w:tc>
          <w:tcPr>
            <w:tcW w:w="3871" w:type="dxa"/>
            <w:noWrap w:val="0"/>
            <w:vAlign w:val="center"/>
          </w:tcPr>
          <w:p w14:paraId="3C9CBC5E">
            <w:pPr>
              <w:keepNext w:val="0"/>
              <w:keepLines w:val="0"/>
              <w:suppressLineNumbers w:val="0"/>
              <w:spacing w:before="0" w:beforeAutospacing="0" w:after="0" w:afterAutospacing="0" w:line="300" w:lineRule="exact"/>
              <w:ind w:left="0" w:right="0"/>
              <w:jc w:val="center"/>
              <w:rPr>
                <w:rFonts w:hint="eastAsia" w:ascii="宋体" w:cs="宋体"/>
                <w:sz w:val="24"/>
                <w:szCs w:val="24"/>
                <w:lang w:val="en"/>
              </w:rPr>
            </w:pPr>
          </w:p>
        </w:tc>
        <w:tc>
          <w:tcPr>
            <w:tcW w:w="2882" w:type="dxa"/>
            <w:noWrap w:val="0"/>
            <w:vAlign w:val="center"/>
          </w:tcPr>
          <w:p w14:paraId="65A2A77A">
            <w:pPr>
              <w:keepNext w:val="0"/>
              <w:keepLines w:val="0"/>
              <w:suppressLineNumbers w:val="0"/>
              <w:spacing w:before="0" w:beforeAutospacing="0" w:after="0" w:afterAutospacing="0" w:line="300" w:lineRule="exact"/>
              <w:ind w:left="0" w:right="0"/>
              <w:jc w:val="center"/>
              <w:rPr>
                <w:rFonts w:hint="eastAsia" w:ascii="宋体" w:cs="宋体"/>
                <w:sz w:val="24"/>
                <w:szCs w:val="24"/>
                <w:lang w:val="en"/>
              </w:rPr>
            </w:pPr>
          </w:p>
        </w:tc>
        <w:tc>
          <w:tcPr>
            <w:tcW w:w="1000" w:type="dxa"/>
            <w:noWrap w:val="0"/>
            <w:vAlign w:val="center"/>
          </w:tcPr>
          <w:p w14:paraId="6957AB48">
            <w:pPr>
              <w:keepNext w:val="0"/>
              <w:keepLines w:val="0"/>
              <w:suppressLineNumbers w:val="0"/>
              <w:spacing w:before="0" w:beforeAutospacing="0" w:after="0" w:afterAutospacing="0" w:line="300" w:lineRule="exact"/>
              <w:ind w:left="0" w:right="0"/>
              <w:jc w:val="center"/>
              <w:rPr>
                <w:rFonts w:hint="eastAsia" w:ascii="宋体" w:cs="宋体"/>
                <w:sz w:val="24"/>
                <w:szCs w:val="24"/>
              </w:rPr>
            </w:pPr>
          </w:p>
        </w:tc>
      </w:tr>
      <w:tr w14:paraId="1AC8C1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exact"/>
          <w:jc w:val="center"/>
        </w:trPr>
        <w:tc>
          <w:tcPr>
            <w:tcW w:w="1131" w:type="dxa"/>
            <w:noWrap w:val="0"/>
            <w:vAlign w:val="center"/>
          </w:tcPr>
          <w:p w14:paraId="386F08C9">
            <w:pPr>
              <w:keepNext w:val="0"/>
              <w:keepLines w:val="0"/>
              <w:suppressLineNumbers w:val="0"/>
              <w:spacing w:before="0" w:beforeAutospacing="0" w:after="0" w:afterAutospacing="0" w:line="300" w:lineRule="exact"/>
              <w:ind w:left="0" w:right="0"/>
              <w:jc w:val="center"/>
              <w:rPr>
                <w:rFonts w:hint="eastAsia" w:ascii="宋体" w:cs="宋体"/>
                <w:sz w:val="24"/>
                <w:szCs w:val="24"/>
              </w:rPr>
            </w:pPr>
            <w:r>
              <w:rPr>
                <w:rFonts w:hint="eastAsia" w:ascii="宋体" w:cs="宋体"/>
                <w:sz w:val="24"/>
                <w:szCs w:val="24"/>
              </w:rPr>
              <w:t>6</w:t>
            </w:r>
          </w:p>
        </w:tc>
        <w:tc>
          <w:tcPr>
            <w:tcW w:w="3871" w:type="dxa"/>
            <w:noWrap w:val="0"/>
            <w:vAlign w:val="center"/>
          </w:tcPr>
          <w:p w14:paraId="66F96FBB">
            <w:pPr>
              <w:keepNext w:val="0"/>
              <w:keepLines w:val="0"/>
              <w:suppressLineNumbers w:val="0"/>
              <w:spacing w:before="0" w:beforeAutospacing="0" w:after="0" w:afterAutospacing="0" w:line="300" w:lineRule="exact"/>
              <w:ind w:left="0" w:right="0"/>
              <w:jc w:val="center"/>
              <w:rPr>
                <w:rFonts w:hint="eastAsia" w:ascii="宋体" w:cs="宋体"/>
                <w:sz w:val="24"/>
                <w:szCs w:val="24"/>
                <w:lang w:val="en"/>
              </w:rPr>
            </w:pPr>
          </w:p>
        </w:tc>
        <w:tc>
          <w:tcPr>
            <w:tcW w:w="2882" w:type="dxa"/>
            <w:noWrap w:val="0"/>
            <w:vAlign w:val="center"/>
          </w:tcPr>
          <w:p w14:paraId="35EC5C9B">
            <w:pPr>
              <w:keepNext w:val="0"/>
              <w:keepLines w:val="0"/>
              <w:suppressLineNumbers w:val="0"/>
              <w:spacing w:before="0" w:beforeAutospacing="0" w:after="0" w:afterAutospacing="0" w:line="300" w:lineRule="exact"/>
              <w:ind w:left="0" w:right="0"/>
              <w:jc w:val="center"/>
              <w:rPr>
                <w:rFonts w:hint="eastAsia" w:ascii="宋体" w:cs="宋体"/>
                <w:sz w:val="24"/>
                <w:szCs w:val="24"/>
                <w:lang w:val="en"/>
              </w:rPr>
            </w:pPr>
          </w:p>
        </w:tc>
        <w:tc>
          <w:tcPr>
            <w:tcW w:w="1000" w:type="dxa"/>
            <w:noWrap w:val="0"/>
            <w:vAlign w:val="center"/>
          </w:tcPr>
          <w:p w14:paraId="259A1A58">
            <w:pPr>
              <w:keepNext w:val="0"/>
              <w:keepLines w:val="0"/>
              <w:suppressLineNumbers w:val="0"/>
              <w:spacing w:before="0" w:beforeAutospacing="0" w:after="0" w:afterAutospacing="0" w:line="300" w:lineRule="exact"/>
              <w:ind w:left="0" w:right="0"/>
              <w:jc w:val="center"/>
              <w:rPr>
                <w:rFonts w:hint="eastAsia" w:ascii="宋体" w:cs="宋体"/>
                <w:sz w:val="24"/>
                <w:szCs w:val="24"/>
              </w:rPr>
            </w:pPr>
          </w:p>
        </w:tc>
      </w:tr>
      <w:tr w14:paraId="7F2546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exact"/>
          <w:jc w:val="center"/>
        </w:trPr>
        <w:tc>
          <w:tcPr>
            <w:tcW w:w="1131" w:type="dxa"/>
            <w:noWrap w:val="0"/>
            <w:vAlign w:val="center"/>
          </w:tcPr>
          <w:p w14:paraId="3CDAAF60">
            <w:pPr>
              <w:keepNext w:val="0"/>
              <w:keepLines w:val="0"/>
              <w:suppressLineNumbers w:val="0"/>
              <w:spacing w:before="0" w:beforeAutospacing="0" w:after="0" w:afterAutospacing="0" w:line="300" w:lineRule="exact"/>
              <w:ind w:left="0" w:right="0"/>
              <w:jc w:val="center"/>
              <w:rPr>
                <w:rFonts w:hint="eastAsia" w:ascii="宋体" w:cs="宋体"/>
                <w:sz w:val="24"/>
                <w:szCs w:val="24"/>
              </w:rPr>
            </w:pPr>
            <w:r>
              <w:rPr>
                <w:rFonts w:hint="eastAsia" w:ascii="宋体" w:cs="宋体"/>
                <w:sz w:val="24"/>
                <w:szCs w:val="24"/>
              </w:rPr>
              <w:t>7</w:t>
            </w:r>
          </w:p>
        </w:tc>
        <w:tc>
          <w:tcPr>
            <w:tcW w:w="3871" w:type="dxa"/>
            <w:noWrap w:val="0"/>
            <w:vAlign w:val="center"/>
          </w:tcPr>
          <w:p w14:paraId="71C2519C">
            <w:pPr>
              <w:keepNext w:val="0"/>
              <w:keepLines w:val="0"/>
              <w:suppressLineNumbers w:val="0"/>
              <w:spacing w:before="0" w:beforeAutospacing="0" w:after="0" w:afterAutospacing="0" w:line="300" w:lineRule="exact"/>
              <w:ind w:left="0" w:right="0"/>
              <w:jc w:val="center"/>
              <w:rPr>
                <w:rFonts w:hint="eastAsia" w:ascii="宋体" w:cs="宋体"/>
                <w:sz w:val="24"/>
                <w:szCs w:val="24"/>
                <w:lang w:val="en"/>
              </w:rPr>
            </w:pPr>
          </w:p>
        </w:tc>
        <w:tc>
          <w:tcPr>
            <w:tcW w:w="2882" w:type="dxa"/>
            <w:noWrap w:val="0"/>
            <w:vAlign w:val="center"/>
          </w:tcPr>
          <w:p w14:paraId="3FCE1BC3">
            <w:pPr>
              <w:keepNext w:val="0"/>
              <w:keepLines w:val="0"/>
              <w:suppressLineNumbers w:val="0"/>
              <w:spacing w:before="0" w:beforeAutospacing="0" w:after="0" w:afterAutospacing="0" w:line="300" w:lineRule="exact"/>
              <w:ind w:left="0" w:right="0"/>
              <w:jc w:val="center"/>
              <w:rPr>
                <w:rFonts w:hint="eastAsia" w:ascii="宋体" w:cs="宋体"/>
                <w:sz w:val="24"/>
                <w:szCs w:val="24"/>
                <w:lang w:val="en"/>
              </w:rPr>
            </w:pPr>
          </w:p>
        </w:tc>
        <w:tc>
          <w:tcPr>
            <w:tcW w:w="1000" w:type="dxa"/>
            <w:noWrap w:val="0"/>
            <w:vAlign w:val="center"/>
          </w:tcPr>
          <w:p w14:paraId="4B037755">
            <w:pPr>
              <w:keepNext w:val="0"/>
              <w:keepLines w:val="0"/>
              <w:suppressLineNumbers w:val="0"/>
              <w:spacing w:before="0" w:beforeAutospacing="0" w:after="0" w:afterAutospacing="0" w:line="300" w:lineRule="exact"/>
              <w:ind w:left="0" w:right="0"/>
              <w:jc w:val="center"/>
              <w:rPr>
                <w:rFonts w:hint="eastAsia" w:ascii="宋体" w:cs="宋体"/>
                <w:sz w:val="24"/>
                <w:szCs w:val="24"/>
              </w:rPr>
            </w:pPr>
          </w:p>
        </w:tc>
      </w:tr>
      <w:tr w14:paraId="797D61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exact"/>
          <w:jc w:val="center"/>
        </w:trPr>
        <w:tc>
          <w:tcPr>
            <w:tcW w:w="1131" w:type="dxa"/>
            <w:noWrap w:val="0"/>
            <w:vAlign w:val="center"/>
          </w:tcPr>
          <w:p w14:paraId="5FED0831">
            <w:pPr>
              <w:keepNext w:val="0"/>
              <w:keepLines w:val="0"/>
              <w:suppressLineNumbers w:val="0"/>
              <w:spacing w:before="0" w:beforeAutospacing="0" w:after="0" w:afterAutospacing="0" w:line="300" w:lineRule="exact"/>
              <w:ind w:left="0" w:right="0"/>
              <w:jc w:val="center"/>
              <w:rPr>
                <w:rFonts w:hint="eastAsia" w:ascii="宋体" w:cs="宋体"/>
                <w:sz w:val="24"/>
                <w:szCs w:val="24"/>
              </w:rPr>
            </w:pPr>
            <w:r>
              <w:rPr>
                <w:rFonts w:hint="eastAsia" w:ascii="宋体" w:cs="宋体"/>
                <w:sz w:val="24"/>
                <w:szCs w:val="24"/>
              </w:rPr>
              <w:t>8</w:t>
            </w:r>
          </w:p>
        </w:tc>
        <w:tc>
          <w:tcPr>
            <w:tcW w:w="3871" w:type="dxa"/>
            <w:noWrap w:val="0"/>
            <w:vAlign w:val="center"/>
          </w:tcPr>
          <w:p w14:paraId="4E436124">
            <w:pPr>
              <w:keepNext w:val="0"/>
              <w:keepLines w:val="0"/>
              <w:suppressLineNumbers w:val="0"/>
              <w:spacing w:before="0" w:beforeAutospacing="0" w:after="0" w:afterAutospacing="0" w:line="300" w:lineRule="exact"/>
              <w:ind w:left="0" w:right="0"/>
              <w:jc w:val="center"/>
              <w:rPr>
                <w:rFonts w:hint="eastAsia" w:ascii="宋体" w:cs="宋体"/>
                <w:sz w:val="24"/>
                <w:szCs w:val="24"/>
                <w:lang w:val="en"/>
              </w:rPr>
            </w:pPr>
          </w:p>
        </w:tc>
        <w:tc>
          <w:tcPr>
            <w:tcW w:w="2882" w:type="dxa"/>
            <w:noWrap w:val="0"/>
            <w:vAlign w:val="center"/>
          </w:tcPr>
          <w:p w14:paraId="610FCD1C">
            <w:pPr>
              <w:keepNext w:val="0"/>
              <w:keepLines w:val="0"/>
              <w:suppressLineNumbers w:val="0"/>
              <w:spacing w:before="0" w:beforeAutospacing="0" w:after="0" w:afterAutospacing="0" w:line="300" w:lineRule="exact"/>
              <w:ind w:left="0" w:right="0"/>
              <w:jc w:val="center"/>
              <w:rPr>
                <w:rFonts w:hint="eastAsia" w:ascii="宋体" w:cs="宋体"/>
                <w:sz w:val="24"/>
                <w:szCs w:val="24"/>
                <w:lang w:val="en"/>
              </w:rPr>
            </w:pPr>
          </w:p>
        </w:tc>
        <w:tc>
          <w:tcPr>
            <w:tcW w:w="1000" w:type="dxa"/>
            <w:noWrap w:val="0"/>
            <w:vAlign w:val="center"/>
          </w:tcPr>
          <w:p w14:paraId="00B9D416">
            <w:pPr>
              <w:keepNext w:val="0"/>
              <w:keepLines w:val="0"/>
              <w:suppressLineNumbers w:val="0"/>
              <w:spacing w:before="0" w:beforeAutospacing="0" w:after="0" w:afterAutospacing="0" w:line="300" w:lineRule="exact"/>
              <w:ind w:left="0" w:right="0"/>
              <w:jc w:val="center"/>
              <w:rPr>
                <w:rFonts w:hint="eastAsia" w:ascii="宋体" w:cs="宋体"/>
                <w:sz w:val="24"/>
                <w:szCs w:val="24"/>
              </w:rPr>
            </w:pPr>
          </w:p>
        </w:tc>
      </w:tr>
      <w:tr w14:paraId="70899B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exact"/>
          <w:jc w:val="center"/>
        </w:trPr>
        <w:tc>
          <w:tcPr>
            <w:tcW w:w="1131" w:type="dxa"/>
            <w:noWrap w:val="0"/>
            <w:vAlign w:val="center"/>
          </w:tcPr>
          <w:p w14:paraId="73AB0F06">
            <w:pPr>
              <w:keepNext w:val="0"/>
              <w:keepLines w:val="0"/>
              <w:suppressLineNumbers w:val="0"/>
              <w:spacing w:before="0" w:beforeAutospacing="0" w:after="0" w:afterAutospacing="0" w:line="300" w:lineRule="exact"/>
              <w:ind w:left="0" w:right="0"/>
              <w:jc w:val="center"/>
              <w:rPr>
                <w:rFonts w:hint="eastAsia" w:ascii="宋体" w:cs="宋体"/>
                <w:sz w:val="24"/>
                <w:szCs w:val="24"/>
              </w:rPr>
            </w:pPr>
            <w:r>
              <w:rPr>
                <w:rFonts w:hint="eastAsia" w:ascii="宋体" w:cs="宋体"/>
                <w:sz w:val="24"/>
                <w:szCs w:val="24"/>
              </w:rPr>
              <w:t>……</w:t>
            </w:r>
          </w:p>
        </w:tc>
        <w:tc>
          <w:tcPr>
            <w:tcW w:w="3871" w:type="dxa"/>
            <w:noWrap w:val="0"/>
            <w:vAlign w:val="center"/>
          </w:tcPr>
          <w:p w14:paraId="72E5DC58">
            <w:pPr>
              <w:keepNext w:val="0"/>
              <w:keepLines w:val="0"/>
              <w:suppressLineNumbers w:val="0"/>
              <w:spacing w:before="0" w:beforeAutospacing="0" w:after="0" w:afterAutospacing="0" w:line="300" w:lineRule="exact"/>
              <w:ind w:left="0" w:right="0"/>
              <w:jc w:val="center"/>
              <w:rPr>
                <w:rFonts w:hint="eastAsia" w:ascii="宋体" w:cs="宋体"/>
                <w:sz w:val="24"/>
                <w:szCs w:val="24"/>
                <w:lang w:val="en"/>
              </w:rPr>
            </w:pPr>
          </w:p>
        </w:tc>
        <w:tc>
          <w:tcPr>
            <w:tcW w:w="2882" w:type="dxa"/>
            <w:noWrap w:val="0"/>
            <w:vAlign w:val="center"/>
          </w:tcPr>
          <w:p w14:paraId="669B19A5">
            <w:pPr>
              <w:keepNext w:val="0"/>
              <w:keepLines w:val="0"/>
              <w:suppressLineNumbers w:val="0"/>
              <w:spacing w:before="0" w:beforeAutospacing="0" w:after="0" w:afterAutospacing="0" w:line="300" w:lineRule="exact"/>
              <w:ind w:left="0" w:right="0"/>
              <w:jc w:val="center"/>
              <w:rPr>
                <w:rFonts w:hint="eastAsia" w:ascii="宋体" w:cs="宋体"/>
                <w:sz w:val="24"/>
                <w:szCs w:val="24"/>
                <w:lang w:val="en"/>
              </w:rPr>
            </w:pPr>
          </w:p>
        </w:tc>
        <w:tc>
          <w:tcPr>
            <w:tcW w:w="1000" w:type="dxa"/>
            <w:noWrap w:val="0"/>
            <w:vAlign w:val="center"/>
          </w:tcPr>
          <w:p w14:paraId="7DDD1761">
            <w:pPr>
              <w:keepNext w:val="0"/>
              <w:keepLines w:val="0"/>
              <w:suppressLineNumbers w:val="0"/>
              <w:spacing w:before="0" w:beforeAutospacing="0" w:after="0" w:afterAutospacing="0" w:line="300" w:lineRule="exact"/>
              <w:ind w:left="0" w:right="0"/>
              <w:jc w:val="center"/>
              <w:rPr>
                <w:rFonts w:hint="eastAsia" w:ascii="宋体" w:cs="宋体"/>
                <w:sz w:val="24"/>
                <w:szCs w:val="24"/>
              </w:rPr>
            </w:pPr>
          </w:p>
        </w:tc>
      </w:tr>
    </w:tbl>
    <w:p w14:paraId="151B7960">
      <w:pPr>
        <w:spacing w:line="400" w:lineRule="exact"/>
        <w:jc w:val="left"/>
        <w:rPr>
          <w:rFonts w:hint="eastAsia" w:ascii="宋体" w:cs="宋体"/>
          <w:szCs w:val="21"/>
        </w:rPr>
      </w:pPr>
      <w:r>
        <w:rPr>
          <w:rFonts w:hint="eastAsia" w:ascii="宋体" w:cs="宋体"/>
          <w:szCs w:val="21"/>
        </w:rPr>
        <w:t>备注：项目资金末端分配点位包括市（州）本级、县（市、区）、省级部门下属单位及一次性单位等。</w:t>
      </w:r>
    </w:p>
    <w:p w14:paraId="53B90F6E">
      <w:pPr>
        <w:snapToGrid w:val="0"/>
        <w:spacing w:line="578" w:lineRule="exact"/>
        <w:rPr>
          <w:rFonts w:eastAsia="黑体"/>
          <w:sz w:val="32"/>
          <w:szCs w:val="24"/>
        </w:rPr>
      </w:pPr>
      <w:r>
        <w:rPr>
          <w:rFonts w:hint="eastAsia" w:eastAsia="仿宋_GB2312"/>
          <w:sz w:val="32"/>
          <w:szCs w:val="24"/>
        </w:rPr>
        <w:br w:type="page"/>
      </w:r>
      <w:r>
        <w:rPr>
          <w:rFonts w:ascii="黑体" w:eastAsia="黑体" w:cs="黑体"/>
          <w:kern w:val="0"/>
          <w:sz w:val="32"/>
          <w:szCs w:val="32"/>
          <w:shd w:val="clear" w:color="auto" w:fill="FFFFFF"/>
          <w:lang w:val="zh-CN"/>
        </w:rPr>
        <w:t>附</w:t>
      </w:r>
      <w:r>
        <w:rPr>
          <w:rFonts w:hint="eastAsia" w:ascii="黑体" w:eastAsia="黑体" w:cs="黑体"/>
          <w:kern w:val="0"/>
          <w:sz w:val="32"/>
          <w:szCs w:val="32"/>
          <w:shd w:val="clear" w:color="auto" w:fill="FFFFFF"/>
          <w:lang w:val="zh-CN"/>
        </w:rPr>
        <w:t>件</w:t>
      </w:r>
      <w:r>
        <w:rPr>
          <w:rFonts w:ascii="黑体" w:eastAsia="黑体" w:cs="黑体"/>
          <w:kern w:val="0"/>
          <w:sz w:val="32"/>
          <w:szCs w:val="32"/>
          <w:shd w:val="clear" w:color="auto" w:fill="FFFFFF"/>
          <w:lang w:val="zh-CN"/>
        </w:rPr>
        <w:t>2</w:t>
      </w:r>
    </w:p>
    <w:tbl>
      <w:tblPr>
        <w:tblStyle w:val="20"/>
        <w:tblW w:w="10233" w:type="dxa"/>
        <w:jc w:val="center"/>
        <w:tblLayout w:type="fixed"/>
        <w:tblCellMar>
          <w:top w:w="15" w:type="dxa"/>
          <w:left w:w="15" w:type="dxa"/>
          <w:bottom w:w="15" w:type="dxa"/>
          <w:right w:w="15" w:type="dxa"/>
        </w:tblCellMar>
      </w:tblPr>
      <w:tblGrid>
        <w:gridCol w:w="652"/>
        <w:gridCol w:w="1081"/>
        <w:gridCol w:w="1250"/>
        <w:gridCol w:w="1312"/>
        <w:gridCol w:w="1127"/>
        <w:gridCol w:w="971"/>
        <w:gridCol w:w="1061"/>
        <w:gridCol w:w="938"/>
        <w:gridCol w:w="1841"/>
      </w:tblGrid>
      <w:tr w14:paraId="28F0F5D3">
        <w:tblPrEx>
          <w:tblCellMar>
            <w:top w:w="15" w:type="dxa"/>
            <w:left w:w="15" w:type="dxa"/>
            <w:bottom w:w="15" w:type="dxa"/>
            <w:right w:w="15" w:type="dxa"/>
          </w:tblCellMar>
        </w:tblPrEx>
        <w:trPr>
          <w:trHeight w:val="576" w:hRule="atLeast"/>
          <w:jc w:val="center"/>
        </w:trPr>
        <w:tc>
          <w:tcPr>
            <w:tcW w:w="10233" w:type="dxa"/>
            <w:gridSpan w:val="9"/>
            <w:tcBorders>
              <w:top w:val="nil"/>
              <w:left w:val="nil"/>
              <w:bottom w:val="nil"/>
              <w:right w:val="nil"/>
            </w:tcBorders>
            <w:noWrap w:val="0"/>
            <w:vAlign w:val="center"/>
          </w:tcPr>
          <w:p w14:paraId="52A75AD3">
            <w:pPr>
              <w:keepNext w:val="0"/>
              <w:keepLines w:val="0"/>
              <w:suppressLineNumbers w:val="0"/>
              <w:spacing w:before="0" w:beforeAutospacing="0" w:after="0" w:afterAutospacing="0" w:line="576" w:lineRule="exact"/>
              <w:ind w:left="0" w:right="0"/>
              <w:jc w:val="center"/>
              <w:rPr>
                <w:rFonts w:hint="eastAsia" w:ascii="方正小标宋简体" w:eastAsia="方正小标宋简体" w:cs="方正小标宋_GBK"/>
                <w:sz w:val="44"/>
                <w:szCs w:val="44"/>
              </w:rPr>
            </w:pPr>
            <w:r>
              <w:rPr>
                <w:rFonts w:hint="eastAsia" w:ascii="方正小标宋简体" w:eastAsia="方正小标宋简体" w:cs="方正小标宋_GBK"/>
                <w:sz w:val="44"/>
                <w:szCs w:val="44"/>
              </w:rPr>
              <w:t>专项预算项目绩效目标完成情况自评表</w:t>
            </w:r>
          </w:p>
        </w:tc>
      </w:tr>
      <w:tr w14:paraId="12BDDA75">
        <w:tblPrEx>
          <w:tblCellMar>
            <w:top w:w="15" w:type="dxa"/>
            <w:left w:w="15" w:type="dxa"/>
            <w:bottom w:w="15" w:type="dxa"/>
            <w:right w:w="15" w:type="dxa"/>
          </w:tblCellMar>
        </w:tblPrEx>
        <w:trPr>
          <w:trHeight w:val="23" w:hRule="atLeast"/>
          <w:jc w:val="center"/>
        </w:trPr>
        <w:tc>
          <w:tcPr>
            <w:tcW w:w="4295" w:type="dxa"/>
            <w:gridSpan w:val="4"/>
            <w:tcBorders>
              <w:top w:val="single" w:color="000000" w:sz="4" w:space="0"/>
              <w:left w:val="single" w:color="000000" w:sz="4" w:space="0"/>
              <w:bottom w:val="single" w:color="000000" w:sz="4" w:space="0"/>
              <w:right w:val="single" w:color="000000" w:sz="4" w:space="0"/>
            </w:tcBorders>
            <w:noWrap w:val="0"/>
            <w:vAlign w:val="center"/>
          </w:tcPr>
          <w:p w14:paraId="32E7FA0C">
            <w:pPr>
              <w:keepNext w:val="0"/>
              <w:keepLines w:val="0"/>
              <w:widowControl/>
              <w:suppressLineNumbers w:val="0"/>
              <w:spacing w:before="0" w:beforeAutospacing="0" w:after="0" w:afterAutospacing="0" w:line="300" w:lineRule="exact"/>
              <w:ind w:left="0" w:right="0"/>
              <w:jc w:val="left"/>
              <w:textAlignment w:val="center"/>
              <w:rPr>
                <w:rFonts w:hint="eastAsia" w:ascii="宋体" w:cs="宋体"/>
                <w:color w:val="000000"/>
                <w:sz w:val="24"/>
                <w:szCs w:val="24"/>
              </w:rPr>
            </w:pPr>
            <w:r>
              <w:rPr>
                <w:rFonts w:hint="eastAsia" w:ascii="宋体" w:cs="宋体"/>
                <w:color w:val="000000"/>
                <w:kern w:val="0"/>
                <w:sz w:val="24"/>
                <w:szCs w:val="24"/>
                <w:lang w:bidi="ar"/>
              </w:rPr>
              <w:t>项目名称</w:t>
            </w:r>
          </w:p>
        </w:tc>
        <w:tc>
          <w:tcPr>
            <w:tcW w:w="5938" w:type="dxa"/>
            <w:gridSpan w:val="5"/>
            <w:tcBorders>
              <w:top w:val="single" w:color="000000" w:sz="4" w:space="0"/>
              <w:left w:val="single" w:color="000000" w:sz="4" w:space="0"/>
              <w:bottom w:val="single" w:color="000000" w:sz="4" w:space="0"/>
              <w:right w:val="single" w:color="000000" w:sz="4" w:space="0"/>
            </w:tcBorders>
            <w:noWrap w:val="0"/>
            <w:vAlign w:val="center"/>
          </w:tcPr>
          <w:p w14:paraId="1CD19E43">
            <w:pPr>
              <w:keepNext w:val="0"/>
              <w:keepLines w:val="0"/>
              <w:suppressLineNumbers w:val="0"/>
              <w:spacing w:before="0" w:beforeAutospacing="0" w:after="0" w:afterAutospacing="0" w:line="300" w:lineRule="exact"/>
              <w:ind w:left="0" w:right="0"/>
              <w:rPr>
                <w:rFonts w:hint="eastAsia" w:ascii="宋体" w:cs="宋体"/>
                <w:color w:val="000000"/>
                <w:sz w:val="24"/>
                <w:szCs w:val="24"/>
              </w:rPr>
            </w:pPr>
            <w:r>
              <w:rPr>
                <w:rFonts w:hint="eastAsia" w:ascii="宋体" w:cs="宋体"/>
                <w:color w:val="000000"/>
                <w:sz w:val="24"/>
                <w:szCs w:val="24"/>
              </w:rPr>
              <w:t>两项改革“后半篇”文章涉改乡镇干部周转房建设项目</w:t>
            </w:r>
          </w:p>
        </w:tc>
      </w:tr>
      <w:tr w14:paraId="0F90C98A">
        <w:tblPrEx>
          <w:tblCellMar>
            <w:top w:w="15" w:type="dxa"/>
            <w:left w:w="15" w:type="dxa"/>
            <w:bottom w:w="15" w:type="dxa"/>
            <w:right w:w="15" w:type="dxa"/>
          </w:tblCellMar>
        </w:tblPrEx>
        <w:trPr>
          <w:trHeight w:val="23" w:hRule="atLeast"/>
          <w:jc w:val="center"/>
        </w:trPr>
        <w:tc>
          <w:tcPr>
            <w:tcW w:w="4295" w:type="dxa"/>
            <w:gridSpan w:val="4"/>
            <w:tcBorders>
              <w:top w:val="single" w:color="000000" w:sz="4" w:space="0"/>
              <w:left w:val="single" w:color="000000" w:sz="4" w:space="0"/>
              <w:bottom w:val="single" w:color="000000" w:sz="4" w:space="0"/>
              <w:right w:val="single" w:color="000000" w:sz="4" w:space="0"/>
            </w:tcBorders>
            <w:noWrap w:val="0"/>
            <w:vAlign w:val="center"/>
          </w:tcPr>
          <w:p w14:paraId="740EAB0D">
            <w:pPr>
              <w:keepNext w:val="0"/>
              <w:keepLines w:val="0"/>
              <w:widowControl/>
              <w:suppressLineNumbers w:val="0"/>
              <w:spacing w:before="0" w:beforeAutospacing="0" w:after="0" w:afterAutospacing="0" w:line="300" w:lineRule="exact"/>
              <w:ind w:left="0" w:right="0"/>
              <w:jc w:val="left"/>
              <w:textAlignment w:val="center"/>
              <w:rPr>
                <w:rFonts w:hint="eastAsia" w:ascii="宋体" w:cs="宋体"/>
                <w:color w:val="000000"/>
                <w:sz w:val="24"/>
                <w:szCs w:val="24"/>
              </w:rPr>
            </w:pPr>
            <w:r>
              <w:rPr>
                <w:rFonts w:hint="eastAsia" w:ascii="宋体" w:cs="宋体"/>
                <w:color w:val="000000"/>
                <w:kern w:val="0"/>
                <w:sz w:val="24"/>
                <w:szCs w:val="24"/>
                <w:lang w:bidi="ar"/>
              </w:rPr>
              <w:t>预算单位</w:t>
            </w:r>
          </w:p>
        </w:tc>
        <w:tc>
          <w:tcPr>
            <w:tcW w:w="5938" w:type="dxa"/>
            <w:gridSpan w:val="5"/>
            <w:tcBorders>
              <w:top w:val="single" w:color="000000" w:sz="4" w:space="0"/>
              <w:left w:val="single" w:color="000000" w:sz="4" w:space="0"/>
              <w:bottom w:val="single" w:color="000000" w:sz="4" w:space="0"/>
              <w:right w:val="single" w:color="000000" w:sz="4" w:space="0"/>
            </w:tcBorders>
            <w:noWrap w:val="0"/>
            <w:vAlign w:val="center"/>
          </w:tcPr>
          <w:p w14:paraId="5E4E6B14">
            <w:pPr>
              <w:keepNext w:val="0"/>
              <w:keepLines w:val="0"/>
              <w:suppressLineNumbers w:val="0"/>
              <w:spacing w:before="0" w:beforeAutospacing="0" w:after="0" w:afterAutospacing="0" w:line="300" w:lineRule="exact"/>
              <w:ind w:left="0" w:right="0"/>
              <w:rPr>
                <w:rFonts w:hint="eastAsia" w:ascii="宋体" w:cs="宋体"/>
                <w:color w:val="000000"/>
                <w:sz w:val="24"/>
                <w:szCs w:val="24"/>
              </w:rPr>
            </w:pPr>
            <w:r>
              <w:rPr>
                <w:rFonts w:hint="eastAsia" w:ascii="宋体" w:cs="宋体"/>
                <w:color w:val="000000"/>
                <w:sz w:val="24"/>
                <w:szCs w:val="24"/>
              </w:rPr>
              <w:t>苍溪县、剑阁县</w:t>
            </w:r>
          </w:p>
        </w:tc>
      </w:tr>
      <w:tr w14:paraId="40DA6231">
        <w:tblPrEx>
          <w:tblCellMar>
            <w:top w:w="15" w:type="dxa"/>
            <w:left w:w="15" w:type="dxa"/>
            <w:bottom w:w="15" w:type="dxa"/>
            <w:right w:w="15" w:type="dxa"/>
          </w:tblCellMar>
        </w:tblPrEx>
        <w:trPr>
          <w:trHeight w:val="23" w:hRule="atLeast"/>
          <w:jc w:val="center"/>
        </w:trPr>
        <w:tc>
          <w:tcPr>
            <w:tcW w:w="4295" w:type="dxa"/>
            <w:gridSpan w:val="4"/>
            <w:tcBorders>
              <w:top w:val="single" w:color="000000" w:sz="4" w:space="0"/>
              <w:left w:val="single" w:color="000000" w:sz="4" w:space="0"/>
              <w:bottom w:val="single" w:color="000000" w:sz="4" w:space="0"/>
              <w:right w:val="single" w:color="000000" w:sz="4" w:space="0"/>
            </w:tcBorders>
            <w:noWrap w:val="0"/>
            <w:vAlign w:val="center"/>
          </w:tcPr>
          <w:p w14:paraId="20F67775">
            <w:pPr>
              <w:keepNext w:val="0"/>
              <w:keepLines w:val="0"/>
              <w:widowControl/>
              <w:suppressLineNumbers w:val="0"/>
              <w:spacing w:before="0" w:beforeAutospacing="0" w:after="0" w:afterAutospacing="0" w:line="300" w:lineRule="exact"/>
              <w:ind w:left="0" w:right="0"/>
              <w:jc w:val="left"/>
              <w:textAlignment w:val="center"/>
              <w:rPr>
                <w:rFonts w:hint="eastAsia" w:ascii="宋体" w:cs="宋体"/>
                <w:color w:val="000000"/>
                <w:sz w:val="24"/>
                <w:szCs w:val="24"/>
              </w:rPr>
            </w:pPr>
            <w:r>
              <w:rPr>
                <w:rFonts w:hint="eastAsia" w:ascii="宋体" w:cs="宋体"/>
                <w:color w:val="000000"/>
                <w:kern w:val="0"/>
                <w:sz w:val="24"/>
                <w:szCs w:val="24"/>
                <w:lang w:bidi="ar"/>
              </w:rPr>
              <w:t>项目类型</w:t>
            </w:r>
          </w:p>
        </w:tc>
        <w:tc>
          <w:tcPr>
            <w:tcW w:w="5938" w:type="dxa"/>
            <w:gridSpan w:val="5"/>
            <w:tcBorders>
              <w:top w:val="single" w:color="000000" w:sz="4" w:space="0"/>
              <w:left w:val="single" w:color="000000" w:sz="4" w:space="0"/>
              <w:bottom w:val="single" w:color="000000" w:sz="4" w:space="0"/>
              <w:right w:val="single" w:color="000000" w:sz="4" w:space="0"/>
            </w:tcBorders>
            <w:noWrap w:val="0"/>
            <w:vAlign w:val="center"/>
          </w:tcPr>
          <w:p w14:paraId="6EFEDBEF">
            <w:pPr>
              <w:keepNext w:val="0"/>
              <w:keepLines w:val="0"/>
              <w:suppressLineNumbers w:val="0"/>
              <w:spacing w:before="0" w:beforeAutospacing="0" w:after="0" w:afterAutospacing="0" w:line="300" w:lineRule="exact"/>
              <w:ind w:left="0" w:right="0"/>
              <w:jc w:val="left"/>
              <w:rPr>
                <w:rFonts w:hint="eastAsia" w:ascii="宋体" w:cs="宋体"/>
                <w:color w:val="000000"/>
                <w:sz w:val="24"/>
                <w:szCs w:val="24"/>
              </w:rPr>
            </w:pPr>
            <w:r>
              <w:rPr>
                <w:rFonts w:hint="eastAsia" w:ascii="宋体" w:cs="宋体"/>
                <w:color w:val="000000"/>
                <w:sz w:val="24"/>
                <w:szCs w:val="24"/>
              </w:rPr>
              <w:t>新建项目</w:t>
            </w:r>
          </w:p>
        </w:tc>
      </w:tr>
      <w:tr w14:paraId="77BE77BB">
        <w:tblPrEx>
          <w:tblCellMar>
            <w:top w:w="15" w:type="dxa"/>
            <w:left w:w="15" w:type="dxa"/>
            <w:bottom w:w="15" w:type="dxa"/>
            <w:right w:w="15" w:type="dxa"/>
          </w:tblCellMar>
        </w:tblPrEx>
        <w:trPr>
          <w:trHeight w:val="23" w:hRule="atLeast"/>
          <w:jc w:val="center"/>
        </w:trPr>
        <w:tc>
          <w:tcPr>
            <w:tcW w:w="652" w:type="dxa"/>
            <w:vMerge w:val="restart"/>
            <w:tcBorders>
              <w:top w:val="single" w:color="000000" w:sz="4" w:space="0"/>
              <w:left w:val="single" w:color="000000" w:sz="4" w:space="0"/>
              <w:bottom w:val="single" w:color="000000" w:sz="4" w:space="0"/>
              <w:right w:val="single" w:color="000000" w:sz="4" w:space="0"/>
            </w:tcBorders>
            <w:noWrap w:val="0"/>
            <w:vAlign w:val="center"/>
          </w:tcPr>
          <w:p w14:paraId="7E5E4AD9">
            <w:pPr>
              <w:keepNext w:val="0"/>
              <w:keepLines w:val="0"/>
              <w:widowControl/>
              <w:suppressLineNumbers w:val="0"/>
              <w:spacing w:before="0" w:beforeAutospacing="0" w:after="0" w:afterAutospacing="0" w:line="300" w:lineRule="exact"/>
              <w:ind w:left="0" w:right="0"/>
              <w:jc w:val="center"/>
              <w:textAlignment w:val="center"/>
              <w:rPr>
                <w:rFonts w:hint="eastAsia" w:ascii="宋体" w:cs="宋体"/>
                <w:color w:val="000000"/>
                <w:sz w:val="24"/>
                <w:szCs w:val="24"/>
              </w:rPr>
            </w:pPr>
            <w:r>
              <w:rPr>
                <w:rFonts w:hint="eastAsia" w:ascii="宋体" w:cs="宋体"/>
                <w:color w:val="000000"/>
                <w:kern w:val="0"/>
                <w:sz w:val="24"/>
                <w:szCs w:val="24"/>
                <w:lang w:bidi="ar"/>
              </w:rPr>
              <w:t>项目 概况</w:t>
            </w:r>
          </w:p>
        </w:tc>
        <w:tc>
          <w:tcPr>
            <w:tcW w:w="3643" w:type="dxa"/>
            <w:gridSpan w:val="3"/>
            <w:tcBorders>
              <w:top w:val="single" w:color="000000" w:sz="4" w:space="0"/>
              <w:left w:val="single" w:color="000000" w:sz="4" w:space="0"/>
              <w:bottom w:val="single" w:color="000000" w:sz="4" w:space="0"/>
              <w:right w:val="single" w:color="000000" w:sz="4" w:space="0"/>
            </w:tcBorders>
            <w:noWrap w:val="0"/>
            <w:vAlign w:val="center"/>
          </w:tcPr>
          <w:p w14:paraId="0C549D69">
            <w:pPr>
              <w:keepNext w:val="0"/>
              <w:keepLines w:val="0"/>
              <w:widowControl/>
              <w:suppressLineNumbers w:val="0"/>
              <w:spacing w:before="0" w:beforeAutospacing="0" w:after="0" w:afterAutospacing="0" w:line="300" w:lineRule="exact"/>
              <w:ind w:left="0" w:right="0"/>
              <w:jc w:val="left"/>
              <w:textAlignment w:val="center"/>
              <w:rPr>
                <w:rFonts w:hint="eastAsia" w:ascii="宋体" w:cs="宋体"/>
                <w:color w:val="000000"/>
                <w:kern w:val="0"/>
                <w:sz w:val="24"/>
                <w:szCs w:val="24"/>
                <w:lang w:bidi="ar"/>
              </w:rPr>
            </w:pPr>
            <w:r>
              <w:rPr>
                <w:rFonts w:hint="eastAsia" w:ascii="宋体" w:cs="宋体"/>
                <w:color w:val="000000"/>
                <w:kern w:val="0"/>
                <w:sz w:val="24"/>
                <w:szCs w:val="24"/>
                <w:lang w:bidi="ar"/>
              </w:rPr>
              <w:t>中长期规划（名称、文号，仅指</w:t>
            </w:r>
          </w:p>
          <w:p w14:paraId="308CF27A">
            <w:pPr>
              <w:keepNext w:val="0"/>
              <w:keepLines w:val="0"/>
              <w:widowControl/>
              <w:suppressLineNumbers w:val="0"/>
              <w:spacing w:before="0" w:beforeAutospacing="0" w:after="0" w:afterAutospacing="0" w:line="300" w:lineRule="exact"/>
              <w:ind w:left="0" w:right="0"/>
              <w:jc w:val="left"/>
              <w:textAlignment w:val="center"/>
              <w:rPr>
                <w:rFonts w:hint="eastAsia" w:ascii="宋体" w:cs="宋体"/>
                <w:color w:val="000000"/>
                <w:sz w:val="24"/>
                <w:szCs w:val="24"/>
              </w:rPr>
            </w:pPr>
            <w:r>
              <w:rPr>
                <w:rFonts w:hint="eastAsia" w:ascii="宋体" w:cs="宋体"/>
                <w:color w:val="000000"/>
                <w:kern w:val="0"/>
                <w:sz w:val="24"/>
                <w:szCs w:val="24"/>
                <w:lang w:bidi="ar"/>
              </w:rPr>
              <w:t>常年项目）</w:t>
            </w:r>
          </w:p>
        </w:tc>
        <w:tc>
          <w:tcPr>
            <w:tcW w:w="5938" w:type="dxa"/>
            <w:gridSpan w:val="5"/>
            <w:tcBorders>
              <w:top w:val="single" w:color="000000" w:sz="4" w:space="0"/>
              <w:left w:val="single" w:color="000000" w:sz="4" w:space="0"/>
              <w:bottom w:val="single" w:color="000000" w:sz="4" w:space="0"/>
              <w:right w:val="single" w:color="000000" w:sz="4" w:space="0"/>
            </w:tcBorders>
            <w:noWrap w:val="0"/>
            <w:vAlign w:val="center"/>
          </w:tcPr>
          <w:p w14:paraId="69F4782E">
            <w:pPr>
              <w:keepNext w:val="0"/>
              <w:keepLines w:val="0"/>
              <w:suppressLineNumbers w:val="0"/>
              <w:spacing w:before="0" w:beforeAutospacing="0" w:after="0" w:afterAutospacing="0" w:line="300" w:lineRule="exact"/>
              <w:ind w:left="0" w:right="0"/>
              <w:jc w:val="left"/>
              <w:rPr>
                <w:rFonts w:hint="eastAsia" w:ascii="宋体" w:cs="宋体"/>
                <w:color w:val="000000"/>
                <w:sz w:val="24"/>
                <w:szCs w:val="24"/>
              </w:rPr>
            </w:pPr>
            <w:r>
              <w:rPr>
                <w:rFonts w:hint="eastAsia" w:ascii="宋体" w:cs="宋体"/>
                <w:color w:val="000000"/>
                <w:sz w:val="24"/>
                <w:szCs w:val="24"/>
              </w:rPr>
              <w:t>《关于印发&lt;优化乡镇机构编制资源配置&gt;等25个工作方案的通知》（川两改组〔2021〕2号）</w:t>
            </w:r>
          </w:p>
        </w:tc>
      </w:tr>
      <w:tr w14:paraId="445CDE49">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noWrap w:val="0"/>
            <w:vAlign w:val="center"/>
          </w:tcPr>
          <w:p w14:paraId="2FEC1900">
            <w:pPr>
              <w:keepNext w:val="0"/>
              <w:keepLines w:val="0"/>
              <w:suppressLineNumbers w:val="0"/>
              <w:spacing w:before="0" w:beforeAutospacing="0" w:after="0" w:afterAutospacing="0"/>
              <w:ind w:left="0" w:right="0"/>
              <w:rPr>
                <w:rFonts w:hint="default"/>
              </w:rPr>
            </w:pPr>
          </w:p>
        </w:tc>
        <w:tc>
          <w:tcPr>
            <w:tcW w:w="3643" w:type="dxa"/>
            <w:gridSpan w:val="3"/>
            <w:tcBorders>
              <w:top w:val="single" w:color="000000" w:sz="4" w:space="0"/>
              <w:left w:val="single" w:color="000000" w:sz="4" w:space="0"/>
              <w:bottom w:val="single" w:color="000000" w:sz="4" w:space="0"/>
              <w:right w:val="single" w:color="000000" w:sz="4" w:space="0"/>
            </w:tcBorders>
            <w:noWrap w:val="0"/>
            <w:vAlign w:val="center"/>
          </w:tcPr>
          <w:p w14:paraId="4FA0B28C">
            <w:pPr>
              <w:keepNext w:val="0"/>
              <w:keepLines w:val="0"/>
              <w:widowControl/>
              <w:suppressLineNumbers w:val="0"/>
              <w:spacing w:before="0" w:beforeAutospacing="0" w:after="0" w:afterAutospacing="0" w:line="300" w:lineRule="exact"/>
              <w:ind w:left="0" w:right="0"/>
              <w:jc w:val="left"/>
              <w:textAlignment w:val="center"/>
              <w:rPr>
                <w:rFonts w:hint="eastAsia" w:ascii="宋体" w:cs="宋体"/>
                <w:color w:val="000000"/>
                <w:sz w:val="24"/>
                <w:szCs w:val="24"/>
              </w:rPr>
            </w:pPr>
            <w:r>
              <w:rPr>
                <w:rFonts w:hint="eastAsia" w:ascii="宋体" w:cs="宋体"/>
                <w:color w:val="000000"/>
                <w:kern w:val="0"/>
                <w:sz w:val="24"/>
                <w:szCs w:val="24"/>
                <w:lang w:bidi="ar"/>
              </w:rPr>
              <w:t>资金管理办法（名称、文号）</w:t>
            </w:r>
          </w:p>
        </w:tc>
        <w:tc>
          <w:tcPr>
            <w:tcW w:w="5938" w:type="dxa"/>
            <w:gridSpan w:val="5"/>
            <w:tcBorders>
              <w:top w:val="single" w:color="000000" w:sz="4" w:space="0"/>
              <w:left w:val="single" w:color="000000" w:sz="4" w:space="0"/>
              <w:bottom w:val="single" w:color="000000" w:sz="4" w:space="0"/>
              <w:right w:val="single" w:color="000000" w:sz="4" w:space="0"/>
            </w:tcBorders>
            <w:noWrap w:val="0"/>
            <w:vAlign w:val="center"/>
          </w:tcPr>
          <w:p w14:paraId="79ABBF2B">
            <w:pPr>
              <w:keepNext w:val="0"/>
              <w:keepLines w:val="0"/>
              <w:suppressLineNumbers w:val="0"/>
              <w:spacing w:before="0" w:beforeAutospacing="0" w:after="0" w:afterAutospacing="0" w:line="300" w:lineRule="exact"/>
              <w:ind w:left="0" w:right="0"/>
              <w:jc w:val="left"/>
              <w:rPr>
                <w:rFonts w:hint="eastAsia" w:ascii="宋体" w:cs="宋体"/>
                <w:color w:val="000000"/>
                <w:sz w:val="24"/>
                <w:szCs w:val="24"/>
              </w:rPr>
            </w:pPr>
            <w:r>
              <w:rPr>
                <w:rFonts w:hint="eastAsia" w:ascii="宋体" w:cs="宋体"/>
                <w:color w:val="000000"/>
                <w:sz w:val="24"/>
                <w:szCs w:val="24"/>
              </w:rPr>
              <w:t>《四川省涉改乡镇干部周转房省级预算内基本建设投资补助管理办法》（川发改投资〔2022〕333号）</w:t>
            </w:r>
          </w:p>
        </w:tc>
      </w:tr>
      <w:tr w14:paraId="6A7972E4">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noWrap w:val="0"/>
            <w:vAlign w:val="center"/>
          </w:tcPr>
          <w:p w14:paraId="0312879F">
            <w:pPr>
              <w:keepNext w:val="0"/>
              <w:keepLines w:val="0"/>
              <w:suppressLineNumbers w:val="0"/>
              <w:spacing w:before="0" w:beforeAutospacing="0" w:after="0" w:afterAutospacing="0"/>
              <w:ind w:left="0" w:right="0"/>
              <w:rPr>
                <w:rFonts w:hint="default"/>
              </w:rPr>
            </w:pPr>
          </w:p>
        </w:tc>
        <w:tc>
          <w:tcPr>
            <w:tcW w:w="3643" w:type="dxa"/>
            <w:gridSpan w:val="3"/>
            <w:tcBorders>
              <w:top w:val="single" w:color="000000" w:sz="4" w:space="0"/>
              <w:left w:val="single" w:color="000000" w:sz="4" w:space="0"/>
              <w:bottom w:val="single" w:color="000000" w:sz="4" w:space="0"/>
              <w:right w:val="single" w:color="000000" w:sz="4" w:space="0"/>
            </w:tcBorders>
            <w:noWrap w:val="0"/>
            <w:vAlign w:val="center"/>
          </w:tcPr>
          <w:p w14:paraId="1E2B7ED1">
            <w:pPr>
              <w:keepNext w:val="0"/>
              <w:keepLines w:val="0"/>
              <w:widowControl/>
              <w:suppressLineNumbers w:val="0"/>
              <w:spacing w:before="0" w:beforeAutospacing="0" w:after="0" w:afterAutospacing="0" w:line="300" w:lineRule="exact"/>
              <w:ind w:left="0" w:right="0"/>
              <w:jc w:val="left"/>
              <w:textAlignment w:val="center"/>
              <w:rPr>
                <w:rFonts w:hint="eastAsia" w:ascii="宋体" w:cs="宋体"/>
                <w:color w:val="000000"/>
                <w:sz w:val="24"/>
                <w:szCs w:val="24"/>
              </w:rPr>
            </w:pPr>
            <w:r>
              <w:rPr>
                <w:rFonts w:hint="eastAsia" w:ascii="宋体" w:cs="宋体"/>
                <w:color w:val="000000"/>
                <w:kern w:val="0"/>
                <w:sz w:val="24"/>
                <w:szCs w:val="24"/>
                <w:lang w:bidi="ar"/>
              </w:rPr>
              <w:t>绩效分配方式</w:t>
            </w:r>
          </w:p>
        </w:tc>
        <w:tc>
          <w:tcPr>
            <w:tcW w:w="1127" w:type="dxa"/>
            <w:tcBorders>
              <w:top w:val="single" w:color="000000" w:sz="4" w:space="0"/>
              <w:left w:val="single" w:color="000000" w:sz="4" w:space="0"/>
              <w:bottom w:val="single" w:color="000000" w:sz="4" w:space="0"/>
              <w:right w:val="single" w:color="000000" w:sz="4" w:space="0"/>
            </w:tcBorders>
            <w:noWrap w:val="0"/>
            <w:vAlign w:val="center"/>
          </w:tcPr>
          <w:p w14:paraId="743DF901">
            <w:pPr>
              <w:keepNext w:val="0"/>
              <w:keepLines w:val="0"/>
              <w:widowControl/>
              <w:suppressLineNumbers w:val="0"/>
              <w:spacing w:before="0" w:beforeAutospacing="0" w:after="0" w:afterAutospacing="0" w:line="300" w:lineRule="exact"/>
              <w:ind w:left="0" w:right="0"/>
              <w:jc w:val="left"/>
              <w:textAlignment w:val="center"/>
              <w:rPr>
                <w:rFonts w:hint="default" w:ascii="Wingdings 2" w:hAnsi="Wingdings 2" w:eastAsia="Wingdings 2" w:cs="Wingdings 2"/>
                <w:color w:val="000000"/>
                <w:sz w:val="24"/>
                <w:szCs w:val="24"/>
              </w:rPr>
            </w:pPr>
            <w:r>
              <w:rPr>
                <w:rFonts w:hint="default" w:ascii="Wingdings 2" w:hAnsi="Wingdings 2" w:eastAsia="Wingdings 2" w:cs="Wingdings 2"/>
                <w:color w:val="000000"/>
                <w:kern w:val="0"/>
                <w:sz w:val="24"/>
                <w:szCs w:val="24"/>
                <w:lang w:bidi="ar"/>
              </w:rPr>
              <w:t></w:t>
            </w:r>
            <w:r>
              <w:rPr>
                <w:rFonts w:hint="eastAsia" w:ascii="宋体" w:cs="宋体"/>
                <w:color w:val="000000"/>
                <w:kern w:val="0"/>
                <w:sz w:val="24"/>
                <w:szCs w:val="24"/>
                <w:lang w:bidi="ar"/>
              </w:rPr>
              <w:t>因素法</w:t>
            </w:r>
          </w:p>
        </w:tc>
        <w:tc>
          <w:tcPr>
            <w:tcW w:w="2032" w:type="dxa"/>
            <w:gridSpan w:val="2"/>
            <w:tcBorders>
              <w:top w:val="single" w:color="000000" w:sz="4" w:space="0"/>
              <w:left w:val="single" w:color="000000" w:sz="4" w:space="0"/>
              <w:bottom w:val="single" w:color="000000" w:sz="4" w:space="0"/>
              <w:right w:val="single" w:color="000000" w:sz="4" w:space="0"/>
            </w:tcBorders>
            <w:noWrap w:val="0"/>
            <w:vAlign w:val="center"/>
          </w:tcPr>
          <w:p w14:paraId="6720D2C0">
            <w:pPr>
              <w:keepNext w:val="0"/>
              <w:keepLines w:val="0"/>
              <w:widowControl/>
              <w:suppressLineNumbers w:val="0"/>
              <w:spacing w:before="0" w:beforeAutospacing="0" w:after="0" w:afterAutospacing="0" w:line="300" w:lineRule="exact"/>
              <w:ind w:left="0" w:right="0"/>
              <w:jc w:val="center"/>
              <w:textAlignment w:val="center"/>
              <w:rPr>
                <w:rFonts w:hint="default" w:ascii="Wingdings 2" w:hAnsi="Wingdings 2" w:eastAsia="Wingdings 2" w:cs="Wingdings 2"/>
                <w:color w:val="000000"/>
                <w:sz w:val="24"/>
                <w:szCs w:val="24"/>
              </w:rPr>
            </w:pPr>
            <w:r>
              <w:rPr>
                <w:rFonts w:hint="default" w:ascii="Wingdings 2" w:hAnsi="Wingdings 2" w:eastAsia="Wingdings 2" w:cs="Wingdings 2"/>
                <w:color w:val="000000"/>
                <w:kern w:val="0"/>
                <w:sz w:val="24"/>
                <w:szCs w:val="24"/>
                <w:lang w:bidi="ar"/>
              </w:rPr>
              <w:sym w:font="Wingdings 2" w:char="0052"/>
            </w:r>
            <w:r>
              <w:rPr>
                <w:rFonts w:hint="default" w:ascii="Wingdings 2" w:hAnsi="Wingdings 2" w:eastAsia="Wingdings 2" w:cs="Wingdings 2"/>
                <w:color w:val="000000"/>
                <w:kern w:val="0"/>
                <w:sz w:val="24"/>
                <w:szCs w:val="24"/>
                <w:lang w:bidi="ar"/>
              </w:rPr>
              <w:t>项目法</w:t>
            </w:r>
          </w:p>
        </w:tc>
        <w:tc>
          <w:tcPr>
            <w:tcW w:w="938" w:type="dxa"/>
            <w:tcBorders>
              <w:top w:val="single" w:color="000000" w:sz="4" w:space="0"/>
              <w:left w:val="single" w:color="000000" w:sz="4" w:space="0"/>
              <w:bottom w:val="single" w:color="000000" w:sz="4" w:space="0"/>
              <w:right w:val="single" w:color="000000" w:sz="4" w:space="0"/>
            </w:tcBorders>
            <w:noWrap w:val="0"/>
            <w:vAlign w:val="center"/>
          </w:tcPr>
          <w:p w14:paraId="20E18C34">
            <w:pPr>
              <w:keepNext w:val="0"/>
              <w:keepLines w:val="0"/>
              <w:widowControl/>
              <w:suppressLineNumbers w:val="0"/>
              <w:spacing w:before="0" w:beforeAutospacing="0" w:after="0" w:afterAutospacing="0" w:line="300" w:lineRule="exact"/>
              <w:ind w:left="0" w:right="0"/>
              <w:jc w:val="center"/>
              <w:textAlignment w:val="center"/>
              <w:rPr>
                <w:rFonts w:hint="default" w:ascii="Wingdings 2" w:hAnsi="Wingdings 2" w:eastAsia="Wingdings 2" w:cs="Wingdings 2"/>
                <w:color w:val="000000"/>
                <w:sz w:val="24"/>
                <w:szCs w:val="24"/>
              </w:rPr>
            </w:pPr>
            <w:r>
              <w:rPr>
                <w:rFonts w:hint="default" w:ascii="Wingdings 2" w:hAnsi="Wingdings 2" w:eastAsia="Wingdings 2" w:cs="Wingdings 2"/>
                <w:color w:val="000000"/>
                <w:kern w:val="0"/>
                <w:sz w:val="24"/>
                <w:szCs w:val="24"/>
                <w:lang w:bidi="ar"/>
              </w:rPr>
              <w:t></w:t>
            </w:r>
            <w:r>
              <w:rPr>
                <w:rFonts w:hint="eastAsia" w:ascii="宋体" w:cs="宋体"/>
                <w:color w:val="000000"/>
                <w:kern w:val="0"/>
                <w:sz w:val="24"/>
                <w:szCs w:val="24"/>
                <w:lang w:bidi="ar"/>
              </w:rPr>
              <w:t>据实据效</w:t>
            </w:r>
          </w:p>
        </w:tc>
        <w:tc>
          <w:tcPr>
            <w:tcW w:w="1841" w:type="dxa"/>
            <w:tcBorders>
              <w:top w:val="single" w:color="000000" w:sz="4" w:space="0"/>
              <w:left w:val="single" w:color="000000" w:sz="4" w:space="0"/>
              <w:bottom w:val="single" w:color="000000" w:sz="4" w:space="0"/>
              <w:right w:val="single" w:color="000000" w:sz="4" w:space="0"/>
            </w:tcBorders>
            <w:noWrap w:val="0"/>
            <w:vAlign w:val="center"/>
          </w:tcPr>
          <w:p w14:paraId="2F7DA5FD">
            <w:pPr>
              <w:keepNext w:val="0"/>
              <w:keepLines w:val="0"/>
              <w:widowControl/>
              <w:suppressLineNumbers w:val="0"/>
              <w:spacing w:before="0" w:beforeAutospacing="0" w:after="0" w:afterAutospacing="0" w:line="300" w:lineRule="exact"/>
              <w:ind w:left="0" w:right="0"/>
              <w:jc w:val="center"/>
              <w:textAlignment w:val="center"/>
              <w:rPr>
                <w:rFonts w:hint="default" w:ascii="Wingdings 2" w:hAnsi="Wingdings 2" w:eastAsia="Wingdings 2" w:cs="Wingdings 2"/>
                <w:color w:val="000000"/>
                <w:sz w:val="24"/>
                <w:szCs w:val="24"/>
              </w:rPr>
            </w:pPr>
            <w:r>
              <w:rPr>
                <w:rFonts w:hint="default" w:ascii="Wingdings 2" w:hAnsi="Wingdings 2" w:eastAsia="Wingdings 2" w:cs="Wingdings 2"/>
                <w:color w:val="000000"/>
                <w:kern w:val="0"/>
                <w:sz w:val="24"/>
                <w:szCs w:val="24"/>
                <w:lang w:bidi="ar"/>
              </w:rPr>
              <w:t></w:t>
            </w:r>
            <w:r>
              <w:rPr>
                <w:rFonts w:hint="eastAsia" w:ascii="宋体" w:cs="宋体"/>
                <w:color w:val="000000"/>
                <w:kern w:val="0"/>
                <w:sz w:val="24"/>
                <w:szCs w:val="24"/>
                <w:lang w:bidi="ar"/>
              </w:rPr>
              <w:t>因素法与项目法相结合</w:t>
            </w:r>
          </w:p>
        </w:tc>
      </w:tr>
      <w:tr w14:paraId="1187B699">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noWrap w:val="0"/>
            <w:vAlign w:val="center"/>
          </w:tcPr>
          <w:p w14:paraId="63832E2B">
            <w:pPr>
              <w:keepNext w:val="0"/>
              <w:keepLines w:val="0"/>
              <w:suppressLineNumbers w:val="0"/>
              <w:spacing w:before="0" w:beforeAutospacing="0" w:after="0" w:afterAutospacing="0"/>
              <w:ind w:left="0" w:right="0"/>
              <w:rPr>
                <w:rFonts w:hint="default"/>
              </w:rPr>
            </w:pPr>
          </w:p>
        </w:tc>
        <w:tc>
          <w:tcPr>
            <w:tcW w:w="3643" w:type="dxa"/>
            <w:gridSpan w:val="3"/>
            <w:tcBorders>
              <w:top w:val="single" w:color="000000" w:sz="4" w:space="0"/>
              <w:left w:val="single" w:color="000000" w:sz="4" w:space="0"/>
              <w:bottom w:val="single" w:color="000000" w:sz="4" w:space="0"/>
              <w:right w:val="single" w:color="000000" w:sz="4" w:space="0"/>
            </w:tcBorders>
            <w:noWrap w:val="0"/>
            <w:vAlign w:val="center"/>
          </w:tcPr>
          <w:p w14:paraId="7CA4968E">
            <w:pPr>
              <w:keepNext w:val="0"/>
              <w:keepLines w:val="0"/>
              <w:widowControl/>
              <w:suppressLineNumbers w:val="0"/>
              <w:spacing w:before="0" w:beforeAutospacing="0" w:after="0" w:afterAutospacing="0" w:line="300" w:lineRule="exact"/>
              <w:ind w:left="0" w:right="0"/>
              <w:jc w:val="left"/>
              <w:textAlignment w:val="center"/>
              <w:rPr>
                <w:rFonts w:hint="eastAsia" w:ascii="宋体" w:cs="宋体"/>
                <w:color w:val="000000"/>
                <w:sz w:val="24"/>
                <w:szCs w:val="24"/>
              </w:rPr>
            </w:pPr>
            <w:r>
              <w:rPr>
                <w:rFonts w:hint="eastAsia" w:ascii="宋体" w:cs="宋体"/>
                <w:color w:val="000000"/>
                <w:kern w:val="0"/>
                <w:sz w:val="24"/>
                <w:szCs w:val="24"/>
                <w:lang w:bidi="ar"/>
              </w:rPr>
              <w:t>立项依据</w:t>
            </w:r>
          </w:p>
        </w:tc>
        <w:tc>
          <w:tcPr>
            <w:tcW w:w="5938" w:type="dxa"/>
            <w:gridSpan w:val="5"/>
            <w:tcBorders>
              <w:top w:val="single" w:color="000000" w:sz="4" w:space="0"/>
              <w:left w:val="single" w:color="000000" w:sz="4" w:space="0"/>
              <w:bottom w:val="single" w:color="000000" w:sz="4" w:space="0"/>
              <w:right w:val="single" w:color="000000" w:sz="4" w:space="0"/>
            </w:tcBorders>
            <w:noWrap w:val="0"/>
            <w:vAlign w:val="center"/>
          </w:tcPr>
          <w:p w14:paraId="107D988B">
            <w:pPr>
              <w:keepNext w:val="0"/>
              <w:keepLines w:val="0"/>
              <w:suppressLineNumbers w:val="0"/>
              <w:spacing w:before="0" w:beforeAutospacing="0" w:after="0" w:afterAutospacing="0" w:line="300" w:lineRule="exact"/>
              <w:ind w:left="0" w:right="0"/>
              <w:jc w:val="left"/>
              <w:rPr>
                <w:rFonts w:hint="eastAsia" w:ascii="宋体" w:cs="宋体"/>
                <w:color w:val="000000"/>
                <w:sz w:val="24"/>
                <w:szCs w:val="24"/>
              </w:rPr>
            </w:pPr>
            <w:r>
              <w:rPr>
                <w:rFonts w:hint="eastAsia" w:ascii="宋体" w:cs="宋体"/>
                <w:color w:val="000000"/>
                <w:sz w:val="24"/>
                <w:szCs w:val="24"/>
              </w:rPr>
              <w:t>《四川省涉改乡镇干部周转房省级预算内基本建设投资补助管理办法》（川发改投资〔2022〕333号）</w:t>
            </w:r>
          </w:p>
        </w:tc>
      </w:tr>
      <w:tr w14:paraId="6B910EB0">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noWrap w:val="0"/>
            <w:vAlign w:val="center"/>
          </w:tcPr>
          <w:p w14:paraId="13867F64">
            <w:pPr>
              <w:keepNext w:val="0"/>
              <w:keepLines w:val="0"/>
              <w:suppressLineNumbers w:val="0"/>
              <w:spacing w:before="0" w:beforeAutospacing="0" w:after="0" w:afterAutospacing="0"/>
              <w:ind w:left="0" w:right="0"/>
              <w:rPr>
                <w:rFonts w:hint="default"/>
              </w:rPr>
            </w:pPr>
          </w:p>
        </w:tc>
        <w:tc>
          <w:tcPr>
            <w:tcW w:w="3643" w:type="dxa"/>
            <w:gridSpan w:val="3"/>
            <w:tcBorders>
              <w:top w:val="single" w:color="000000" w:sz="4" w:space="0"/>
              <w:left w:val="single" w:color="000000" w:sz="4" w:space="0"/>
              <w:bottom w:val="single" w:color="000000" w:sz="4" w:space="0"/>
              <w:right w:val="single" w:color="000000" w:sz="4" w:space="0"/>
            </w:tcBorders>
            <w:noWrap w:val="0"/>
            <w:vAlign w:val="center"/>
          </w:tcPr>
          <w:p w14:paraId="4055D308">
            <w:pPr>
              <w:keepNext w:val="0"/>
              <w:keepLines w:val="0"/>
              <w:widowControl/>
              <w:suppressLineNumbers w:val="0"/>
              <w:spacing w:before="0" w:beforeAutospacing="0" w:after="0" w:afterAutospacing="0" w:line="300" w:lineRule="exact"/>
              <w:ind w:left="0" w:right="0"/>
              <w:jc w:val="left"/>
              <w:textAlignment w:val="center"/>
              <w:rPr>
                <w:rFonts w:hint="eastAsia" w:ascii="宋体" w:cs="宋体"/>
                <w:color w:val="000000"/>
                <w:sz w:val="24"/>
                <w:szCs w:val="24"/>
              </w:rPr>
            </w:pPr>
            <w:r>
              <w:rPr>
                <w:rFonts w:hint="eastAsia" w:ascii="宋体" w:cs="宋体"/>
                <w:color w:val="000000"/>
                <w:kern w:val="0"/>
                <w:sz w:val="24"/>
                <w:szCs w:val="24"/>
                <w:lang w:bidi="ar"/>
              </w:rPr>
              <w:t>使用范围</w:t>
            </w:r>
          </w:p>
        </w:tc>
        <w:tc>
          <w:tcPr>
            <w:tcW w:w="5938" w:type="dxa"/>
            <w:gridSpan w:val="5"/>
            <w:tcBorders>
              <w:top w:val="single" w:color="000000" w:sz="4" w:space="0"/>
              <w:left w:val="single" w:color="000000" w:sz="4" w:space="0"/>
              <w:bottom w:val="single" w:color="000000" w:sz="4" w:space="0"/>
              <w:right w:val="single" w:color="000000" w:sz="4" w:space="0"/>
            </w:tcBorders>
            <w:noWrap w:val="0"/>
            <w:vAlign w:val="center"/>
          </w:tcPr>
          <w:p w14:paraId="620D0DC3">
            <w:pPr>
              <w:keepNext w:val="0"/>
              <w:keepLines w:val="0"/>
              <w:suppressLineNumbers w:val="0"/>
              <w:spacing w:before="0" w:beforeAutospacing="0" w:after="0" w:afterAutospacing="0" w:line="300" w:lineRule="exact"/>
              <w:ind w:left="0" w:right="0"/>
              <w:jc w:val="left"/>
              <w:rPr>
                <w:rFonts w:hint="eastAsia" w:ascii="宋体" w:cs="宋体"/>
                <w:color w:val="000000"/>
                <w:sz w:val="24"/>
                <w:szCs w:val="24"/>
              </w:rPr>
            </w:pPr>
            <w:r>
              <w:rPr>
                <w:rFonts w:hint="eastAsia" w:ascii="宋体" w:cs="宋体"/>
                <w:color w:val="000000"/>
                <w:sz w:val="24"/>
                <w:szCs w:val="24"/>
              </w:rPr>
              <w:t>涉改乡镇干部周转房建设补助</w:t>
            </w:r>
          </w:p>
        </w:tc>
      </w:tr>
      <w:tr w14:paraId="6F42717B">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noWrap w:val="0"/>
            <w:vAlign w:val="center"/>
          </w:tcPr>
          <w:p w14:paraId="35482D7F">
            <w:pPr>
              <w:keepNext w:val="0"/>
              <w:keepLines w:val="0"/>
              <w:suppressLineNumbers w:val="0"/>
              <w:spacing w:before="0" w:beforeAutospacing="0" w:after="0" w:afterAutospacing="0"/>
              <w:ind w:left="0" w:right="0"/>
              <w:rPr>
                <w:rFonts w:hint="default"/>
              </w:rPr>
            </w:pPr>
          </w:p>
        </w:tc>
        <w:tc>
          <w:tcPr>
            <w:tcW w:w="3643" w:type="dxa"/>
            <w:gridSpan w:val="3"/>
            <w:tcBorders>
              <w:top w:val="single" w:color="000000" w:sz="4" w:space="0"/>
              <w:left w:val="single" w:color="000000" w:sz="4" w:space="0"/>
              <w:bottom w:val="single" w:color="000000" w:sz="4" w:space="0"/>
              <w:right w:val="single" w:color="000000" w:sz="4" w:space="0"/>
            </w:tcBorders>
            <w:noWrap w:val="0"/>
            <w:vAlign w:val="center"/>
          </w:tcPr>
          <w:p w14:paraId="3E97CC5A">
            <w:pPr>
              <w:keepNext w:val="0"/>
              <w:keepLines w:val="0"/>
              <w:widowControl/>
              <w:suppressLineNumbers w:val="0"/>
              <w:spacing w:before="0" w:beforeAutospacing="0" w:after="0" w:afterAutospacing="0" w:line="300" w:lineRule="exact"/>
              <w:ind w:left="0" w:right="0"/>
              <w:jc w:val="left"/>
              <w:textAlignment w:val="center"/>
              <w:rPr>
                <w:rFonts w:hint="eastAsia" w:ascii="宋体" w:cs="宋体"/>
                <w:color w:val="000000"/>
                <w:sz w:val="24"/>
                <w:szCs w:val="24"/>
              </w:rPr>
            </w:pPr>
            <w:r>
              <w:rPr>
                <w:rFonts w:hint="eastAsia" w:ascii="宋体" w:cs="宋体"/>
                <w:color w:val="000000"/>
                <w:kern w:val="0"/>
                <w:sz w:val="24"/>
                <w:szCs w:val="24"/>
                <w:lang w:bidi="ar"/>
              </w:rPr>
              <w:t>申报（补助）条件</w:t>
            </w:r>
          </w:p>
        </w:tc>
        <w:tc>
          <w:tcPr>
            <w:tcW w:w="5938" w:type="dxa"/>
            <w:gridSpan w:val="5"/>
            <w:tcBorders>
              <w:top w:val="single" w:color="000000" w:sz="4" w:space="0"/>
              <w:left w:val="single" w:color="000000" w:sz="4" w:space="0"/>
              <w:bottom w:val="single" w:color="000000" w:sz="4" w:space="0"/>
              <w:right w:val="single" w:color="000000" w:sz="4" w:space="0"/>
            </w:tcBorders>
            <w:noWrap w:val="0"/>
            <w:vAlign w:val="center"/>
          </w:tcPr>
          <w:p w14:paraId="4A99876D">
            <w:pPr>
              <w:keepNext w:val="0"/>
              <w:keepLines w:val="0"/>
              <w:suppressLineNumbers w:val="0"/>
              <w:spacing w:before="0" w:beforeAutospacing="0" w:after="0" w:afterAutospacing="0" w:line="300" w:lineRule="exact"/>
              <w:ind w:left="0" w:right="0"/>
              <w:jc w:val="left"/>
              <w:rPr>
                <w:rFonts w:hint="eastAsia" w:ascii="宋体" w:cs="宋体"/>
                <w:color w:val="000000"/>
                <w:sz w:val="24"/>
                <w:szCs w:val="24"/>
              </w:rPr>
            </w:pPr>
            <w:r>
              <w:rPr>
                <w:rFonts w:hint="eastAsia" w:ascii="宋体" w:cs="宋体"/>
                <w:color w:val="000000"/>
                <w:sz w:val="24"/>
                <w:szCs w:val="24"/>
              </w:rPr>
              <w:t>新建项目已完工并验收合格</w:t>
            </w:r>
          </w:p>
        </w:tc>
      </w:tr>
      <w:tr w14:paraId="7652FC33">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noWrap w:val="0"/>
            <w:vAlign w:val="center"/>
          </w:tcPr>
          <w:p w14:paraId="57B73243">
            <w:pPr>
              <w:keepNext w:val="0"/>
              <w:keepLines w:val="0"/>
              <w:suppressLineNumbers w:val="0"/>
              <w:spacing w:before="0" w:beforeAutospacing="0" w:after="0" w:afterAutospacing="0"/>
              <w:ind w:left="0" w:right="0"/>
              <w:rPr>
                <w:rFonts w:hint="default"/>
              </w:rPr>
            </w:pPr>
          </w:p>
        </w:tc>
        <w:tc>
          <w:tcPr>
            <w:tcW w:w="3643" w:type="dxa"/>
            <w:gridSpan w:val="3"/>
            <w:tcBorders>
              <w:top w:val="single" w:color="000000" w:sz="4" w:space="0"/>
              <w:left w:val="single" w:color="000000" w:sz="4" w:space="0"/>
              <w:bottom w:val="single" w:color="000000" w:sz="4" w:space="0"/>
              <w:right w:val="single" w:color="000000" w:sz="4" w:space="0"/>
            </w:tcBorders>
            <w:noWrap w:val="0"/>
            <w:vAlign w:val="center"/>
          </w:tcPr>
          <w:p w14:paraId="3B60BC08">
            <w:pPr>
              <w:keepNext w:val="0"/>
              <w:keepLines w:val="0"/>
              <w:widowControl/>
              <w:suppressLineNumbers w:val="0"/>
              <w:spacing w:before="0" w:beforeAutospacing="0" w:after="0" w:afterAutospacing="0" w:line="300" w:lineRule="exact"/>
              <w:ind w:left="0" w:right="0"/>
              <w:jc w:val="left"/>
              <w:textAlignment w:val="center"/>
              <w:rPr>
                <w:rFonts w:hint="eastAsia" w:ascii="宋体" w:cs="宋体"/>
                <w:color w:val="000000"/>
                <w:sz w:val="24"/>
                <w:szCs w:val="24"/>
              </w:rPr>
            </w:pPr>
            <w:r>
              <w:rPr>
                <w:rFonts w:hint="eastAsia" w:ascii="宋体" w:cs="宋体"/>
                <w:color w:val="000000"/>
                <w:kern w:val="0"/>
                <w:sz w:val="24"/>
                <w:szCs w:val="24"/>
                <w:lang w:bidi="ar"/>
              </w:rPr>
              <w:t>项目起止年限</w:t>
            </w:r>
          </w:p>
        </w:tc>
        <w:tc>
          <w:tcPr>
            <w:tcW w:w="5938" w:type="dxa"/>
            <w:gridSpan w:val="5"/>
            <w:tcBorders>
              <w:top w:val="single" w:color="000000" w:sz="4" w:space="0"/>
              <w:left w:val="single" w:color="000000" w:sz="4" w:space="0"/>
              <w:bottom w:val="single" w:color="000000" w:sz="4" w:space="0"/>
              <w:right w:val="single" w:color="000000" w:sz="4" w:space="0"/>
            </w:tcBorders>
            <w:noWrap w:val="0"/>
            <w:vAlign w:val="center"/>
          </w:tcPr>
          <w:p w14:paraId="4012E3DC">
            <w:pPr>
              <w:keepNext w:val="0"/>
              <w:keepLines w:val="0"/>
              <w:suppressLineNumbers w:val="0"/>
              <w:spacing w:before="0" w:beforeAutospacing="0" w:after="0" w:afterAutospacing="0" w:line="300" w:lineRule="exact"/>
              <w:ind w:left="0" w:right="0"/>
              <w:rPr>
                <w:rFonts w:hint="eastAsia" w:ascii="宋体" w:cs="宋体"/>
                <w:color w:val="000000"/>
                <w:sz w:val="24"/>
                <w:szCs w:val="24"/>
              </w:rPr>
            </w:pPr>
            <w:r>
              <w:rPr>
                <w:rFonts w:hint="eastAsia" w:ascii="宋体" w:cs="宋体"/>
                <w:color w:val="000000"/>
                <w:sz w:val="24"/>
                <w:szCs w:val="24"/>
              </w:rPr>
              <w:t>2022年—2023年</w:t>
            </w:r>
          </w:p>
        </w:tc>
      </w:tr>
      <w:tr w14:paraId="0D1913D8">
        <w:tblPrEx>
          <w:tblCellMar>
            <w:top w:w="15" w:type="dxa"/>
            <w:left w:w="15" w:type="dxa"/>
            <w:bottom w:w="15" w:type="dxa"/>
            <w:right w:w="15" w:type="dxa"/>
          </w:tblCellMar>
        </w:tblPrEx>
        <w:trPr>
          <w:trHeight w:val="23" w:hRule="atLeast"/>
          <w:jc w:val="center"/>
        </w:trPr>
        <w:tc>
          <w:tcPr>
            <w:tcW w:w="1733" w:type="dxa"/>
            <w:gridSpan w:val="2"/>
            <w:vMerge w:val="restart"/>
            <w:tcBorders>
              <w:top w:val="single" w:color="000000" w:sz="4" w:space="0"/>
              <w:left w:val="single" w:color="000000" w:sz="4" w:space="0"/>
              <w:bottom w:val="single" w:color="000000" w:sz="4" w:space="0"/>
              <w:right w:val="single" w:color="000000" w:sz="4" w:space="0"/>
            </w:tcBorders>
            <w:noWrap w:val="0"/>
            <w:vAlign w:val="center"/>
          </w:tcPr>
          <w:p w14:paraId="33A66EAF">
            <w:pPr>
              <w:keepNext w:val="0"/>
              <w:keepLines w:val="0"/>
              <w:widowControl/>
              <w:suppressLineNumbers w:val="0"/>
              <w:spacing w:before="0" w:beforeAutospacing="0" w:after="0" w:afterAutospacing="0" w:line="300" w:lineRule="exact"/>
              <w:ind w:left="0" w:right="0"/>
              <w:jc w:val="center"/>
              <w:textAlignment w:val="center"/>
              <w:rPr>
                <w:rFonts w:hint="eastAsia" w:ascii="宋体" w:cs="宋体"/>
                <w:color w:val="000000"/>
                <w:kern w:val="0"/>
                <w:sz w:val="24"/>
                <w:szCs w:val="24"/>
                <w:lang w:bidi="ar"/>
              </w:rPr>
            </w:pPr>
            <w:r>
              <w:rPr>
                <w:rFonts w:hint="eastAsia" w:ascii="宋体" w:cs="宋体"/>
                <w:color w:val="000000"/>
                <w:kern w:val="0"/>
                <w:sz w:val="24"/>
                <w:szCs w:val="24"/>
                <w:lang w:bidi="ar"/>
              </w:rPr>
              <w:t>项目资金</w:t>
            </w:r>
          </w:p>
          <w:p w14:paraId="288B7C5F">
            <w:pPr>
              <w:keepNext w:val="0"/>
              <w:keepLines w:val="0"/>
              <w:widowControl/>
              <w:suppressLineNumbers w:val="0"/>
              <w:spacing w:before="0" w:beforeAutospacing="0" w:after="0" w:afterAutospacing="0" w:line="300" w:lineRule="exact"/>
              <w:ind w:left="0" w:right="0"/>
              <w:jc w:val="center"/>
              <w:textAlignment w:val="center"/>
              <w:rPr>
                <w:rFonts w:hint="eastAsia" w:ascii="宋体" w:cs="宋体"/>
                <w:color w:val="000000"/>
                <w:sz w:val="24"/>
                <w:szCs w:val="24"/>
              </w:rPr>
            </w:pPr>
            <w:r>
              <w:rPr>
                <w:rFonts w:hint="eastAsia" w:ascii="宋体" w:cs="宋体"/>
                <w:color w:val="000000"/>
                <w:kern w:val="0"/>
                <w:sz w:val="24"/>
                <w:szCs w:val="24"/>
                <w:lang w:bidi="ar"/>
              </w:rPr>
              <w:t>（万元）</w:t>
            </w:r>
          </w:p>
        </w:tc>
        <w:tc>
          <w:tcPr>
            <w:tcW w:w="2562" w:type="dxa"/>
            <w:gridSpan w:val="2"/>
            <w:tcBorders>
              <w:top w:val="single" w:color="000000" w:sz="4" w:space="0"/>
              <w:left w:val="single" w:color="000000" w:sz="4" w:space="0"/>
              <w:bottom w:val="single" w:color="000000" w:sz="4" w:space="0"/>
              <w:right w:val="single" w:color="000000" w:sz="4" w:space="0"/>
            </w:tcBorders>
            <w:noWrap w:val="0"/>
            <w:vAlign w:val="center"/>
          </w:tcPr>
          <w:p w14:paraId="61DF81DB">
            <w:pPr>
              <w:keepNext w:val="0"/>
              <w:keepLines w:val="0"/>
              <w:widowControl/>
              <w:suppressLineNumbers w:val="0"/>
              <w:spacing w:before="0" w:beforeAutospacing="0" w:after="0" w:afterAutospacing="0" w:line="300" w:lineRule="exact"/>
              <w:ind w:left="0" w:right="0"/>
              <w:jc w:val="left"/>
              <w:textAlignment w:val="center"/>
              <w:rPr>
                <w:rFonts w:hint="eastAsia" w:ascii="宋体" w:cs="宋体"/>
                <w:color w:val="000000"/>
                <w:sz w:val="24"/>
                <w:szCs w:val="24"/>
              </w:rPr>
            </w:pPr>
            <w:r>
              <w:rPr>
                <w:rFonts w:hint="eastAsia" w:ascii="宋体" w:cs="宋体"/>
                <w:color w:val="000000"/>
                <w:kern w:val="0"/>
                <w:sz w:val="24"/>
                <w:szCs w:val="24"/>
                <w:lang w:bidi="ar"/>
              </w:rPr>
              <w:t xml:space="preserve">  年度资金总额：</w:t>
            </w:r>
          </w:p>
        </w:tc>
        <w:tc>
          <w:tcPr>
            <w:tcW w:w="5938" w:type="dxa"/>
            <w:gridSpan w:val="5"/>
            <w:tcBorders>
              <w:top w:val="single" w:color="000000" w:sz="4" w:space="0"/>
              <w:left w:val="single" w:color="000000" w:sz="4" w:space="0"/>
              <w:bottom w:val="single" w:color="000000" w:sz="4" w:space="0"/>
              <w:right w:val="single" w:color="000000" w:sz="4" w:space="0"/>
            </w:tcBorders>
            <w:noWrap w:val="0"/>
            <w:vAlign w:val="center"/>
          </w:tcPr>
          <w:p w14:paraId="21CC5007">
            <w:pPr>
              <w:keepNext w:val="0"/>
              <w:keepLines w:val="0"/>
              <w:suppressLineNumbers w:val="0"/>
              <w:spacing w:before="0" w:beforeAutospacing="0" w:after="0" w:afterAutospacing="0" w:line="300" w:lineRule="exact"/>
              <w:ind w:left="0" w:right="0"/>
              <w:jc w:val="left"/>
              <w:rPr>
                <w:rFonts w:hint="eastAsia" w:ascii="宋体" w:cs="宋体"/>
                <w:color w:val="000000"/>
                <w:sz w:val="24"/>
                <w:szCs w:val="24"/>
              </w:rPr>
            </w:pPr>
            <w:r>
              <w:rPr>
                <w:rFonts w:hint="eastAsia" w:ascii="宋体" w:cs="宋体"/>
                <w:color w:val="000000"/>
                <w:sz w:val="24"/>
                <w:szCs w:val="24"/>
              </w:rPr>
              <w:t>2026</w:t>
            </w:r>
          </w:p>
        </w:tc>
      </w:tr>
      <w:tr w14:paraId="456E4452">
        <w:tblPrEx>
          <w:tblCellMar>
            <w:top w:w="15" w:type="dxa"/>
            <w:left w:w="15" w:type="dxa"/>
            <w:bottom w:w="15" w:type="dxa"/>
            <w:right w:w="15" w:type="dxa"/>
          </w:tblCellMar>
        </w:tblPrEx>
        <w:trPr>
          <w:trHeight w:val="23" w:hRule="atLeast"/>
          <w:jc w:val="center"/>
        </w:trPr>
        <w:tc>
          <w:tcPr>
            <w:tcW w:w="1733" w:type="dxa"/>
            <w:gridSpan w:val="2"/>
            <w:vMerge w:val="continue"/>
            <w:tcBorders>
              <w:top w:val="single" w:color="000000" w:sz="4" w:space="0"/>
              <w:left w:val="single" w:color="000000" w:sz="4" w:space="0"/>
              <w:bottom w:val="single" w:color="000000" w:sz="4" w:space="0"/>
              <w:right w:val="single" w:color="000000" w:sz="4" w:space="0"/>
            </w:tcBorders>
            <w:noWrap w:val="0"/>
            <w:vAlign w:val="center"/>
          </w:tcPr>
          <w:p w14:paraId="78D496CE">
            <w:pPr>
              <w:keepNext w:val="0"/>
              <w:keepLines w:val="0"/>
              <w:suppressLineNumbers w:val="0"/>
              <w:spacing w:before="0" w:beforeAutospacing="0" w:after="0" w:afterAutospacing="0"/>
              <w:ind w:left="0" w:right="0"/>
              <w:rPr>
                <w:rFonts w:hint="default"/>
              </w:rPr>
            </w:pPr>
          </w:p>
        </w:tc>
        <w:tc>
          <w:tcPr>
            <w:tcW w:w="2562" w:type="dxa"/>
            <w:gridSpan w:val="2"/>
            <w:tcBorders>
              <w:top w:val="single" w:color="000000" w:sz="4" w:space="0"/>
              <w:left w:val="single" w:color="000000" w:sz="4" w:space="0"/>
              <w:bottom w:val="single" w:color="000000" w:sz="4" w:space="0"/>
              <w:right w:val="single" w:color="000000" w:sz="4" w:space="0"/>
            </w:tcBorders>
            <w:noWrap w:val="0"/>
            <w:vAlign w:val="center"/>
          </w:tcPr>
          <w:p w14:paraId="74658F20">
            <w:pPr>
              <w:keepNext w:val="0"/>
              <w:keepLines w:val="0"/>
              <w:widowControl/>
              <w:suppressLineNumbers w:val="0"/>
              <w:spacing w:before="0" w:beforeAutospacing="0" w:after="0" w:afterAutospacing="0" w:line="300" w:lineRule="exact"/>
              <w:ind w:left="0" w:right="0"/>
              <w:jc w:val="left"/>
              <w:textAlignment w:val="center"/>
              <w:rPr>
                <w:rFonts w:hint="eastAsia" w:ascii="宋体" w:cs="宋体"/>
                <w:color w:val="000000"/>
                <w:sz w:val="24"/>
                <w:szCs w:val="24"/>
              </w:rPr>
            </w:pPr>
            <w:r>
              <w:rPr>
                <w:rFonts w:hint="eastAsia" w:ascii="宋体" w:cs="宋体"/>
                <w:color w:val="000000"/>
                <w:kern w:val="0"/>
                <w:sz w:val="24"/>
                <w:szCs w:val="24"/>
                <w:lang w:bidi="ar"/>
              </w:rPr>
              <w:t xml:space="preserve">      其中：财政拨款</w:t>
            </w:r>
          </w:p>
        </w:tc>
        <w:tc>
          <w:tcPr>
            <w:tcW w:w="5938" w:type="dxa"/>
            <w:gridSpan w:val="5"/>
            <w:tcBorders>
              <w:top w:val="single" w:color="000000" w:sz="4" w:space="0"/>
              <w:left w:val="single" w:color="000000" w:sz="4" w:space="0"/>
              <w:bottom w:val="single" w:color="000000" w:sz="4" w:space="0"/>
              <w:right w:val="single" w:color="000000" w:sz="4" w:space="0"/>
            </w:tcBorders>
            <w:noWrap w:val="0"/>
            <w:vAlign w:val="center"/>
          </w:tcPr>
          <w:p w14:paraId="3DCEFC51">
            <w:pPr>
              <w:keepNext w:val="0"/>
              <w:keepLines w:val="0"/>
              <w:suppressLineNumbers w:val="0"/>
              <w:spacing w:before="0" w:beforeAutospacing="0" w:after="0" w:afterAutospacing="0" w:line="300" w:lineRule="exact"/>
              <w:ind w:left="0" w:right="0"/>
              <w:jc w:val="left"/>
              <w:rPr>
                <w:rFonts w:hint="eastAsia" w:ascii="宋体" w:cs="宋体"/>
                <w:color w:val="000000"/>
                <w:sz w:val="24"/>
                <w:szCs w:val="24"/>
              </w:rPr>
            </w:pPr>
            <w:r>
              <w:rPr>
                <w:rFonts w:hint="eastAsia" w:ascii="宋体" w:cs="宋体"/>
                <w:color w:val="000000"/>
                <w:sz w:val="24"/>
                <w:szCs w:val="24"/>
              </w:rPr>
              <w:t>2026</w:t>
            </w:r>
          </w:p>
        </w:tc>
      </w:tr>
      <w:tr w14:paraId="55EB07FE">
        <w:tblPrEx>
          <w:tblCellMar>
            <w:top w:w="15" w:type="dxa"/>
            <w:left w:w="15" w:type="dxa"/>
            <w:bottom w:w="15" w:type="dxa"/>
            <w:right w:w="15" w:type="dxa"/>
          </w:tblCellMar>
        </w:tblPrEx>
        <w:trPr>
          <w:trHeight w:val="23" w:hRule="atLeast"/>
          <w:jc w:val="center"/>
        </w:trPr>
        <w:tc>
          <w:tcPr>
            <w:tcW w:w="1733" w:type="dxa"/>
            <w:gridSpan w:val="2"/>
            <w:vMerge w:val="continue"/>
            <w:tcBorders>
              <w:top w:val="single" w:color="000000" w:sz="4" w:space="0"/>
              <w:left w:val="single" w:color="000000" w:sz="4" w:space="0"/>
              <w:bottom w:val="single" w:color="000000" w:sz="4" w:space="0"/>
              <w:right w:val="single" w:color="000000" w:sz="4" w:space="0"/>
            </w:tcBorders>
            <w:noWrap w:val="0"/>
            <w:vAlign w:val="center"/>
          </w:tcPr>
          <w:p w14:paraId="035AE161">
            <w:pPr>
              <w:keepNext w:val="0"/>
              <w:keepLines w:val="0"/>
              <w:suppressLineNumbers w:val="0"/>
              <w:spacing w:before="0" w:beforeAutospacing="0" w:after="0" w:afterAutospacing="0"/>
              <w:ind w:left="0" w:right="0"/>
              <w:rPr>
                <w:rFonts w:hint="default"/>
              </w:rPr>
            </w:pPr>
          </w:p>
        </w:tc>
        <w:tc>
          <w:tcPr>
            <w:tcW w:w="2562" w:type="dxa"/>
            <w:gridSpan w:val="2"/>
            <w:tcBorders>
              <w:top w:val="single" w:color="000000" w:sz="4" w:space="0"/>
              <w:left w:val="single" w:color="000000" w:sz="4" w:space="0"/>
              <w:bottom w:val="single" w:color="000000" w:sz="4" w:space="0"/>
              <w:right w:val="single" w:color="000000" w:sz="4" w:space="0"/>
            </w:tcBorders>
            <w:noWrap w:val="0"/>
            <w:vAlign w:val="center"/>
          </w:tcPr>
          <w:p w14:paraId="7CE6172A">
            <w:pPr>
              <w:keepNext w:val="0"/>
              <w:keepLines w:val="0"/>
              <w:widowControl/>
              <w:suppressLineNumbers w:val="0"/>
              <w:spacing w:before="0" w:beforeAutospacing="0" w:after="0" w:afterAutospacing="0" w:line="300" w:lineRule="exact"/>
              <w:ind w:left="0" w:right="0"/>
              <w:jc w:val="left"/>
              <w:textAlignment w:val="center"/>
              <w:rPr>
                <w:rFonts w:hint="eastAsia" w:ascii="宋体" w:cs="宋体"/>
                <w:color w:val="000000"/>
                <w:sz w:val="24"/>
                <w:szCs w:val="24"/>
              </w:rPr>
            </w:pPr>
            <w:r>
              <w:rPr>
                <w:rFonts w:hint="eastAsia" w:ascii="宋体" w:cs="宋体"/>
                <w:color w:val="000000"/>
                <w:kern w:val="0"/>
                <w:sz w:val="24"/>
                <w:szCs w:val="24"/>
                <w:lang w:bidi="ar"/>
              </w:rPr>
              <w:t xml:space="preserve">            其他资金</w:t>
            </w:r>
          </w:p>
        </w:tc>
        <w:tc>
          <w:tcPr>
            <w:tcW w:w="5938" w:type="dxa"/>
            <w:gridSpan w:val="5"/>
            <w:tcBorders>
              <w:top w:val="single" w:color="000000" w:sz="4" w:space="0"/>
              <w:left w:val="single" w:color="000000" w:sz="4" w:space="0"/>
              <w:bottom w:val="single" w:color="000000" w:sz="4" w:space="0"/>
              <w:right w:val="single" w:color="000000" w:sz="4" w:space="0"/>
            </w:tcBorders>
            <w:noWrap w:val="0"/>
            <w:vAlign w:val="center"/>
          </w:tcPr>
          <w:p w14:paraId="63124EFE">
            <w:pPr>
              <w:keepNext w:val="0"/>
              <w:keepLines w:val="0"/>
              <w:suppressLineNumbers w:val="0"/>
              <w:spacing w:before="0" w:beforeAutospacing="0" w:after="0" w:afterAutospacing="0" w:line="300" w:lineRule="exact"/>
              <w:ind w:left="0" w:right="0"/>
              <w:jc w:val="left"/>
              <w:rPr>
                <w:rFonts w:hint="eastAsia" w:ascii="宋体" w:cs="宋体"/>
                <w:color w:val="000000"/>
                <w:sz w:val="24"/>
                <w:szCs w:val="24"/>
              </w:rPr>
            </w:pPr>
            <w:r>
              <w:rPr>
                <w:rFonts w:hint="eastAsia" w:ascii="宋体" w:cs="宋体"/>
                <w:color w:val="000000"/>
                <w:sz w:val="24"/>
                <w:szCs w:val="24"/>
              </w:rPr>
              <w:t>0</w:t>
            </w:r>
          </w:p>
        </w:tc>
      </w:tr>
      <w:tr w14:paraId="390E3B3C">
        <w:tblPrEx>
          <w:tblCellMar>
            <w:top w:w="15" w:type="dxa"/>
            <w:left w:w="15" w:type="dxa"/>
            <w:bottom w:w="15" w:type="dxa"/>
            <w:right w:w="15" w:type="dxa"/>
          </w:tblCellMar>
        </w:tblPrEx>
        <w:trPr>
          <w:trHeight w:val="23" w:hRule="atLeast"/>
          <w:jc w:val="center"/>
        </w:trPr>
        <w:tc>
          <w:tcPr>
            <w:tcW w:w="652" w:type="dxa"/>
            <w:vMerge w:val="restart"/>
            <w:tcBorders>
              <w:top w:val="single" w:color="000000" w:sz="4" w:space="0"/>
              <w:left w:val="single" w:color="000000" w:sz="4" w:space="0"/>
              <w:bottom w:val="single" w:color="000000" w:sz="4" w:space="0"/>
              <w:right w:val="single" w:color="000000" w:sz="4" w:space="0"/>
            </w:tcBorders>
            <w:noWrap w:val="0"/>
            <w:vAlign w:val="center"/>
          </w:tcPr>
          <w:p w14:paraId="02158A71">
            <w:pPr>
              <w:keepNext w:val="0"/>
              <w:keepLines w:val="0"/>
              <w:widowControl/>
              <w:suppressLineNumbers w:val="0"/>
              <w:spacing w:before="0" w:beforeAutospacing="0" w:after="0" w:afterAutospacing="0" w:line="300" w:lineRule="exact"/>
              <w:ind w:left="0" w:right="0"/>
              <w:jc w:val="center"/>
              <w:textAlignment w:val="center"/>
              <w:rPr>
                <w:rFonts w:hint="eastAsia" w:ascii="宋体" w:cs="宋体"/>
                <w:color w:val="000000"/>
                <w:sz w:val="24"/>
                <w:szCs w:val="24"/>
              </w:rPr>
            </w:pPr>
            <w:r>
              <w:rPr>
                <w:rFonts w:hint="eastAsia" w:ascii="宋体" w:cs="宋体"/>
                <w:color w:val="000000"/>
                <w:kern w:val="0"/>
                <w:sz w:val="24"/>
                <w:szCs w:val="24"/>
                <w:lang w:bidi="ar"/>
              </w:rPr>
              <w:t>总体 目标</w:t>
            </w:r>
          </w:p>
        </w:tc>
        <w:tc>
          <w:tcPr>
            <w:tcW w:w="9581" w:type="dxa"/>
            <w:gridSpan w:val="8"/>
            <w:tcBorders>
              <w:top w:val="single" w:color="000000" w:sz="4" w:space="0"/>
              <w:left w:val="single" w:color="000000" w:sz="4" w:space="0"/>
              <w:bottom w:val="single" w:color="000000" w:sz="4" w:space="0"/>
              <w:right w:val="single" w:color="000000" w:sz="4" w:space="0"/>
            </w:tcBorders>
            <w:noWrap w:val="0"/>
            <w:vAlign w:val="center"/>
          </w:tcPr>
          <w:p w14:paraId="41721D7F">
            <w:pPr>
              <w:keepNext w:val="0"/>
              <w:keepLines w:val="0"/>
              <w:widowControl/>
              <w:suppressLineNumbers w:val="0"/>
              <w:spacing w:before="0" w:beforeAutospacing="0" w:after="0" w:afterAutospacing="0" w:line="300" w:lineRule="exact"/>
              <w:ind w:left="0" w:right="0"/>
              <w:jc w:val="center"/>
              <w:textAlignment w:val="center"/>
              <w:rPr>
                <w:rFonts w:hint="eastAsia" w:ascii="宋体" w:cs="宋体"/>
                <w:color w:val="000000"/>
                <w:sz w:val="24"/>
                <w:szCs w:val="24"/>
              </w:rPr>
            </w:pPr>
            <w:r>
              <w:rPr>
                <w:rFonts w:hint="eastAsia" w:ascii="宋体" w:cs="宋体"/>
                <w:color w:val="000000"/>
                <w:kern w:val="0"/>
                <w:sz w:val="24"/>
                <w:szCs w:val="24"/>
                <w:lang w:bidi="ar"/>
              </w:rPr>
              <w:t>年度目标</w:t>
            </w:r>
          </w:p>
        </w:tc>
      </w:tr>
      <w:tr w14:paraId="1CA7C91F">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noWrap w:val="0"/>
            <w:vAlign w:val="center"/>
          </w:tcPr>
          <w:p w14:paraId="3FAC3EEE">
            <w:pPr>
              <w:keepNext w:val="0"/>
              <w:keepLines w:val="0"/>
              <w:suppressLineNumbers w:val="0"/>
              <w:spacing w:before="0" w:beforeAutospacing="0" w:after="0" w:afterAutospacing="0"/>
              <w:ind w:left="0" w:right="0"/>
              <w:rPr>
                <w:rFonts w:hint="default"/>
              </w:rPr>
            </w:pPr>
          </w:p>
        </w:tc>
        <w:tc>
          <w:tcPr>
            <w:tcW w:w="9581" w:type="dxa"/>
            <w:gridSpan w:val="8"/>
            <w:tcBorders>
              <w:top w:val="single" w:color="000000" w:sz="4" w:space="0"/>
              <w:left w:val="single" w:color="000000" w:sz="4" w:space="0"/>
              <w:bottom w:val="single" w:color="auto" w:sz="4" w:space="0"/>
              <w:right w:val="single" w:color="000000" w:sz="4" w:space="0"/>
            </w:tcBorders>
            <w:noWrap w:val="0"/>
            <w:vAlign w:val="center"/>
          </w:tcPr>
          <w:p w14:paraId="34BFBF93">
            <w:pPr>
              <w:keepNext w:val="0"/>
              <w:keepLines w:val="0"/>
              <w:suppressLineNumbers w:val="0"/>
              <w:spacing w:before="0" w:beforeAutospacing="0" w:after="0" w:afterAutospacing="0" w:line="300" w:lineRule="exact"/>
              <w:ind w:left="0" w:right="0"/>
              <w:rPr>
                <w:rFonts w:hint="eastAsia" w:ascii="宋体" w:cs="宋体"/>
                <w:color w:val="000000"/>
                <w:sz w:val="24"/>
                <w:szCs w:val="24"/>
              </w:rPr>
            </w:pPr>
            <w:r>
              <w:rPr>
                <w:rFonts w:hint="eastAsia" w:ascii="宋体" w:cs="宋体"/>
                <w:color w:val="000000"/>
                <w:sz w:val="24"/>
                <w:szCs w:val="24"/>
              </w:rPr>
              <w:t>项目投用后，有效改善我市涉改乡镇干部居住条件</w:t>
            </w:r>
            <w:r>
              <w:rPr>
                <w:rFonts w:hint="eastAsia" w:ascii="宋体" w:cs="宋体"/>
                <w:color w:val="000000"/>
                <w:sz w:val="24"/>
                <w:szCs w:val="24"/>
                <w:lang w:eastAsia="zh-CN"/>
              </w:rPr>
              <w:t>，</w:t>
            </w:r>
            <w:r>
              <w:rPr>
                <w:rFonts w:hint="eastAsia" w:ascii="宋体" w:cs="宋体"/>
                <w:color w:val="000000"/>
                <w:sz w:val="24"/>
                <w:szCs w:val="24"/>
              </w:rPr>
              <w:t>激发安心基层、干事创业的热情与活力。</w:t>
            </w:r>
          </w:p>
        </w:tc>
      </w:tr>
      <w:tr w14:paraId="35153E6A">
        <w:tblPrEx>
          <w:tblCellMar>
            <w:top w:w="15" w:type="dxa"/>
            <w:left w:w="15" w:type="dxa"/>
            <w:bottom w:w="15" w:type="dxa"/>
            <w:right w:w="15" w:type="dxa"/>
          </w:tblCellMar>
        </w:tblPrEx>
        <w:trPr>
          <w:trHeight w:val="23" w:hRule="atLeast"/>
          <w:jc w:val="center"/>
        </w:trPr>
        <w:tc>
          <w:tcPr>
            <w:tcW w:w="652" w:type="dxa"/>
            <w:vMerge w:val="restart"/>
            <w:tcBorders>
              <w:top w:val="single" w:color="000000" w:sz="4" w:space="0"/>
              <w:left w:val="single" w:color="000000" w:sz="4" w:space="0"/>
              <w:bottom w:val="single" w:color="000000" w:sz="4" w:space="0"/>
              <w:right w:val="single" w:color="auto" w:sz="4" w:space="0"/>
            </w:tcBorders>
            <w:noWrap w:val="0"/>
            <w:vAlign w:val="center"/>
          </w:tcPr>
          <w:p w14:paraId="2DDC5CF6">
            <w:pPr>
              <w:keepNext w:val="0"/>
              <w:keepLines w:val="0"/>
              <w:widowControl/>
              <w:suppressLineNumbers w:val="0"/>
              <w:spacing w:before="0" w:beforeAutospacing="0" w:after="0" w:afterAutospacing="0" w:line="300" w:lineRule="exact"/>
              <w:ind w:left="0" w:right="0"/>
              <w:jc w:val="center"/>
              <w:textAlignment w:val="center"/>
              <w:rPr>
                <w:rFonts w:hint="eastAsia" w:ascii="宋体" w:cs="宋体"/>
                <w:color w:val="000000"/>
                <w:sz w:val="24"/>
                <w:szCs w:val="24"/>
              </w:rPr>
            </w:pPr>
            <w:r>
              <w:rPr>
                <w:rFonts w:hint="eastAsia" w:ascii="宋体" w:cs="宋体"/>
                <w:color w:val="000000"/>
                <w:kern w:val="0"/>
                <w:sz w:val="24"/>
                <w:szCs w:val="24"/>
                <w:lang w:bidi="ar"/>
              </w:rPr>
              <w:t>绩效 指标</w:t>
            </w:r>
          </w:p>
        </w:tc>
        <w:tc>
          <w:tcPr>
            <w:tcW w:w="1081" w:type="dxa"/>
            <w:tcBorders>
              <w:top w:val="single" w:color="auto" w:sz="4" w:space="0"/>
              <w:left w:val="single" w:color="auto" w:sz="4" w:space="0"/>
              <w:bottom w:val="single" w:color="auto" w:sz="4" w:space="0"/>
              <w:right w:val="single" w:color="auto" w:sz="4" w:space="0"/>
            </w:tcBorders>
            <w:noWrap w:val="0"/>
            <w:vAlign w:val="center"/>
          </w:tcPr>
          <w:p w14:paraId="0B0573C5">
            <w:pPr>
              <w:keepNext w:val="0"/>
              <w:keepLines w:val="0"/>
              <w:widowControl/>
              <w:suppressLineNumbers w:val="0"/>
              <w:spacing w:before="0" w:beforeAutospacing="0" w:after="0" w:afterAutospacing="0" w:line="300" w:lineRule="exact"/>
              <w:ind w:left="0" w:right="0"/>
              <w:jc w:val="center"/>
              <w:textAlignment w:val="center"/>
              <w:rPr>
                <w:rFonts w:hint="eastAsia" w:ascii="宋体" w:cs="宋体"/>
                <w:color w:val="000000"/>
                <w:sz w:val="24"/>
                <w:szCs w:val="24"/>
              </w:rPr>
            </w:pPr>
            <w:r>
              <w:rPr>
                <w:rFonts w:hint="eastAsia" w:ascii="宋体" w:cs="宋体"/>
                <w:color w:val="000000"/>
                <w:kern w:val="0"/>
                <w:sz w:val="24"/>
                <w:szCs w:val="24"/>
                <w:lang w:bidi="ar"/>
              </w:rPr>
              <w:t>一级指标</w:t>
            </w:r>
          </w:p>
        </w:tc>
        <w:tc>
          <w:tcPr>
            <w:tcW w:w="1250" w:type="dxa"/>
            <w:tcBorders>
              <w:top w:val="single" w:color="auto" w:sz="4" w:space="0"/>
              <w:left w:val="single" w:color="auto" w:sz="4" w:space="0"/>
              <w:bottom w:val="single" w:color="auto" w:sz="4" w:space="0"/>
              <w:right w:val="single" w:color="auto" w:sz="4" w:space="0"/>
            </w:tcBorders>
            <w:noWrap w:val="0"/>
            <w:vAlign w:val="center"/>
          </w:tcPr>
          <w:p w14:paraId="7953F553">
            <w:pPr>
              <w:keepNext w:val="0"/>
              <w:keepLines w:val="0"/>
              <w:widowControl/>
              <w:suppressLineNumbers w:val="0"/>
              <w:spacing w:before="0" w:beforeAutospacing="0" w:after="0" w:afterAutospacing="0" w:line="300" w:lineRule="exact"/>
              <w:ind w:left="0" w:right="0"/>
              <w:jc w:val="center"/>
              <w:textAlignment w:val="center"/>
              <w:rPr>
                <w:rFonts w:hint="eastAsia" w:ascii="宋体" w:cs="宋体"/>
                <w:color w:val="000000"/>
                <w:sz w:val="24"/>
                <w:szCs w:val="24"/>
              </w:rPr>
            </w:pPr>
            <w:r>
              <w:rPr>
                <w:rFonts w:hint="eastAsia" w:ascii="宋体" w:cs="宋体"/>
                <w:color w:val="000000"/>
                <w:kern w:val="0"/>
                <w:sz w:val="24"/>
                <w:szCs w:val="24"/>
                <w:lang w:bidi="ar"/>
              </w:rPr>
              <w:t>二级指标</w:t>
            </w:r>
          </w:p>
        </w:tc>
        <w:tc>
          <w:tcPr>
            <w:tcW w:w="1312" w:type="dxa"/>
            <w:tcBorders>
              <w:top w:val="single" w:color="auto" w:sz="4" w:space="0"/>
              <w:left w:val="single" w:color="auto" w:sz="4" w:space="0"/>
              <w:bottom w:val="single" w:color="auto" w:sz="4" w:space="0"/>
              <w:right w:val="single" w:color="auto" w:sz="4" w:space="0"/>
            </w:tcBorders>
            <w:noWrap w:val="0"/>
            <w:vAlign w:val="center"/>
          </w:tcPr>
          <w:p w14:paraId="7632673E">
            <w:pPr>
              <w:keepNext w:val="0"/>
              <w:keepLines w:val="0"/>
              <w:widowControl/>
              <w:suppressLineNumbers w:val="0"/>
              <w:spacing w:before="0" w:beforeAutospacing="0" w:after="0" w:afterAutospacing="0" w:line="300" w:lineRule="exact"/>
              <w:ind w:left="0" w:right="0"/>
              <w:jc w:val="center"/>
              <w:textAlignment w:val="center"/>
              <w:rPr>
                <w:rFonts w:hint="eastAsia" w:ascii="宋体" w:cs="宋体"/>
                <w:color w:val="000000"/>
                <w:sz w:val="24"/>
                <w:szCs w:val="24"/>
              </w:rPr>
            </w:pPr>
            <w:r>
              <w:rPr>
                <w:rFonts w:hint="eastAsia" w:ascii="宋体" w:cs="宋体"/>
                <w:color w:val="000000"/>
                <w:kern w:val="0"/>
                <w:sz w:val="24"/>
                <w:szCs w:val="24"/>
                <w:lang w:bidi="ar"/>
              </w:rPr>
              <w:t>三级指标</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767D1736">
            <w:pPr>
              <w:keepNext w:val="0"/>
              <w:keepLines w:val="0"/>
              <w:widowControl/>
              <w:suppressLineNumbers w:val="0"/>
              <w:spacing w:before="0" w:beforeAutospacing="0" w:after="0" w:afterAutospacing="0" w:line="300" w:lineRule="exact"/>
              <w:ind w:left="0" w:right="0"/>
              <w:jc w:val="center"/>
              <w:textAlignment w:val="center"/>
              <w:rPr>
                <w:rFonts w:hint="eastAsia" w:ascii="宋体" w:cs="宋体"/>
                <w:color w:val="000000"/>
                <w:sz w:val="24"/>
                <w:szCs w:val="24"/>
              </w:rPr>
            </w:pPr>
            <w:r>
              <w:rPr>
                <w:rFonts w:hint="eastAsia" w:ascii="宋体" w:cs="宋体"/>
                <w:color w:val="000000"/>
                <w:kern w:val="0"/>
                <w:sz w:val="24"/>
                <w:szCs w:val="24"/>
                <w:lang w:bidi="ar"/>
              </w:rPr>
              <w:t>指标性质</w:t>
            </w:r>
          </w:p>
        </w:tc>
        <w:tc>
          <w:tcPr>
            <w:tcW w:w="971" w:type="dxa"/>
            <w:tcBorders>
              <w:top w:val="single" w:color="auto" w:sz="4" w:space="0"/>
              <w:left w:val="single" w:color="auto" w:sz="4" w:space="0"/>
              <w:bottom w:val="single" w:color="auto" w:sz="4" w:space="0"/>
              <w:right w:val="single" w:color="auto" w:sz="4" w:space="0"/>
            </w:tcBorders>
            <w:noWrap w:val="0"/>
            <w:vAlign w:val="center"/>
          </w:tcPr>
          <w:p w14:paraId="1CDA8688">
            <w:pPr>
              <w:keepNext w:val="0"/>
              <w:keepLines w:val="0"/>
              <w:widowControl/>
              <w:suppressLineNumbers w:val="0"/>
              <w:spacing w:before="0" w:beforeAutospacing="0" w:after="0" w:afterAutospacing="0" w:line="300" w:lineRule="exact"/>
              <w:ind w:left="0" w:right="0"/>
              <w:jc w:val="center"/>
              <w:textAlignment w:val="center"/>
              <w:rPr>
                <w:rFonts w:hint="eastAsia" w:ascii="宋体" w:cs="宋体"/>
                <w:color w:val="000000"/>
                <w:sz w:val="24"/>
                <w:szCs w:val="24"/>
              </w:rPr>
            </w:pPr>
            <w:r>
              <w:rPr>
                <w:rFonts w:hint="eastAsia" w:ascii="宋体" w:cs="宋体"/>
                <w:color w:val="000000"/>
                <w:kern w:val="0"/>
                <w:sz w:val="24"/>
                <w:szCs w:val="24"/>
                <w:lang w:bidi="ar"/>
              </w:rPr>
              <w:t>指标值</w:t>
            </w:r>
          </w:p>
        </w:tc>
        <w:tc>
          <w:tcPr>
            <w:tcW w:w="1061" w:type="dxa"/>
            <w:tcBorders>
              <w:top w:val="single" w:color="auto" w:sz="4" w:space="0"/>
              <w:left w:val="single" w:color="auto" w:sz="4" w:space="0"/>
              <w:bottom w:val="single" w:color="auto" w:sz="4" w:space="0"/>
              <w:right w:val="single" w:color="auto" w:sz="4" w:space="0"/>
            </w:tcBorders>
            <w:noWrap w:val="0"/>
            <w:vAlign w:val="center"/>
          </w:tcPr>
          <w:p w14:paraId="27A23A61">
            <w:pPr>
              <w:keepNext w:val="0"/>
              <w:keepLines w:val="0"/>
              <w:widowControl/>
              <w:suppressLineNumbers w:val="0"/>
              <w:spacing w:before="0" w:beforeAutospacing="0" w:after="0" w:afterAutospacing="0" w:line="300" w:lineRule="exact"/>
              <w:ind w:left="0" w:right="0"/>
              <w:jc w:val="center"/>
              <w:textAlignment w:val="center"/>
              <w:rPr>
                <w:rFonts w:hint="eastAsia" w:ascii="宋体" w:cs="宋体"/>
                <w:color w:val="000000"/>
                <w:sz w:val="24"/>
                <w:szCs w:val="24"/>
              </w:rPr>
            </w:pPr>
            <w:r>
              <w:rPr>
                <w:rFonts w:hint="eastAsia" w:ascii="宋体" w:cs="宋体"/>
                <w:color w:val="000000"/>
                <w:kern w:val="0"/>
                <w:sz w:val="24"/>
                <w:szCs w:val="24"/>
                <w:lang w:bidi="ar"/>
              </w:rPr>
              <w:t>度量单位</w:t>
            </w:r>
          </w:p>
        </w:tc>
        <w:tc>
          <w:tcPr>
            <w:tcW w:w="938" w:type="dxa"/>
            <w:tcBorders>
              <w:top w:val="single" w:color="auto" w:sz="4" w:space="0"/>
              <w:left w:val="single" w:color="auto" w:sz="4" w:space="0"/>
              <w:bottom w:val="single" w:color="auto" w:sz="4" w:space="0"/>
              <w:right w:val="single" w:color="auto" w:sz="4" w:space="0"/>
            </w:tcBorders>
            <w:noWrap w:val="0"/>
            <w:vAlign w:val="center"/>
          </w:tcPr>
          <w:p w14:paraId="5A5D863D">
            <w:pPr>
              <w:keepNext w:val="0"/>
              <w:keepLines w:val="0"/>
              <w:widowControl/>
              <w:suppressLineNumbers w:val="0"/>
              <w:spacing w:before="0" w:beforeAutospacing="0" w:after="0" w:afterAutospacing="0" w:line="300" w:lineRule="exact"/>
              <w:ind w:left="0" w:right="0"/>
              <w:jc w:val="center"/>
              <w:textAlignment w:val="center"/>
              <w:rPr>
                <w:rFonts w:hint="eastAsia" w:ascii="宋体" w:cs="宋体"/>
                <w:color w:val="000000"/>
                <w:sz w:val="24"/>
                <w:szCs w:val="24"/>
              </w:rPr>
            </w:pPr>
            <w:r>
              <w:rPr>
                <w:rFonts w:hint="eastAsia" w:ascii="宋体" w:cs="宋体"/>
                <w:color w:val="000000"/>
                <w:kern w:val="0"/>
                <w:sz w:val="24"/>
                <w:szCs w:val="24"/>
                <w:lang w:bidi="ar"/>
              </w:rPr>
              <w:t>权重</w:t>
            </w:r>
          </w:p>
        </w:tc>
        <w:tc>
          <w:tcPr>
            <w:tcW w:w="1841" w:type="dxa"/>
            <w:tcBorders>
              <w:top w:val="single" w:color="auto" w:sz="4" w:space="0"/>
              <w:left w:val="single" w:color="auto" w:sz="4" w:space="0"/>
              <w:bottom w:val="single" w:color="auto" w:sz="4" w:space="0"/>
              <w:right w:val="single" w:color="auto" w:sz="4" w:space="0"/>
            </w:tcBorders>
            <w:noWrap w:val="0"/>
            <w:vAlign w:val="center"/>
          </w:tcPr>
          <w:p w14:paraId="6C48393D">
            <w:pPr>
              <w:keepNext w:val="0"/>
              <w:keepLines w:val="0"/>
              <w:widowControl/>
              <w:suppressLineNumbers w:val="0"/>
              <w:spacing w:before="0" w:beforeAutospacing="0" w:after="0" w:afterAutospacing="0" w:line="300" w:lineRule="exact"/>
              <w:ind w:left="0" w:right="0"/>
              <w:jc w:val="center"/>
              <w:textAlignment w:val="center"/>
              <w:rPr>
                <w:rFonts w:hint="eastAsia" w:ascii="宋体" w:cs="宋体"/>
                <w:color w:val="000000"/>
                <w:sz w:val="24"/>
                <w:szCs w:val="24"/>
              </w:rPr>
            </w:pPr>
            <w:r>
              <w:rPr>
                <w:rFonts w:hint="eastAsia" w:ascii="宋体" w:cs="宋体"/>
                <w:color w:val="000000"/>
                <w:kern w:val="0"/>
                <w:sz w:val="24"/>
                <w:szCs w:val="24"/>
                <w:lang w:bidi="ar"/>
              </w:rPr>
              <w:t>实际完成指标值</w:t>
            </w:r>
          </w:p>
        </w:tc>
      </w:tr>
      <w:tr w14:paraId="753461A6">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auto" w:sz="4" w:space="0"/>
            </w:tcBorders>
            <w:noWrap w:val="0"/>
            <w:vAlign w:val="center"/>
          </w:tcPr>
          <w:p w14:paraId="36DEC48E">
            <w:pPr>
              <w:keepNext w:val="0"/>
              <w:keepLines w:val="0"/>
              <w:suppressLineNumbers w:val="0"/>
              <w:spacing w:before="0" w:beforeAutospacing="0" w:after="0" w:afterAutospacing="0"/>
              <w:ind w:left="0" w:right="0"/>
              <w:rPr>
                <w:rFonts w:hint="default"/>
              </w:rPr>
            </w:pPr>
          </w:p>
        </w:tc>
        <w:tc>
          <w:tcPr>
            <w:tcW w:w="1081" w:type="dxa"/>
            <w:vMerge w:val="restart"/>
            <w:tcBorders>
              <w:top w:val="single" w:color="auto" w:sz="4" w:space="0"/>
              <w:left w:val="single" w:color="auto" w:sz="4" w:space="0"/>
              <w:bottom w:val="single" w:color="auto" w:sz="4" w:space="0"/>
              <w:right w:val="single" w:color="auto" w:sz="4" w:space="0"/>
            </w:tcBorders>
            <w:noWrap w:val="0"/>
            <w:vAlign w:val="center"/>
          </w:tcPr>
          <w:p w14:paraId="0B591BDC">
            <w:pPr>
              <w:keepNext w:val="0"/>
              <w:keepLines w:val="0"/>
              <w:widowControl/>
              <w:suppressLineNumbers w:val="0"/>
              <w:spacing w:before="0" w:beforeAutospacing="0" w:after="0" w:afterAutospacing="0" w:line="300" w:lineRule="exact"/>
              <w:ind w:left="0" w:right="0"/>
              <w:jc w:val="center"/>
              <w:textAlignment w:val="center"/>
              <w:rPr>
                <w:rFonts w:hint="eastAsia" w:ascii="宋体" w:cs="宋体"/>
                <w:color w:val="000000"/>
                <w:sz w:val="24"/>
                <w:szCs w:val="24"/>
              </w:rPr>
            </w:pPr>
            <w:r>
              <w:rPr>
                <w:rFonts w:hint="eastAsia" w:ascii="宋体" w:cs="宋体"/>
                <w:color w:val="000000"/>
                <w:kern w:val="0"/>
                <w:sz w:val="24"/>
                <w:szCs w:val="24"/>
                <w:lang w:bidi="ar"/>
              </w:rPr>
              <w:t>产出指标</w:t>
            </w:r>
          </w:p>
        </w:tc>
        <w:tc>
          <w:tcPr>
            <w:tcW w:w="1250" w:type="dxa"/>
            <w:tcBorders>
              <w:top w:val="single" w:color="auto" w:sz="4" w:space="0"/>
              <w:left w:val="single" w:color="auto" w:sz="4" w:space="0"/>
              <w:bottom w:val="single" w:color="auto" w:sz="4" w:space="0"/>
              <w:right w:val="single" w:color="auto" w:sz="4" w:space="0"/>
            </w:tcBorders>
            <w:noWrap w:val="0"/>
            <w:vAlign w:val="center"/>
          </w:tcPr>
          <w:p w14:paraId="6E5FB82D">
            <w:pPr>
              <w:keepNext w:val="0"/>
              <w:keepLines w:val="0"/>
              <w:widowControl/>
              <w:suppressLineNumbers w:val="0"/>
              <w:spacing w:before="0" w:beforeAutospacing="0" w:after="0" w:afterAutospacing="0" w:line="300" w:lineRule="exact"/>
              <w:ind w:left="0" w:right="0"/>
              <w:jc w:val="center"/>
              <w:textAlignment w:val="center"/>
              <w:rPr>
                <w:rFonts w:hint="eastAsia" w:ascii="宋体" w:cs="宋体"/>
                <w:color w:val="000000"/>
                <w:sz w:val="24"/>
                <w:szCs w:val="24"/>
              </w:rPr>
            </w:pPr>
            <w:r>
              <w:rPr>
                <w:rFonts w:hint="eastAsia" w:ascii="宋体" w:cs="宋体"/>
                <w:color w:val="000000"/>
                <w:kern w:val="0"/>
                <w:sz w:val="24"/>
                <w:szCs w:val="24"/>
                <w:lang w:bidi="ar"/>
              </w:rPr>
              <w:t>数量指标</w:t>
            </w:r>
          </w:p>
        </w:tc>
        <w:tc>
          <w:tcPr>
            <w:tcW w:w="1312" w:type="dxa"/>
            <w:tcBorders>
              <w:top w:val="single" w:color="auto" w:sz="4" w:space="0"/>
              <w:left w:val="single" w:color="auto" w:sz="4" w:space="0"/>
              <w:bottom w:val="single" w:color="auto" w:sz="4" w:space="0"/>
              <w:right w:val="single" w:color="auto" w:sz="4" w:space="0"/>
            </w:tcBorders>
            <w:noWrap w:val="0"/>
            <w:vAlign w:val="center"/>
          </w:tcPr>
          <w:p w14:paraId="1AC342E3">
            <w:pPr>
              <w:keepNext w:val="0"/>
              <w:keepLines w:val="0"/>
              <w:suppressLineNumbers w:val="0"/>
              <w:spacing w:before="0" w:beforeAutospacing="0" w:after="0" w:afterAutospacing="0" w:line="300" w:lineRule="exact"/>
              <w:ind w:left="0" w:right="0"/>
              <w:jc w:val="center"/>
              <w:rPr>
                <w:rFonts w:hint="eastAsia" w:ascii="宋体" w:cs="宋体"/>
                <w:color w:val="000000"/>
                <w:sz w:val="24"/>
                <w:szCs w:val="24"/>
              </w:rPr>
            </w:pPr>
            <w:r>
              <w:rPr>
                <w:rFonts w:hint="eastAsia" w:ascii="宋体" w:cs="宋体"/>
                <w:color w:val="000000"/>
                <w:sz w:val="24"/>
                <w:szCs w:val="24"/>
              </w:rPr>
              <w:t>项目个数</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4094E80E">
            <w:pPr>
              <w:keepNext w:val="0"/>
              <w:keepLines w:val="0"/>
              <w:suppressLineNumbers w:val="0"/>
              <w:spacing w:before="0" w:beforeAutospacing="0" w:after="0" w:afterAutospacing="0" w:line="300" w:lineRule="exact"/>
              <w:ind w:left="0" w:right="0"/>
              <w:jc w:val="center"/>
              <w:rPr>
                <w:rFonts w:hint="eastAsia" w:ascii="宋体" w:cs="宋体"/>
                <w:color w:val="000000"/>
                <w:sz w:val="24"/>
                <w:szCs w:val="24"/>
              </w:rPr>
            </w:pPr>
            <w:r>
              <w:rPr>
                <w:rFonts w:hint="eastAsia" w:ascii="宋体" w:cs="宋体"/>
                <w:color w:val="000000"/>
                <w:sz w:val="24"/>
                <w:szCs w:val="24"/>
              </w:rPr>
              <w:t>数量</w:t>
            </w:r>
          </w:p>
        </w:tc>
        <w:tc>
          <w:tcPr>
            <w:tcW w:w="971" w:type="dxa"/>
            <w:tcBorders>
              <w:top w:val="single" w:color="auto" w:sz="4" w:space="0"/>
              <w:left w:val="single" w:color="auto" w:sz="4" w:space="0"/>
              <w:bottom w:val="single" w:color="auto" w:sz="4" w:space="0"/>
              <w:right w:val="single" w:color="auto" w:sz="4" w:space="0"/>
            </w:tcBorders>
            <w:noWrap w:val="0"/>
            <w:vAlign w:val="center"/>
          </w:tcPr>
          <w:p w14:paraId="494DAFE6">
            <w:pPr>
              <w:keepNext w:val="0"/>
              <w:keepLines w:val="0"/>
              <w:suppressLineNumbers w:val="0"/>
              <w:spacing w:before="0" w:beforeAutospacing="0" w:after="0" w:afterAutospacing="0" w:line="300" w:lineRule="exact"/>
              <w:ind w:left="0" w:right="0"/>
              <w:jc w:val="center"/>
              <w:rPr>
                <w:rFonts w:hint="eastAsia" w:ascii="宋体" w:cs="宋体"/>
                <w:color w:val="000000"/>
                <w:sz w:val="24"/>
                <w:szCs w:val="24"/>
              </w:rPr>
            </w:pPr>
            <w:r>
              <w:rPr>
                <w:rFonts w:hint="eastAsia" w:ascii="宋体" w:cs="宋体"/>
                <w:color w:val="000000"/>
                <w:sz w:val="24"/>
                <w:szCs w:val="24"/>
              </w:rPr>
              <w:t>8</w:t>
            </w:r>
          </w:p>
        </w:tc>
        <w:tc>
          <w:tcPr>
            <w:tcW w:w="1061" w:type="dxa"/>
            <w:tcBorders>
              <w:top w:val="single" w:color="auto" w:sz="4" w:space="0"/>
              <w:left w:val="single" w:color="auto" w:sz="4" w:space="0"/>
              <w:bottom w:val="single" w:color="auto" w:sz="4" w:space="0"/>
              <w:right w:val="single" w:color="auto" w:sz="4" w:space="0"/>
            </w:tcBorders>
            <w:noWrap w:val="0"/>
            <w:vAlign w:val="center"/>
          </w:tcPr>
          <w:p w14:paraId="566846A9">
            <w:pPr>
              <w:keepNext w:val="0"/>
              <w:keepLines w:val="0"/>
              <w:suppressLineNumbers w:val="0"/>
              <w:spacing w:before="0" w:beforeAutospacing="0" w:after="0" w:afterAutospacing="0" w:line="300" w:lineRule="exact"/>
              <w:ind w:left="0" w:right="0"/>
              <w:jc w:val="center"/>
              <w:rPr>
                <w:rFonts w:hint="eastAsia" w:ascii="宋体" w:cs="宋体"/>
                <w:color w:val="000000"/>
                <w:sz w:val="24"/>
                <w:szCs w:val="24"/>
              </w:rPr>
            </w:pPr>
            <w:r>
              <w:rPr>
                <w:rFonts w:hint="eastAsia" w:ascii="宋体" w:cs="宋体"/>
                <w:color w:val="000000"/>
                <w:sz w:val="24"/>
                <w:szCs w:val="24"/>
              </w:rPr>
              <w:t>个</w:t>
            </w:r>
          </w:p>
        </w:tc>
        <w:tc>
          <w:tcPr>
            <w:tcW w:w="938" w:type="dxa"/>
            <w:tcBorders>
              <w:top w:val="single" w:color="auto" w:sz="4" w:space="0"/>
              <w:left w:val="single" w:color="auto" w:sz="4" w:space="0"/>
              <w:bottom w:val="single" w:color="auto" w:sz="4" w:space="0"/>
              <w:right w:val="single" w:color="auto" w:sz="4" w:space="0"/>
            </w:tcBorders>
            <w:noWrap w:val="0"/>
            <w:vAlign w:val="center"/>
          </w:tcPr>
          <w:p w14:paraId="1A6080C9">
            <w:pPr>
              <w:keepNext w:val="0"/>
              <w:keepLines w:val="0"/>
              <w:suppressLineNumbers w:val="0"/>
              <w:spacing w:before="0" w:beforeAutospacing="0" w:after="0" w:afterAutospacing="0" w:line="300" w:lineRule="exact"/>
              <w:ind w:left="0" w:right="0"/>
              <w:jc w:val="center"/>
              <w:rPr>
                <w:rFonts w:hint="eastAsia" w:ascii="宋体" w:cs="宋体"/>
                <w:color w:val="000000"/>
                <w:sz w:val="24"/>
                <w:szCs w:val="24"/>
              </w:rPr>
            </w:pPr>
            <w:r>
              <w:rPr>
                <w:rFonts w:hint="eastAsia" w:ascii="宋体" w:cs="宋体"/>
                <w:color w:val="000000"/>
                <w:sz w:val="24"/>
                <w:szCs w:val="24"/>
              </w:rPr>
              <w:t>10</w:t>
            </w:r>
          </w:p>
        </w:tc>
        <w:tc>
          <w:tcPr>
            <w:tcW w:w="1841" w:type="dxa"/>
            <w:tcBorders>
              <w:top w:val="single" w:color="auto" w:sz="4" w:space="0"/>
              <w:left w:val="single" w:color="auto" w:sz="4" w:space="0"/>
              <w:bottom w:val="single" w:color="auto" w:sz="4" w:space="0"/>
              <w:right w:val="single" w:color="auto" w:sz="4" w:space="0"/>
            </w:tcBorders>
            <w:noWrap w:val="0"/>
            <w:vAlign w:val="center"/>
          </w:tcPr>
          <w:p w14:paraId="31F114EE">
            <w:pPr>
              <w:keepNext w:val="0"/>
              <w:keepLines w:val="0"/>
              <w:suppressLineNumbers w:val="0"/>
              <w:spacing w:before="0" w:beforeAutospacing="0" w:after="0" w:afterAutospacing="0" w:line="300" w:lineRule="exact"/>
              <w:ind w:left="0" w:right="0"/>
              <w:jc w:val="center"/>
              <w:rPr>
                <w:rFonts w:hint="eastAsia" w:ascii="宋体" w:cs="宋体"/>
                <w:color w:val="000000"/>
                <w:sz w:val="24"/>
                <w:szCs w:val="24"/>
              </w:rPr>
            </w:pPr>
            <w:r>
              <w:rPr>
                <w:rFonts w:hint="eastAsia" w:ascii="宋体" w:cs="宋体"/>
                <w:color w:val="000000"/>
                <w:sz w:val="24"/>
                <w:szCs w:val="24"/>
              </w:rPr>
              <w:t>8</w:t>
            </w:r>
          </w:p>
        </w:tc>
      </w:tr>
      <w:tr w14:paraId="29001D91">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auto" w:sz="4" w:space="0"/>
            </w:tcBorders>
            <w:noWrap w:val="0"/>
            <w:vAlign w:val="center"/>
          </w:tcPr>
          <w:p w14:paraId="235ECA8B">
            <w:pPr>
              <w:keepNext w:val="0"/>
              <w:keepLines w:val="0"/>
              <w:suppressLineNumbers w:val="0"/>
              <w:spacing w:before="0" w:beforeAutospacing="0" w:after="0" w:afterAutospacing="0"/>
              <w:ind w:left="0" w:right="0"/>
              <w:rPr>
                <w:rFonts w:hint="default"/>
              </w:rPr>
            </w:pPr>
          </w:p>
        </w:tc>
        <w:tc>
          <w:tcPr>
            <w:tcW w:w="1081" w:type="dxa"/>
            <w:vMerge w:val="continue"/>
            <w:tcBorders>
              <w:top w:val="single" w:color="auto" w:sz="4" w:space="0"/>
              <w:left w:val="single" w:color="auto" w:sz="4" w:space="0"/>
              <w:bottom w:val="single" w:color="auto" w:sz="4" w:space="0"/>
              <w:right w:val="single" w:color="auto" w:sz="4" w:space="0"/>
            </w:tcBorders>
            <w:noWrap w:val="0"/>
            <w:vAlign w:val="center"/>
          </w:tcPr>
          <w:p w14:paraId="7E20FEEC">
            <w:pPr>
              <w:keepNext w:val="0"/>
              <w:keepLines w:val="0"/>
              <w:suppressLineNumbers w:val="0"/>
              <w:spacing w:before="0" w:beforeAutospacing="0" w:after="0" w:afterAutospacing="0"/>
              <w:ind w:left="0" w:right="0"/>
              <w:rPr>
                <w:rFonts w:hint="default"/>
              </w:rPr>
            </w:pPr>
          </w:p>
        </w:tc>
        <w:tc>
          <w:tcPr>
            <w:tcW w:w="1250" w:type="dxa"/>
            <w:tcBorders>
              <w:top w:val="single" w:color="auto" w:sz="4" w:space="0"/>
              <w:left w:val="single" w:color="auto" w:sz="4" w:space="0"/>
              <w:bottom w:val="single" w:color="auto" w:sz="4" w:space="0"/>
              <w:right w:val="single" w:color="auto" w:sz="4" w:space="0"/>
            </w:tcBorders>
            <w:noWrap w:val="0"/>
            <w:vAlign w:val="center"/>
          </w:tcPr>
          <w:p w14:paraId="026A4210">
            <w:pPr>
              <w:keepNext w:val="0"/>
              <w:keepLines w:val="0"/>
              <w:widowControl/>
              <w:suppressLineNumbers w:val="0"/>
              <w:spacing w:before="0" w:beforeAutospacing="0" w:after="0" w:afterAutospacing="0" w:line="300" w:lineRule="exact"/>
              <w:ind w:left="0" w:right="0"/>
              <w:jc w:val="center"/>
              <w:textAlignment w:val="center"/>
              <w:rPr>
                <w:rFonts w:hint="eastAsia" w:ascii="宋体" w:cs="宋体"/>
                <w:color w:val="000000"/>
                <w:sz w:val="24"/>
                <w:szCs w:val="24"/>
              </w:rPr>
            </w:pPr>
            <w:r>
              <w:rPr>
                <w:rFonts w:hint="eastAsia" w:ascii="宋体" w:cs="宋体"/>
                <w:color w:val="000000"/>
                <w:kern w:val="0"/>
                <w:sz w:val="24"/>
                <w:szCs w:val="24"/>
                <w:lang w:bidi="ar"/>
              </w:rPr>
              <w:t>质量指标</w:t>
            </w:r>
          </w:p>
        </w:tc>
        <w:tc>
          <w:tcPr>
            <w:tcW w:w="1312" w:type="dxa"/>
            <w:tcBorders>
              <w:top w:val="single" w:color="auto" w:sz="4" w:space="0"/>
              <w:left w:val="single" w:color="auto" w:sz="4" w:space="0"/>
              <w:bottom w:val="single" w:color="auto" w:sz="4" w:space="0"/>
              <w:right w:val="single" w:color="auto" w:sz="4" w:space="0"/>
            </w:tcBorders>
            <w:noWrap w:val="0"/>
            <w:vAlign w:val="center"/>
          </w:tcPr>
          <w:p w14:paraId="40AE2359">
            <w:pPr>
              <w:keepNext w:val="0"/>
              <w:keepLines w:val="0"/>
              <w:widowControl/>
              <w:suppressLineNumbers w:val="0"/>
              <w:spacing w:before="0" w:beforeAutospacing="0" w:after="0" w:afterAutospacing="0"/>
              <w:ind w:left="0" w:right="0"/>
              <w:jc w:val="center"/>
              <w:rPr>
                <w:rFonts w:hint="eastAsia" w:ascii="宋体" w:cs="宋体"/>
                <w:color w:val="000000"/>
                <w:sz w:val="24"/>
                <w:szCs w:val="24"/>
              </w:rPr>
            </w:pPr>
            <w:r>
              <w:rPr>
                <w:rFonts w:hint="eastAsia" w:ascii="宋体" w:cs="宋体"/>
                <w:color w:val="000000"/>
                <w:kern w:val="0"/>
                <w:sz w:val="24"/>
                <w:szCs w:val="24"/>
                <w:lang w:bidi="ar"/>
              </w:rPr>
              <w:t>项目合格</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094F71F5">
            <w:pPr>
              <w:keepNext w:val="0"/>
              <w:keepLines w:val="0"/>
              <w:suppressLineNumbers w:val="0"/>
              <w:spacing w:before="0" w:beforeAutospacing="0" w:after="0" w:afterAutospacing="0" w:line="300" w:lineRule="exact"/>
              <w:ind w:left="0" w:right="0"/>
              <w:jc w:val="center"/>
              <w:rPr>
                <w:rFonts w:hint="eastAsia" w:ascii="宋体" w:cs="宋体"/>
                <w:color w:val="000000"/>
                <w:sz w:val="24"/>
                <w:szCs w:val="24"/>
              </w:rPr>
            </w:pPr>
            <w:r>
              <w:rPr>
                <w:rFonts w:hint="eastAsia" w:ascii="宋体" w:cs="宋体"/>
                <w:color w:val="000000"/>
                <w:kern w:val="0"/>
                <w:sz w:val="24"/>
                <w:szCs w:val="24"/>
                <w:lang w:bidi="ar"/>
              </w:rPr>
              <w:t>质量</w:t>
            </w:r>
          </w:p>
        </w:tc>
        <w:tc>
          <w:tcPr>
            <w:tcW w:w="971" w:type="dxa"/>
            <w:tcBorders>
              <w:top w:val="single" w:color="auto" w:sz="4" w:space="0"/>
              <w:left w:val="single" w:color="auto" w:sz="4" w:space="0"/>
              <w:bottom w:val="single" w:color="auto" w:sz="4" w:space="0"/>
              <w:right w:val="single" w:color="auto" w:sz="4" w:space="0"/>
            </w:tcBorders>
            <w:noWrap w:val="0"/>
            <w:vAlign w:val="center"/>
          </w:tcPr>
          <w:p w14:paraId="29DBFF68">
            <w:pPr>
              <w:keepNext w:val="0"/>
              <w:keepLines w:val="0"/>
              <w:suppressLineNumbers w:val="0"/>
              <w:spacing w:before="0" w:beforeAutospacing="0" w:after="0" w:afterAutospacing="0" w:line="300" w:lineRule="exact"/>
              <w:ind w:left="0" w:right="0"/>
              <w:jc w:val="center"/>
              <w:rPr>
                <w:rFonts w:hint="eastAsia" w:ascii="宋体" w:cs="宋体"/>
                <w:color w:val="000000"/>
                <w:sz w:val="24"/>
                <w:szCs w:val="24"/>
              </w:rPr>
            </w:pPr>
            <w:r>
              <w:rPr>
                <w:rFonts w:hint="eastAsia" w:ascii="宋体" w:cs="宋体"/>
                <w:color w:val="000000"/>
                <w:sz w:val="24"/>
                <w:szCs w:val="24"/>
              </w:rPr>
              <w:t>合格</w:t>
            </w:r>
          </w:p>
        </w:tc>
        <w:tc>
          <w:tcPr>
            <w:tcW w:w="1061" w:type="dxa"/>
            <w:tcBorders>
              <w:top w:val="single" w:color="auto" w:sz="4" w:space="0"/>
              <w:left w:val="single" w:color="auto" w:sz="4" w:space="0"/>
              <w:bottom w:val="single" w:color="auto" w:sz="4" w:space="0"/>
              <w:right w:val="single" w:color="auto" w:sz="4" w:space="0"/>
            </w:tcBorders>
            <w:noWrap w:val="0"/>
            <w:vAlign w:val="center"/>
          </w:tcPr>
          <w:p w14:paraId="5A22492A">
            <w:pPr>
              <w:keepNext w:val="0"/>
              <w:keepLines w:val="0"/>
              <w:suppressLineNumbers w:val="0"/>
              <w:spacing w:before="0" w:beforeAutospacing="0" w:after="0" w:afterAutospacing="0" w:line="300" w:lineRule="exact"/>
              <w:ind w:left="0" w:right="0"/>
              <w:jc w:val="center"/>
              <w:rPr>
                <w:rFonts w:hint="eastAsia" w:ascii="宋体" w:cs="宋体"/>
                <w:color w:val="000000"/>
                <w:sz w:val="24"/>
                <w:szCs w:val="24"/>
              </w:rPr>
            </w:pPr>
            <w:r>
              <w:rPr>
                <w:rFonts w:hint="eastAsia" w:ascii="宋体" w:cs="宋体"/>
                <w:color w:val="000000"/>
                <w:sz w:val="24"/>
                <w:szCs w:val="24"/>
              </w:rPr>
              <w:t>无</w:t>
            </w:r>
          </w:p>
        </w:tc>
        <w:tc>
          <w:tcPr>
            <w:tcW w:w="938" w:type="dxa"/>
            <w:tcBorders>
              <w:top w:val="single" w:color="auto" w:sz="4" w:space="0"/>
              <w:left w:val="single" w:color="auto" w:sz="4" w:space="0"/>
              <w:bottom w:val="single" w:color="auto" w:sz="4" w:space="0"/>
              <w:right w:val="single" w:color="auto" w:sz="4" w:space="0"/>
            </w:tcBorders>
            <w:noWrap w:val="0"/>
            <w:vAlign w:val="center"/>
          </w:tcPr>
          <w:p w14:paraId="132BFDC6">
            <w:pPr>
              <w:keepNext w:val="0"/>
              <w:keepLines w:val="0"/>
              <w:suppressLineNumbers w:val="0"/>
              <w:spacing w:before="0" w:beforeAutospacing="0" w:after="0" w:afterAutospacing="0" w:line="300" w:lineRule="exact"/>
              <w:ind w:left="0" w:right="0"/>
              <w:jc w:val="center"/>
              <w:rPr>
                <w:rFonts w:hint="eastAsia" w:ascii="宋体" w:cs="宋体"/>
                <w:color w:val="000000"/>
                <w:sz w:val="24"/>
                <w:szCs w:val="24"/>
              </w:rPr>
            </w:pPr>
            <w:r>
              <w:rPr>
                <w:rFonts w:hint="eastAsia" w:ascii="宋体" w:cs="宋体"/>
                <w:color w:val="000000"/>
                <w:sz w:val="24"/>
                <w:szCs w:val="24"/>
              </w:rPr>
              <w:t>15</w:t>
            </w:r>
          </w:p>
        </w:tc>
        <w:tc>
          <w:tcPr>
            <w:tcW w:w="1841" w:type="dxa"/>
            <w:tcBorders>
              <w:top w:val="single" w:color="auto" w:sz="4" w:space="0"/>
              <w:left w:val="single" w:color="auto" w:sz="4" w:space="0"/>
              <w:bottom w:val="single" w:color="auto" w:sz="4" w:space="0"/>
              <w:right w:val="single" w:color="auto" w:sz="4" w:space="0"/>
            </w:tcBorders>
            <w:noWrap w:val="0"/>
            <w:vAlign w:val="center"/>
          </w:tcPr>
          <w:p w14:paraId="7D9E94E7">
            <w:pPr>
              <w:keepNext w:val="0"/>
              <w:keepLines w:val="0"/>
              <w:suppressLineNumbers w:val="0"/>
              <w:spacing w:before="0" w:beforeAutospacing="0" w:after="0" w:afterAutospacing="0" w:line="300" w:lineRule="exact"/>
              <w:ind w:left="0" w:right="0"/>
              <w:jc w:val="center"/>
              <w:rPr>
                <w:rFonts w:hint="eastAsia" w:ascii="宋体" w:cs="宋体"/>
                <w:color w:val="000000"/>
                <w:sz w:val="24"/>
                <w:szCs w:val="24"/>
              </w:rPr>
            </w:pPr>
            <w:r>
              <w:rPr>
                <w:rFonts w:hint="eastAsia" w:ascii="宋体" w:cs="宋体"/>
                <w:color w:val="000000"/>
                <w:sz w:val="24"/>
                <w:szCs w:val="24"/>
              </w:rPr>
              <w:t>合格</w:t>
            </w:r>
          </w:p>
        </w:tc>
      </w:tr>
      <w:tr w14:paraId="4CE24D09">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auto" w:sz="4" w:space="0"/>
            </w:tcBorders>
            <w:noWrap w:val="0"/>
            <w:vAlign w:val="center"/>
          </w:tcPr>
          <w:p w14:paraId="5494C22B">
            <w:pPr>
              <w:keepNext w:val="0"/>
              <w:keepLines w:val="0"/>
              <w:suppressLineNumbers w:val="0"/>
              <w:spacing w:before="0" w:beforeAutospacing="0" w:after="0" w:afterAutospacing="0"/>
              <w:ind w:left="0" w:right="0"/>
              <w:rPr>
                <w:rFonts w:hint="default"/>
              </w:rPr>
            </w:pPr>
          </w:p>
        </w:tc>
        <w:tc>
          <w:tcPr>
            <w:tcW w:w="1081" w:type="dxa"/>
            <w:vMerge w:val="continue"/>
            <w:tcBorders>
              <w:top w:val="single" w:color="auto" w:sz="4" w:space="0"/>
              <w:left w:val="single" w:color="auto" w:sz="4" w:space="0"/>
              <w:bottom w:val="single" w:color="auto" w:sz="4" w:space="0"/>
              <w:right w:val="single" w:color="auto" w:sz="4" w:space="0"/>
            </w:tcBorders>
            <w:noWrap w:val="0"/>
            <w:vAlign w:val="center"/>
          </w:tcPr>
          <w:p w14:paraId="6379E32D">
            <w:pPr>
              <w:keepNext w:val="0"/>
              <w:keepLines w:val="0"/>
              <w:suppressLineNumbers w:val="0"/>
              <w:spacing w:before="0" w:beforeAutospacing="0" w:after="0" w:afterAutospacing="0"/>
              <w:ind w:left="0" w:right="0"/>
              <w:rPr>
                <w:rFonts w:hint="default"/>
              </w:rPr>
            </w:pPr>
          </w:p>
        </w:tc>
        <w:tc>
          <w:tcPr>
            <w:tcW w:w="1250" w:type="dxa"/>
            <w:tcBorders>
              <w:top w:val="single" w:color="auto" w:sz="4" w:space="0"/>
              <w:left w:val="single" w:color="auto" w:sz="4" w:space="0"/>
              <w:bottom w:val="single" w:color="auto" w:sz="4" w:space="0"/>
              <w:right w:val="single" w:color="auto" w:sz="4" w:space="0"/>
            </w:tcBorders>
            <w:noWrap w:val="0"/>
            <w:vAlign w:val="center"/>
          </w:tcPr>
          <w:p w14:paraId="2BE9DB6B">
            <w:pPr>
              <w:keepNext w:val="0"/>
              <w:keepLines w:val="0"/>
              <w:widowControl/>
              <w:suppressLineNumbers w:val="0"/>
              <w:spacing w:before="0" w:beforeAutospacing="0" w:after="0" w:afterAutospacing="0" w:line="300" w:lineRule="exact"/>
              <w:ind w:left="0" w:right="0"/>
              <w:jc w:val="center"/>
              <w:textAlignment w:val="center"/>
              <w:rPr>
                <w:rFonts w:hint="eastAsia" w:ascii="宋体" w:cs="宋体"/>
                <w:color w:val="000000"/>
                <w:sz w:val="24"/>
                <w:szCs w:val="24"/>
              </w:rPr>
            </w:pPr>
            <w:r>
              <w:rPr>
                <w:rFonts w:hint="eastAsia" w:ascii="宋体" w:cs="宋体"/>
                <w:color w:val="000000"/>
                <w:kern w:val="0"/>
                <w:sz w:val="24"/>
                <w:szCs w:val="24"/>
                <w:lang w:bidi="ar"/>
              </w:rPr>
              <w:t>时效指标</w:t>
            </w:r>
          </w:p>
        </w:tc>
        <w:tc>
          <w:tcPr>
            <w:tcW w:w="1312" w:type="dxa"/>
            <w:tcBorders>
              <w:top w:val="single" w:color="auto" w:sz="4" w:space="0"/>
              <w:left w:val="single" w:color="auto" w:sz="4" w:space="0"/>
              <w:bottom w:val="single" w:color="auto" w:sz="4" w:space="0"/>
              <w:right w:val="single" w:color="auto" w:sz="4" w:space="0"/>
            </w:tcBorders>
            <w:noWrap w:val="0"/>
            <w:vAlign w:val="center"/>
          </w:tcPr>
          <w:p w14:paraId="7DEFD65E">
            <w:pPr>
              <w:keepNext w:val="0"/>
              <w:keepLines w:val="0"/>
              <w:widowControl/>
              <w:suppressLineNumbers w:val="0"/>
              <w:spacing w:before="0" w:beforeAutospacing="0" w:after="0" w:afterAutospacing="0"/>
              <w:ind w:left="0" w:right="0"/>
              <w:jc w:val="center"/>
              <w:rPr>
                <w:rFonts w:hint="eastAsia" w:ascii="宋体" w:cs="宋体"/>
                <w:color w:val="000000"/>
                <w:sz w:val="24"/>
                <w:szCs w:val="24"/>
              </w:rPr>
            </w:pPr>
            <w:r>
              <w:rPr>
                <w:rFonts w:hint="eastAsia" w:ascii="宋体" w:cs="宋体"/>
                <w:color w:val="000000"/>
                <w:kern w:val="0"/>
                <w:sz w:val="24"/>
                <w:szCs w:val="24"/>
                <w:lang w:bidi="ar"/>
              </w:rPr>
              <w:t>按期完成建设进度</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1838DD89">
            <w:pPr>
              <w:keepNext w:val="0"/>
              <w:keepLines w:val="0"/>
              <w:suppressLineNumbers w:val="0"/>
              <w:spacing w:before="0" w:beforeAutospacing="0" w:after="0" w:afterAutospacing="0" w:line="300" w:lineRule="exact"/>
              <w:ind w:left="0" w:right="0"/>
              <w:jc w:val="center"/>
              <w:rPr>
                <w:rFonts w:hint="eastAsia" w:ascii="宋体" w:cs="宋体"/>
                <w:color w:val="000000"/>
                <w:sz w:val="24"/>
                <w:szCs w:val="24"/>
              </w:rPr>
            </w:pPr>
            <w:r>
              <w:rPr>
                <w:rFonts w:hint="eastAsia" w:ascii="宋体" w:cs="宋体"/>
                <w:color w:val="000000"/>
                <w:sz w:val="24"/>
                <w:szCs w:val="24"/>
              </w:rPr>
              <w:t>时效</w:t>
            </w:r>
          </w:p>
        </w:tc>
        <w:tc>
          <w:tcPr>
            <w:tcW w:w="971" w:type="dxa"/>
            <w:tcBorders>
              <w:top w:val="single" w:color="auto" w:sz="4" w:space="0"/>
              <w:left w:val="single" w:color="auto" w:sz="4" w:space="0"/>
              <w:bottom w:val="single" w:color="auto" w:sz="4" w:space="0"/>
              <w:right w:val="single" w:color="auto" w:sz="4" w:space="0"/>
            </w:tcBorders>
            <w:noWrap w:val="0"/>
            <w:vAlign w:val="center"/>
          </w:tcPr>
          <w:p w14:paraId="551273B7">
            <w:pPr>
              <w:keepNext w:val="0"/>
              <w:keepLines w:val="0"/>
              <w:widowControl/>
              <w:suppressLineNumbers w:val="0"/>
              <w:spacing w:before="0" w:beforeAutospacing="0" w:after="0" w:afterAutospacing="0"/>
              <w:ind w:left="0" w:right="0"/>
              <w:jc w:val="center"/>
              <w:rPr>
                <w:rFonts w:hint="eastAsia" w:ascii="宋体" w:cs="宋体"/>
                <w:color w:val="000000"/>
                <w:sz w:val="24"/>
                <w:szCs w:val="24"/>
              </w:rPr>
            </w:pPr>
            <w:r>
              <w:rPr>
                <w:rFonts w:hint="eastAsia" w:ascii="宋体" w:cs="宋体"/>
                <w:color w:val="000000"/>
                <w:kern w:val="0"/>
                <w:sz w:val="24"/>
                <w:szCs w:val="24"/>
                <w:lang w:bidi="ar"/>
              </w:rPr>
              <w:t>2023年6月底前完成</w:t>
            </w:r>
          </w:p>
        </w:tc>
        <w:tc>
          <w:tcPr>
            <w:tcW w:w="1061" w:type="dxa"/>
            <w:tcBorders>
              <w:top w:val="single" w:color="auto" w:sz="4" w:space="0"/>
              <w:left w:val="single" w:color="auto" w:sz="4" w:space="0"/>
              <w:bottom w:val="single" w:color="auto" w:sz="4" w:space="0"/>
              <w:right w:val="single" w:color="auto" w:sz="4" w:space="0"/>
            </w:tcBorders>
            <w:noWrap w:val="0"/>
            <w:vAlign w:val="center"/>
          </w:tcPr>
          <w:p w14:paraId="0E830EC0">
            <w:pPr>
              <w:keepNext w:val="0"/>
              <w:keepLines w:val="0"/>
              <w:suppressLineNumbers w:val="0"/>
              <w:spacing w:before="0" w:beforeAutospacing="0" w:after="0" w:afterAutospacing="0" w:line="300" w:lineRule="exact"/>
              <w:ind w:left="0" w:right="0"/>
              <w:jc w:val="center"/>
              <w:rPr>
                <w:rFonts w:hint="eastAsia" w:ascii="宋体" w:cs="宋体"/>
                <w:color w:val="000000"/>
                <w:sz w:val="24"/>
                <w:szCs w:val="24"/>
              </w:rPr>
            </w:pPr>
            <w:r>
              <w:rPr>
                <w:rFonts w:hint="eastAsia" w:ascii="宋体" w:cs="宋体"/>
                <w:color w:val="000000"/>
                <w:sz w:val="24"/>
                <w:szCs w:val="24"/>
              </w:rPr>
              <w:t>无</w:t>
            </w:r>
          </w:p>
        </w:tc>
        <w:tc>
          <w:tcPr>
            <w:tcW w:w="938" w:type="dxa"/>
            <w:tcBorders>
              <w:top w:val="single" w:color="auto" w:sz="4" w:space="0"/>
              <w:left w:val="single" w:color="auto" w:sz="4" w:space="0"/>
              <w:bottom w:val="single" w:color="auto" w:sz="4" w:space="0"/>
              <w:right w:val="single" w:color="auto" w:sz="4" w:space="0"/>
            </w:tcBorders>
            <w:noWrap w:val="0"/>
            <w:vAlign w:val="center"/>
          </w:tcPr>
          <w:p w14:paraId="05DC09A6">
            <w:pPr>
              <w:keepNext w:val="0"/>
              <w:keepLines w:val="0"/>
              <w:suppressLineNumbers w:val="0"/>
              <w:spacing w:before="0" w:beforeAutospacing="0" w:after="0" w:afterAutospacing="0" w:line="300" w:lineRule="exact"/>
              <w:ind w:left="0" w:right="0"/>
              <w:jc w:val="center"/>
              <w:rPr>
                <w:rFonts w:hint="eastAsia" w:ascii="宋体" w:cs="宋体"/>
                <w:color w:val="000000"/>
                <w:sz w:val="24"/>
                <w:szCs w:val="24"/>
              </w:rPr>
            </w:pPr>
            <w:r>
              <w:rPr>
                <w:rFonts w:hint="eastAsia" w:ascii="宋体" w:cs="宋体"/>
                <w:color w:val="000000"/>
                <w:sz w:val="24"/>
                <w:szCs w:val="24"/>
              </w:rPr>
              <w:t>15</w:t>
            </w:r>
          </w:p>
        </w:tc>
        <w:tc>
          <w:tcPr>
            <w:tcW w:w="1841" w:type="dxa"/>
            <w:tcBorders>
              <w:top w:val="single" w:color="auto" w:sz="4" w:space="0"/>
              <w:left w:val="single" w:color="auto" w:sz="4" w:space="0"/>
              <w:bottom w:val="single" w:color="auto" w:sz="4" w:space="0"/>
              <w:right w:val="single" w:color="auto" w:sz="4" w:space="0"/>
            </w:tcBorders>
            <w:noWrap w:val="0"/>
            <w:vAlign w:val="center"/>
          </w:tcPr>
          <w:p w14:paraId="6334116D">
            <w:pPr>
              <w:keepNext w:val="0"/>
              <w:keepLines w:val="0"/>
              <w:suppressLineNumbers w:val="0"/>
              <w:spacing w:before="0" w:beforeAutospacing="0" w:after="0" w:afterAutospacing="0" w:line="300" w:lineRule="exact"/>
              <w:ind w:left="0" w:right="0"/>
              <w:jc w:val="center"/>
              <w:rPr>
                <w:rFonts w:hint="eastAsia" w:ascii="宋体" w:cs="宋体"/>
                <w:color w:val="000000"/>
                <w:sz w:val="24"/>
                <w:szCs w:val="24"/>
              </w:rPr>
            </w:pPr>
            <w:r>
              <w:rPr>
                <w:rFonts w:hint="eastAsia" w:ascii="宋体" w:cs="宋体"/>
                <w:color w:val="000000"/>
                <w:sz w:val="24"/>
                <w:szCs w:val="24"/>
              </w:rPr>
              <w:t>按期完成</w:t>
            </w:r>
          </w:p>
        </w:tc>
      </w:tr>
      <w:tr w14:paraId="4826B6CD">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auto" w:sz="4" w:space="0"/>
            </w:tcBorders>
            <w:noWrap w:val="0"/>
            <w:vAlign w:val="center"/>
          </w:tcPr>
          <w:p w14:paraId="7C8D0825">
            <w:pPr>
              <w:keepNext w:val="0"/>
              <w:keepLines w:val="0"/>
              <w:suppressLineNumbers w:val="0"/>
              <w:spacing w:before="0" w:beforeAutospacing="0" w:after="0" w:afterAutospacing="0"/>
              <w:ind w:left="0" w:right="0"/>
              <w:rPr>
                <w:rFonts w:hint="default"/>
              </w:rPr>
            </w:pPr>
          </w:p>
        </w:tc>
        <w:tc>
          <w:tcPr>
            <w:tcW w:w="1081" w:type="dxa"/>
            <w:vMerge w:val="restart"/>
            <w:tcBorders>
              <w:top w:val="single" w:color="auto" w:sz="4" w:space="0"/>
              <w:left w:val="single" w:color="auto" w:sz="4" w:space="0"/>
              <w:bottom w:val="single" w:color="auto" w:sz="4" w:space="0"/>
              <w:right w:val="single" w:color="auto" w:sz="4" w:space="0"/>
            </w:tcBorders>
            <w:noWrap w:val="0"/>
            <w:vAlign w:val="center"/>
          </w:tcPr>
          <w:p w14:paraId="4BB80D4B">
            <w:pPr>
              <w:keepNext w:val="0"/>
              <w:keepLines w:val="0"/>
              <w:suppressLineNumbers w:val="0"/>
              <w:spacing w:before="0" w:beforeAutospacing="0" w:after="0" w:afterAutospacing="0" w:line="300" w:lineRule="exact"/>
              <w:ind w:left="0" w:right="0"/>
              <w:jc w:val="center"/>
              <w:rPr>
                <w:rFonts w:hint="eastAsia" w:ascii="宋体" w:cs="宋体"/>
                <w:color w:val="000000"/>
                <w:sz w:val="24"/>
                <w:szCs w:val="24"/>
              </w:rPr>
            </w:pPr>
            <w:r>
              <w:rPr>
                <w:rFonts w:hint="eastAsia" w:ascii="宋体" w:cs="宋体"/>
                <w:color w:val="000000"/>
                <w:kern w:val="0"/>
                <w:sz w:val="24"/>
                <w:szCs w:val="24"/>
                <w:lang w:bidi="ar"/>
              </w:rPr>
              <w:t>效益指标</w:t>
            </w:r>
          </w:p>
        </w:tc>
        <w:tc>
          <w:tcPr>
            <w:tcW w:w="1250" w:type="dxa"/>
            <w:tcBorders>
              <w:top w:val="single" w:color="auto" w:sz="4" w:space="0"/>
              <w:left w:val="single" w:color="auto" w:sz="4" w:space="0"/>
              <w:bottom w:val="single" w:color="auto" w:sz="4" w:space="0"/>
              <w:right w:val="single" w:color="auto" w:sz="4" w:space="0"/>
            </w:tcBorders>
            <w:noWrap w:val="0"/>
            <w:vAlign w:val="center"/>
          </w:tcPr>
          <w:p w14:paraId="0EE619EF">
            <w:pPr>
              <w:keepNext w:val="0"/>
              <w:keepLines w:val="0"/>
              <w:widowControl/>
              <w:suppressLineNumbers w:val="0"/>
              <w:spacing w:before="0" w:beforeAutospacing="0" w:after="0" w:afterAutospacing="0" w:line="300" w:lineRule="exact"/>
              <w:ind w:left="0" w:right="0"/>
              <w:jc w:val="center"/>
              <w:textAlignment w:val="center"/>
              <w:rPr>
                <w:rFonts w:hint="eastAsia" w:ascii="宋体" w:cs="宋体"/>
                <w:color w:val="000000"/>
                <w:kern w:val="0"/>
                <w:sz w:val="24"/>
                <w:szCs w:val="24"/>
                <w:lang w:bidi="ar"/>
              </w:rPr>
            </w:pPr>
            <w:r>
              <w:rPr>
                <w:rFonts w:hint="eastAsia" w:ascii="宋体" w:cs="宋体"/>
                <w:color w:val="000000"/>
                <w:kern w:val="0"/>
                <w:sz w:val="24"/>
                <w:szCs w:val="24"/>
                <w:lang w:bidi="ar"/>
              </w:rPr>
              <w:t>经济成本</w:t>
            </w:r>
          </w:p>
          <w:p w14:paraId="1F1F39A8">
            <w:pPr>
              <w:keepNext w:val="0"/>
              <w:keepLines w:val="0"/>
              <w:widowControl/>
              <w:suppressLineNumbers w:val="0"/>
              <w:spacing w:before="0" w:beforeAutospacing="0" w:after="0" w:afterAutospacing="0" w:line="300" w:lineRule="exact"/>
              <w:ind w:left="0" w:right="0"/>
              <w:jc w:val="center"/>
              <w:textAlignment w:val="center"/>
              <w:rPr>
                <w:rFonts w:hint="eastAsia" w:ascii="宋体" w:cs="宋体"/>
                <w:color w:val="000000"/>
                <w:sz w:val="24"/>
                <w:szCs w:val="24"/>
              </w:rPr>
            </w:pPr>
            <w:r>
              <w:rPr>
                <w:rFonts w:hint="eastAsia" w:ascii="宋体" w:cs="宋体"/>
                <w:color w:val="000000"/>
                <w:kern w:val="0"/>
                <w:sz w:val="24"/>
                <w:szCs w:val="24"/>
                <w:lang w:bidi="ar"/>
              </w:rPr>
              <w:t>指标</w:t>
            </w:r>
          </w:p>
        </w:tc>
        <w:tc>
          <w:tcPr>
            <w:tcW w:w="1312" w:type="dxa"/>
            <w:tcBorders>
              <w:top w:val="single" w:color="auto" w:sz="4" w:space="0"/>
              <w:left w:val="single" w:color="auto" w:sz="4" w:space="0"/>
              <w:bottom w:val="single" w:color="auto" w:sz="4" w:space="0"/>
              <w:right w:val="single" w:color="auto" w:sz="4" w:space="0"/>
            </w:tcBorders>
            <w:noWrap w:val="0"/>
            <w:vAlign w:val="center"/>
          </w:tcPr>
          <w:p w14:paraId="4881A0D0">
            <w:pPr>
              <w:keepNext w:val="0"/>
              <w:keepLines w:val="0"/>
              <w:suppressLineNumbers w:val="0"/>
              <w:spacing w:before="0" w:beforeAutospacing="0" w:after="0" w:afterAutospacing="0" w:line="300" w:lineRule="exact"/>
              <w:ind w:left="0" w:right="0"/>
              <w:jc w:val="center"/>
              <w:rPr>
                <w:rFonts w:hint="eastAsia" w:ascii="宋体" w:cs="宋体"/>
                <w:color w:val="000000"/>
                <w:sz w:val="24"/>
                <w:szCs w:val="24"/>
              </w:rPr>
            </w:pPr>
            <w:r>
              <w:rPr>
                <w:rFonts w:hint="eastAsia" w:ascii="宋体" w:cs="宋体"/>
                <w:color w:val="000000"/>
                <w:sz w:val="24"/>
                <w:szCs w:val="24"/>
              </w:rPr>
              <w:t>项目建设成本</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064BCB7F">
            <w:pPr>
              <w:keepNext w:val="0"/>
              <w:keepLines w:val="0"/>
              <w:suppressLineNumbers w:val="0"/>
              <w:spacing w:before="0" w:beforeAutospacing="0" w:after="0" w:afterAutospacing="0" w:line="300" w:lineRule="exact"/>
              <w:ind w:left="0" w:right="0"/>
              <w:jc w:val="center"/>
              <w:rPr>
                <w:rFonts w:hint="eastAsia" w:ascii="宋体" w:cs="宋体"/>
                <w:color w:val="000000"/>
                <w:sz w:val="24"/>
                <w:szCs w:val="24"/>
              </w:rPr>
            </w:pPr>
            <w:r>
              <w:rPr>
                <w:rFonts w:hint="eastAsia" w:ascii="宋体" w:cs="宋体"/>
                <w:color w:val="000000"/>
                <w:kern w:val="0"/>
                <w:sz w:val="24"/>
                <w:szCs w:val="24"/>
                <w:lang w:bidi="ar"/>
              </w:rPr>
              <w:t>经济</w:t>
            </w:r>
            <w:r>
              <w:rPr>
                <w:rFonts w:hint="eastAsia" w:ascii="宋体" w:cs="宋体"/>
                <w:color w:val="000000"/>
                <w:sz w:val="24"/>
                <w:szCs w:val="24"/>
              </w:rPr>
              <w:t>成本</w:t>
            </w:r>
          </w:p>
        </w:tc>
        <w:tc>
          <w:tcPr>
            <w:tcW w:w="971" w:type="dxa"/>
            <w:tcBorders>
              <w:top w:val="single" w:color="auto" w:sz="4" w:space="0"/>
              <w:left w:val="single" w:color="auto" w:sz="4" w:space="0"/>
              <w:bottom w:val="single" w:color="auto" w:sz="4" w:space="0"/>
              <w:right w:val="single" w:color="auto" w:sz="4" w:space="0"/>
            </w:tcBorders>
            <w:noWrap w:val="0"/>
            <w:vAlign w:val="center"/>
          </w:tcPr>
          <w:p w14:paraId="123EF7EF">
            <w:pPr>
              <w:keepNext w:val="0"/>
              <w:keepLines w:val="0"/>
              <w:suppressLineNumbers w:val="0"/>
              <w:spacing w:before="0" w:beforeAutospacing="0" w:after="0" w:afterAutospacing="0" w:line="300" w:lineRule="exact"/>
              <w:ind w:left="0" w:right="0"/>
              <w:jc w:val="center"/>
              <w:rPr>
                <w:rFonts w:hint="eastAsia" w:ascii="宋体" w:cs="宋体"/>
                <w:color w:val="000000"/>
                <w:sz w:val="24"/>
                <w:szCs w:val="24"/>
              </w:rPr>
            </w:pPr>
            <w:r>
              <w:rPr>
                <w:rFonts w:hint="eastAsia" w:ascii="宋体" w:cs="宋体"/>
                <w:color w:val="000000"/>
                <w:sz w:val="24"/>
                <w:szCs w:val="24"/>
              </w:rPr>
              <w:t>不高于当地同类项目</w:t>
            </w:r>
          </w:p>
        </w:tc>
        <w:tc>
          <w:tcPr>
            <w:tcW w:w="1061" w:type="dxa"/>
            <w:tcBorders>
              <w:top w:val="single" w:color="auto" w:sz="4" w:space="0"/>
              <w:left w:val="single" w:color="auto" w:sz="4" w:space="0"/>
              <w:bottom w:val="single" w:color="auto" w:sz="4" w:space="0"/>
              <w:right w:val="single" w:color="auto" w:sz="4" w:space="0"/>
            </w:tcBorders>
            <w:noWrap w:val="0"/>
            <w:vAlign w:val="center"/>
          </w:tcPr>
          <w:p w14:paraId="2470776A">
            <w:pPr>
              <w:keepNext w:val="0"/>
              <w:keepLines w:val="0"/>
              <w:suppressLineNumbers w:val="0"/>
              <w:spacing w:before="0" w:beforeAutospacing="0" w:after="0" w:afterAutospacing="0" w:line="300" w:lineRule="exact"/>
              <w:ind w:left="0" w:right="0"/>
              <w:jc w:val="center"/>
              <w:rPr>
                <w:rFonts w:hint="eastAsia" w:ascii="宋体" w:cs="宋体"/>
                <w:color w:val="000000"/>
                <w:sz w:val="24"/>
                <w:szCs w:val="24"/>
              </w:rPr>
            </w:pPr>
            <w:r>
              <w:rPr>
                <w:rFonts w:hint="eastAsia" w:ascii="宋体" w:cs="宋体"/>
                <w:color w:val="000000"/>
                <w:sz w:val="24"/>
                <w:szCs w:val="24"/>
              </w:rPr>
              <w:t>无</w:t>
            </w:r>
          </w:p>
        </w:tc>
        <w:tc>
          <w:tcPr>
            <w:tcW w:w="938" w:type="dxa"/>
            <w:tcBorders>
              <w:top w:val="single" w:color="auto" w:sz="4" w:space="0"/>
              <w:left w:val="single" w:color="auto" w:sz="4" w:space="0"/>
              <w:bottom w:val="single" w:color="auto" w:sz="4" w:space="0"/>
              <w:right w:val="single" w:color="auto" w:sz="4" w:space="0"/>
            </w:tcBorders>
            <w:noWrap w:val="0"/>
            <w:vAlign w:val="center"/>
          </w:tcPr>
          <w:p w14:paraId="7D1E18D2">
            <w:pPr>
              <w:keepNext w:val="0"/>
              <w:keepLines w:val="0"/>
              <w:suppressLineNumbers w:val="0"/>
              <w:spacing w:before="0" w:beforeAutospacing="0" w:after="0" w:afterAutospacing="0" w:line="300" w:lineRule="exact"/>
              <w:ind w:left="0" w:right="0"/>
              <w:jc w:val="center"/>
              <w:rPr>
                <w:rFonts w:hint="eastAsia" w:ascii="宋体" w:cs="宋体"/>
                <w:color w:val="000000"/>
                <w:sz w:val="24"/>
                <w:szCs w:val="24"/>
              </w:rPr>
            </w:pPr>
            <w:r>
              <w:rPr>
                <w:rFonts w:hint="eastAsia" w:ascii="宋体" w:cs="宋体"/>
                <w:color w:val="000000"/>
                <w:sz w:val="24"/>
                <w:szCs w:val="24"/>
              </w:rPr>
              <w:t>15</w:t>
            </w:r>
          </w:p>
        </w:tc>
        <w:tc>
          <w:tcPr>
            <w:tcW w:w="1841" w:type="dxa"/>
            <w:tcBorders>
              <w:top w:val="single" w:color="auto" w:sz="4" w:space="0"/>
              <w:left w:val="single" w:color="auto" w:sz="4" w:space="0"/>
              <w:bottom w:val="single" w:color="auto" w:sz="4" w:space="0"/>
              <w:right w:val="single" w:color="auto" w:sz="4" w:space="0"/>
            </w:tcBorders>
            <w:noWrap w:val="0"/>
            <w:vAlign w:val="center"/>
          </w:tcPr>
          <w:p w14:paraId="5161DD25">
            <w:pPr>
              <w:keepNext w:val="0"/>
              <w:keepLines w:val="0"/>
              <w:suppressLineNumbers w:val="0"/>
              <w:spacing w:before="0" w:beforeAutospacing="0" w:after="0" w:afterAutospacing="0" w:line="300" w:lineRule="exact"/>
              <w:ind w:left="0" w:right="0"/>
              <w:jc w:val="center"/>
              <w:rPr>
                <w:rFonts w:hint="eastAsia" w:ascii="宋体" w:cs="宋体"/>
                <w:color w:val="000000"/>
                <w:sz w:val="24"/>
                <w:szCs w:val="24"/>
              </w:rPr>
            </w:pPr>
            <w:r>
              <w:rPr>
                <w:rFonts w:hint="eastAsia" w:ascii="宋体" w:cs="宋体"/>
                <w:color w:val="000000"/>
                <w:sz w:val="24"/>
                <w:szCs w:val="24"/>
              </w:rPr>
              <w:t>未高于当地同类项目</w:t>
            </w:r>
          </w:p>
        </w:tc>
      </w:tr>
      <w:tr w14:paraId="514F1355">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auto" w:sz="4" w:space="0"/>
            </w:tcBorders>
            <w:noWrap w:val="0"/>
            <w:vAlign w:val="center"/>
          </w:tcPr>
          <w:p w14:paraId="5BBAAA04">
            <w:pPr>
              <w:keepNext w:val="0"/>
              <w:keepLines w:val="0"/>
              <w:suppressLineNumbers w:val="0"/>
              <w:spacing w:before="0" w:beforeAutospacing="0" w:after="0" w:afterAutospacing="0"/>
              <w:ind w:left="0" w:right="0"/>
              <w:rPr>
                <w:rFonts w:hint="default"/>
              </w:rPr>
            </w:pPr>
          </w:p>
        </w:tc>
        <w:tc>
          <w:tcPr>
            <w:tcW w:w="1081" w:type="dxa"/>
            <w:vMerge w:val="continue"/>
            <w:tcBorders>
              <w:top w:val="single" w:color="auto" w:sz="4" w:space="0"/>
              <w:left w:val="single" w:color="auto" w:sz="4" w:space="0"/>
              <w:bottom w:val="single" w:color="auto" w:sz="4" w:space="0"/>
              <w:right w:val="single" w:color="auto" w:sz="4" w:space="0"/>
            </w:tcBorders>
            <w:noWrap w:val="0"/>
            <w:vAlign w:val="center"/>
          </w:tcPr>
          <w:p w14:paraId="0FF32614">
            <w:pPr>
              <w:keepNext w:val="0"/>
              <w:keepLines w:val="0"/>
              <w:suppressLineNumbers w:val="0"/>
              <w:spacing w:before="0" w:beforeAutospacing="0" w:after="0" w:afterAutospacing="0"/>
              <w:ind w:left="0" w:right="0"/>
              <w:rPr>
                <w:rFonts w:hint="default"/>
              </w:rPr>
            </w:pPr>
          </w:p>
        </w:tc>
        <w:tc>
          <w:tcPr>
            <w:tcW w:w="1250" w:type="dxa"/>
            <w:tcBorders>
              <w:top w:val="single" w:color="auto" w:sz="4" w:space="0"/>
              <w:left w:val="single" w:color="auto" w:sz="4" w:space="0"/>
              <w:bottom w:val="single" w:color="auto" w:sz="4" w:space="0"/>
              <w:right w:val="single" w:color="auto" w:sz="4" w:space="0"/>
            </w:tcBorders>
            <w:noWrap w:val="0"/>
            <w:vAlign w:val="center"/>
          </w:tcPr>
          <w:p w14:paraId="2B78C676">
            <w:pPr>
              <w:keepNext w:val="0"/>
              <w:keepLines w:val="0"/>
              <w:widowControl/>
              <w:suppressLineNumbers w:val="0"/>
              <w:spacing w:before="0" w:beforeAutospacing="0" w:after="0" w:afterAutospacing="0" w:line="300" w:lineRule="exact"/>
              <w:ind w:left="0" w:right="0"/>
              <w:jc w:val="center"/>
              <w:textAlignment w:val="center"/>
              <w:rPr>
                <w:rFonts w:hint="eastAsia" w:ascii="宋体" w:cs="宋体"/>
                <w:color w:val="000000"/>
                <w:kern w:val="0"/>
                <w:sz w:val="24"/>
                <w:szCs w:val="24"/>
                <w:lang w:bidi="ar"/>
              </w:rPr>
            </w:pPr>
            <w:r>
              <w:rPr>
                <w:rFonts w:hint="eastAsia" w:ascii="宋体" w:cs="宋体"/>
                <w:color w:val="000000"/>
                <w:kern w:val="0"/>
                <w:sz w:val="24"/>
                <w:szCs w:val="24"/>
                <w:lang w:bidi="ar"/>
              </w:rPr>
              <w:t>社会效益</w:t>
            </w:r>
          </w:p>
          <w:p w14:paraId="42CBEEBB">
            <w:pPr>
              <w:keepNext w:val="0"/>
              <w:keepLines w:val="0"/>
              <w:widowControl/>
              <w:suppressLineNumbers w:val="0"/>
              <w:spacing w:before="0" w:beforeAutospacing="0" w:after="0" w:afterAutospacing="0" w:line="300" w:lineRule="exact"/>
              <w:ind w:left="0" w:right="0"/>
              <w:jc w:val="center"/>
              <w:textAlignment w:val="center"/>
              <w:rPr>
                <w:rFonts w:hint="eastAsia" w:ascii="宋体" w:cs="宋体"/>
                <w:color w:val="000000"/>
                <w:sz w:val="24"/>
                <w:szCs w:val="24"/>
              </w:rPr>
            </w:pPr>
            <w:r>
              <w:rPr>
                <w:rFonts w:hint="eastAsia" w:ascii="宋体" w:cs="宋体"/>
                <w:color w:val="000000"/>
                <w:kern w:val="0"/>
                <w:sz w:val="24"/>
                <w:szCs w:val="24"/>
                <w:lang w:bidi="ar"/>
              </w:rPr>
              <w:t>指标</w:t>
            </w:r>
          </w:p>
        </w:tc>
        <w:tc>
          <w:tcPr>
            <w:tcW w:w="1312" w:type="dxa"/>
            <w:tcBorders>
              <w:top w:val="single" w:color="auto" w:sz="4" w:space="0"/>
              <w:left w:val="single" w:color="auto" w:sz="4" w:space="0"/>
              <w:bottom w:val="single" w:color="auto" w:sz="4" w:space="0"/>
              <w:right w:val="single" w:color="auto" w:sz="4" w:space="0"/>
            </w:tcBorders>
            <w:noWrap w:val="0"/>
            <w:vAlign w:val="center"/>
          </w:tcPr>
          <w:p w14:paraId="5991C199">
            <w:pPr>
              <w:keepNext w:val="0"/>
              <w:keepLines w:val="0"/>
              <w:suppressLineNumbers w:val="0"/>
              <w:spacing w:before="0" w:beforeAutospacing="0" w:after="0" w:afterAutospacing="0" w:line="300" w:lineRule="exact"/>
              <w:ind w:left="0" w:right="0"/>
              <w:jc w:val="center"/>
              <w:rPr>
                <w:rFonts w:hint="eastAsia" w:ascii="宋体" w:cs="宋体"/>
                <w:color w:val="000000"/>
                <w:sz w:val="24"/>
                <w:szCs w:val="24"/>
              </w:rPr>
            </w:pPr>
            <w:r>
              <w:rPr>
                <w:rFonts w:hint="eastAsia" w:ascii="宋体" w:cs="宋体"/>
                <w:color w:val="000000"/>
                <w:sz w:val="24"/>
                <w:szCs w:val="24"/>
              </w:rPr>
              <w:t>提高干部幸福感、获得感</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17E19916">
            <w:pPr>
              <w:keepNext w:val="0"/>
              <w:keepLines w:val="0"/>
              <w:suppressLineNumbers w:val="0"/>
              <w:spacing w:before="0" w:beforeAutospacing="0" w:after="0" w:afterAutospacing="0" w:line="300" w:lineRule="exact"/>
              <w:ind w:left="0" w:right="0"/>
              <w:jc w:val="center"/>
              <w:rPr>
                <w:rFonts w:hint="eastAsia" w:ascii="宋体" w:cs="宋体"/>
                <w:color w:val="000000"/>
                <w:sz w:val="24"/>
                <w:szCs w:val="24"/>
              </w:rPr>
            </w:pPr>
            <w:r>
              <w:rPr>
                <w:rFonts w:hint="eastAsia" w:ascii="宋体" w:cs="宋体"/>
                <w:color w:val="000000"/>
                <w:kern w:val="0"/>
                <w:sz w:val="24"/>
                <w:szCs w:val="24"/>
                <w:lang w:bidi="ar"/>
              </w:rPr>
              <w:t>社会效益</w:t>
            </w:r>
          </w:p>
        </w:tc>
        <w:tc>
          <w:tcPr>
            <w:tcW w:w="971" w:type="dxa"/>
            <w:tcBorders>
              <w:top w:val="single" w:color="auto" w:sz="4" w:space="0"/>
              <w:left w:val="single" w:color="auto" w:sz="4" w:space="0"/>
              <w:bottom w:val="single" w:color="auto" w:sz="4" w:space="0"/>
              <w:right w:val="single" w:color="auto" w:sz="4" w:space="0"/>
            </w:tcBorders>
            <w:noWrap w:val="0"/>
            <w:vAlign w:val="center"/>
          </w:tcPr>
          <w:p w14:paraId="5C825833">
            <w:pPr>
              <w:keepNext w:val="0"/>
              <w:keepLines w:val="0"/>
              <w:suppressLineNumbers w:val="0"/>
              <w:spacing w:before="0" w:beforeAutospacing="0" w:after="0" w:afterAutospacing="0" w:line="300" w:lineRule="exact"/>
              <w:ind w:left="0" w:right="0"/>
              <w:jc w:val="center"/>
              <w:rPr>
                <w:rFonts w:hint="eastAsia" w:ascii="宋体" w:cs="宋体"/>
                <w:color w:val="000000"/>
                <w:sz w:val="24"/>
                <w:szCs w:val="24"/>
              </w:rPr>
            </w:pPr>
            <w:r>
              <w:rPr>
                <w:rFonts w:hint="eastAsia" w:ascii="宋体" w:cs="宋体"/>
                <w:color w:val="000000"/>
                <w:sz w:val="24"/>
                <w:szCs w:val="24"/>
              </w:rPr>
              <w:t>有效提高</w:t>
            </w:r>
          </w:p>
        </w:tc>
        <w:tc>
          <w:tcPr>
            <w:tcW w:w="1061" w:type="dxa"/>
            <w:tcBorders>
              <w:top w:val="single" w:color="auto" w:sz="4" w:space="0"/>
              <w:left w:val="single" w:color="auto" w:sz="4" w:space="0"/>
              <w:bottom w:val="single" w:color="auto" w:sz="4" w:space="0"/>
              <w:right w:val="single" w:color="auto" w:sz="4" w:space="0"/>
            </w:tcBorders>
            <w:noWrap w:val="0"/>
            <w:vAlign w:val="center"/>
          </w:tcPr>
          <w:p w14:paraId="57B4B464">
            <w:pPr>
              <w:keepNext w:val="0"/>
              <w:keepLines w:val="0"/>
              <w:suppressLineNumbers w:val="0"/>
              <w:spacing w:before="0" w:beforeAutospacing="0" w:after="0" w:afterAutospacing="0" w:line="300" w:lineRule="exact"/>
              <w:ind w:left="0" w:right="0"/>
              <w:jc w:val="center"/>
              <w:rPr>
                <w:rFonts w:hint="eastAsia" w:ascii="宋体" w:cs="宋体"/>
                <w:color w:val="000000"/>
                <w:sz w:val="24"/>
                <w:szCs w:val="24"/>
              </w:rPr>
            </w:pPr>
            <w:r>
              <w:rPr>
                <w:rFonts w:hint="eastAsia" w:ascii="宋体" w:cs="宋体"/>
                <w:color w:val="000000"/>
                <w:sz w:val="24"/>
                <w:szCs w:val="24"/>
              </w:rPr>
              <w:t>无</w:t>
            </w:r>
          </w:p>
        </w:tc>
        <w:tc>
          <w:tcPr>
            <w:tcW w:w="938" w:type="dxa"/>
            <w:tcBorders>
              <w:top w:val="single" w:color="auto" w:sz="4" w:space="0"/>
              <w:left w:val="single" w:color="auto" w:sz="4" w:space="0"/>
              <w:bottom w:val="single" w:color="auto" w:sz="4" w:space="0"/>
              <w:right w:val="single" w:color="auto" w:sz="4" w:space="0"/>
            </w:tcBorders>
            <w:noWrap w:val="0"/>
            <w:vAlign w:val="center"/>
          </w:tcPr>
          <w:p w14:paraId="4A83DBFA">
            <w:pPr>
              <w:keepNext w:val="0"/>
              <w:keepLines w:val="0"/>
              <w:suppressLineNumbers w:val="0"/>
              <w:spacing w:before="0" w:beforeAutospacing="0" w:after="0" w:afterAutospacing="0" w:line="300" w:lineRule="exact"/>
              <w:ind w:left="0" w:right="0"/>
              <w:jc w:val="center"/>
              <w:rPr>
                <w:rFonts w:hint="eastAsia" w:ascii="宋体" w:cs="宋体"/>
                <w:color w:val="000000"/>
                <w:sz w:val="24"/>
                <w:szCs w:val="24"/>
              </w:rPr>
            </w:pPr>
            <w:r>
              <w:rPr>
                <w:rFonts w:hint="eastAsia" w:ascii="宋体" w:cs="宋体"/>
                <w:color w:val="000000"/>
                <w:sz w:val="24"/>
                <w:szCs w:val="24"/>
              </w:rPr>
              <w:t>15</w:t>
            </w:r>
          </w:p>
        </w:tc>
        <w:tc>
          <w:tcPr>
            <w:tcW w:w="1841" w:type="dxa"/>
            <w:tcBorders>
              <w:top w:val="single" w:color="auto" w:sz="4" w:space="0"/>
              <w:left w:val="single" w:color="auto" w:sz="4" w:space="0"/>
              <w:bottom w:val="single" w:color="auto" w:sz="4" w:space="0"/>
              <w:right w:val="single" w:color="auto" w:sz="4" w:space="0"/>
            </w:tcBorders>
            <w:noWrap w:val="0"/>
            <w:vAlign w:val="center"/>
          </w:tcPr>
          <w:p w14:paraId="779C9AA6">
            <w:pPr>
              <w:keepNext w:val="0"/>
              <w:keepLines w:val="0"/>
              <w:suppressLineNumbers w:val="0"/>
              <w:spacing w:before="0" w:beforeAutospacing="0" w:after="0" w:afterAutospacing="0" w:line="300" w:lineRule="exact"/>
              <w:ind w:left="0" w:right="0"/>
              <w:jc w:val="center"/>
              <w:rPr>
                <w:rFonts w:hint="eastAsia" w:ascii="宋体" w:cs="宋体"/>
                <w:color w:val="000000"/>
                <w:sz w:val="24"/>
                <w:szCs w:val="24"/>
              </w:rPr>
            </w:pPr>
            <w:r>
              <w:rPr>
                <w:rFonts w:hint="eastAsia" w:ascii="宋体" w:cs="宋体"/>
                <w:color w:val="000000"/>
                <w:sz w:val="24"/>
                <w:szCs w:val="24"/>
              </w:rPr>
              <w:t>有效提高</w:t>
            </w:r>
          </w:p>
        </w:tc>
      </w:tr>
      <w:tr w14:paraId="359C204F">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auto" w:sz="4" w:space="0"/>
            </w:tcBorders>
            <w:noWrap w:val="0"/>
            <w:vAlign w:val="center"/>
          </w:tcPr>
          <w:p w14:paraId="37ACC578">
            <w:pPr>
              <w:keepNext w:val="0"/>
              <w:keepLines w:val="0"/>
              <w:suppressLineNumbers w:val="0"/>
              <w:spacing w:before="0" w:beforeAutospacing="0" w:after="0" w:afterAutospacing="0"/>
              <w:ind w:left="0" w:right="0"/>
              <w:rPr>
                <w:rFonts w:hint="default"/>
              </w:rPr>
            </w:pPr>
          </w:p>
        </w:tc>
        <w:tc>
          <w:tcPr>
            <w:tcW w:w="1081" w:type="dxa"/>
            <w:vMerge w:val="continue"/>
            <w:tcBorders>
              <w:top w:val="single" w:color="auto" w:sz="4" w:space="0"/>
              <w:left w:val="single" w:color="auto" w:sz="4" w:space="0"/>
              <w:bottom w:val="single" w:color="auto" w:sz="4" w:space="0"/>
              <w:right w:val="single" w:color="auto" w:sz="4" w:space="0"/>
            </w:tcBorders>
            <w:noWrap w:val="0"/>
            <w:vAlign w:val="center"/>
          </w:tcPr>
          <w:p w14:paraId="65DB58F5">
            <w:pPr>
              <w:keepNext w:val="0"/>
              <w:keepLines w:val="0"/>
              <w:suppressLineNumbers w:val="0"/>
              <w:spacing w:before="0" w:beforeAutospacing="0" w:after="0" w:afterAutospacing="0"/>
              <w:ind w:left="0" w:right="0"/>
              <w:rPr>
                <w:rFonts w:hint="default"/>
              </w:rPr>
            </w:pPr>
          </w:p>
        </w:tc>
        <w:tc>
          <w:tcPr>
            <w:tcW w:w="1250" w:type="dxa"/>
            <w:tcBorders>
              <w:top w:val="single" w:color="auto" w:sz="4" w:space="0"/>
              <w:left w:val="single" w:color="auto" w:sz="4" w:space="0"/>
              <w:bottom w:val="single" w:color="auto" w:sz="4" w:space="0"/>
              <w:right w:val="single" w:color="auto" w:sz="4" w:space="0"/>
            </w:tcBorders>
            <w:noWrap w:val="0"/>
            <w:vAlign w:val="center"/>
          </w:tcPr>
          <w:p w14:paraId="5DE776D5">
            <w:pPr>
              <w:keepNext w:val="0"/>
              <w:keepLines w:val="0"/>
              <w:widowControl/>
              <w:suppressLineNumbers w:val="0"/>
              <w:spacing w:before="0" w:beforeAutospacing="0" w:after="0" w:afterAutospacing="0" w:line="300" w:lineRule="exact"/>
              <w:ind w:left="0" w:right="0"/>
              <w:jc w:val="center"/>
              <w:textAlignment w:val="center"/>
              <w:rPr>
                <w:rFonts w:hint="eastAsia" w:ascii="宋体" w:cs="宋体"/>
                <w:color w:val="000000"/>
                <w:kern w:val="0"/>
                <w:sz w:val="24"/>
                <w:szCs w:val="24"/>
                <w:lang w:bidi="ar"/>
              </w:rPr>
            </w:pPr>
            <w:r>
              <w:rPr>
                <w:rFonts w:hint="eastAsia" w:ascii="宋体" w:cs="宋体"/>
                <w:color w:val="000000"/>
                <w:kern w:val="0"/>
                <w:sz w:val="24"/>
                <w:szCs w:val="24"/>
                <w:lang w:bidi="ar"/>
              </w:rPr>
              <w:t>可持续影响指标</w:t>
            </w:r>
          </w:p>
        </w:tc>
        <w:tc>
          <w:tcPr>
            <w:tcW w:w="1312" w:type="dxa"/>
            <w:tcBorders>
              <w:top w:val="single" w:color="auto" w:sz="4" w:space="0"/>
              <w:left w:val="single" w:color="auto" w:sz="4" w:space="0"/>
              <w:bottom w:val="single" w:color="auto" w:sz="4" w:space="0"/>
              <w:right w:val="single" w:color="auto" w:sz="4" w:space="0"/>
            </w:tcBorders>
            <w:noWrap w:val="0"/>
            <w:vAlign w:val="center"/>
          </w:tcPr>
          <w:p w14:paraId="23C10219">
            <w:pPr>
              <w:keepNext w:val="0"/>
              <w:keepLines w:val="0"/>
              <w:suppressLineNumbers w:val="0"/>
              <w:spacing w:before="0" w:beforeAutospacing="0" w:after="0" w:afterAutospacing="0" w:line="300" w:lineRule="exact"/>
              <w:ind w:left="0" w:right="0"/>
              <w:jc w:val="center"/>
              <w:rPr>
                <w:rFonts w:hint="eastAsia" w:ascii="宋体" w:cs="宋体"/>
                <w:color w:val="000000"/>
                <w:sz w:val="24"/>
                <w:szCs w:val="24"/>
              </w:rPr>
            </w:pPr>
            <w:r>
              <w:rPr>
                <w:rFonts w:hint="eastAsia" w:ascii="宋体" w:cs="宋体"/>
                <w:color w:val="000000"/>
                <w:sz w:val="24"/>
                <w:szCs w:val="24"/>
              </w:rPr>
              <w:t>改善干部居住环境</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5FF0AD8B">
            <w:pPr>
              <w:keepNext w:val="0"/>
              <w:keepLines w:val="0"/>
              <w:suppressLineNumbers w:val="0"/>
              <w:spacing w:before="0" w:beforeAutospacing="0" w:after="0" w:afterAutospacing="0" w:line="300" w:lineRule="exact"/>
              <w:ind w:left="0" w:right="0"/>
              <w:jc w:val="center"/>
              <w:rPr>
                <w:rFonts w:hint="eastAsia" w:ascii="宋体" w:cs="宋体"/>
                <w:color w:val="000000"/>
                <w:kern w:val="0"/>
                <w:sz w:val="24"/>
                <w:szCs w:val="24"/>
                <w:lang w:bidi="ar"/>
              </w:rPr>
            </w:pPr>
            <w:r>
              <w:rPr>
                <w:rFonts w:hint="eastAsia" w:ascii="宋体" w:cs="宋体"/>
                <w:color w:val="000000"/>
                <w:kern w:val="0"/>
                <w:sz w:val="24"/>
                <w:szCs w:val="24"/>
                <w:lang w:bidi="ar"/>
              </w:rPr>
              <w:t>可持续影响</w:t>
            </w:r>
          </w:p>
        </w:tc>
        <w:tc>
          <w:tcPr>
            <w:tcW w:w="971" w:type="dxa"/>
            <w:tcBorders>
              <w:top w:val="single" w:color="auto" w:sz="4" w:space="0"/>
              <w:left w:val="single" w:color="auto" w:sz="4" w:space="0"/>
              <w:bottom w:val="single" w:color="auto" w:sz="4" w:space="0"/>
              <w:right w:val="single" w:color="auto" w:sz="4" w:space="0"/>
            </w:tcBorders>
            <w:noWrap w:val="0"/>
            <w:vAlign w:val="center"/>
          </w:tcPr>
          <w:p w14:paraId="40598D3E">
            <w:pPr>
              <w:keepNext w:val="0"/>
              <w:keepLines w:val="0"/>
              <w:suppressLineNumbers w:val="0"/>
              <w:spacing w:before="0" w:beforeAutospacing="0" w:after="0" w:afterAutospacing="0" w:line="300" w:lineRule="exact"/>
              <w:ind w:left="0" w:right="0"/>
              <w:jc w:val="center"/>
              <w:rPr>
                <w:rFonts w:hint="eastAsia" w:ascii="宋体" w:cs="宋体"/>
                <w:color w:val="000000"/>
                <w:sz w:val="24"/>
                <w:szCs w:val="24"/>
              </w:rPr>
            </w:pPr>
            <w:r>
              <w:rPr>
                <w:rFonts w:hint="eastAsia" w:ascii="宋体" w:cs="宋体"/>
                <w:color w:val="000000"/>
                <w:sz w:val="24"/>
                <w:szCs w:val="24"/>
              </w:rPr>
              <w:t>有效改善</w:t>
            </w:r>
          </w:p>
        </w:tc>
        <w:tc>
          <w:tcPr>
            <w:tcW w:w="1061" w:type="dxa"/>
            <w:tcBorders>
              <w:top w:val="single" w:color="auto" w:sz="4" w:space="0"/>
              <w:left w:val="single" w:color="auto" w:sz="4" w:space="0"/>
              <w:bottom w:val="single" w:color="auto" w:sz="4" w:space="0"/>
              <w:right w:val="single" w:color="auto" w:sz="4" w:space="0"/>
            </w:tcBorders>
            <w:noWrap w:val="0"/>
            <w:vAlign w:val="center"/>
          </w:tcPr>
          <w:p w14:paraId="5291FB80">
            <w:pPr>
              <w:keepNext w:val="0"/>
              <w:keepLines w:val="0"/>
              <w:suppressLineNumbers w:val="0"/>
              <w:spacing w:before="0" w:beforeAutospacing="0" w:after="0" w:afterAutospacing="0" w:line="300" w:lineRule="exact"/>
              <w:ind w:left="0" w:right="0"/>
              <w:jc w:val="center"/>
              <w:rPr>
                <w:rFonts w:hint="eastAsia" w:ascii="宋体" w:cs="宋体"/>
                <w:color w:val="000000"/>
                <w:sz w:val="24"/>
                <w:szCs w:val="24"/>
              </w:rPr>
            </w:pPr>
            <w:r>
              <w:rPr>
                <w:rFonts w:hint="eastAsia" w:ascii="宋体" w:cs="宋体"/>
                <w:color w:val="000000"/>
                <w:sz w:val="24"/>
                <w:szCs w:val="24"/>
              </w:rPr>
              <w:t>无</w:t>
            </w:r>
          </w:p>
        </w:tc>
        <w:tc>
          <w:tcPr>
            <w:tcW w:w="938" w:type="dxa"/>
            <w:tcBorders>
              <w:top w:val="single" w:color="auto" w:sz="4" w:space="0"/>
              <w:left w:val="single" w:color="auto" w:sz="4" w:space="0"/>
              <w:bottom w:val="single" w:color="auto" w:sz="4" w:space="0"/>
              <w:right w:val="single" w:color="auto" w:sz="4" w:space="0"/>
            </w:tcBorders>
            <w:noWrap w:val="0"/>
            <w:vAlign w:val="center"/>
          </w:tcPr>
          <w:p w14:paraId="4B006C6F">
            <w:pPr>
              <w:keepNext w:val="0"/>
              <w:keepLines w:val="0"/>
              <w:suppressLineNumbers w:val="0"/>
              <w:spacing w:before="0" w:beforeAutospacing="0" w:after="0" w:afterAutospacing="0" w:line="300" w:lineRule="exact"/>
              <w:ind w:left="0" w:right="0"/>
              <w:jc w:val="center"/>
              <w:rPr>
                <w:rFonts w:hint="eastAsia" w:ascii="宋体" w:cs="宋体"/>
                <w:color w:val="000000"/>
                <w:sz w:val="24"/>
                <w:szCs w:val="24"/>
              </w:rPr>
            </w:pPr>
            <w:r>
              <w:rPr>
                <w:rFonts w:hint="eastAsia" w:ascii="宋体" w:cs="宋体"/>
                <w:color w:val="000000"/>
                <w:sz w:val="24"/>
                <w:szCs w:val="24"/>
              </w:rPr>
              <w:t>15</w:t>
            </w:r>
          </w:p>
        </w:tc>
        <w:tc>
          <w:tcPr>
            <w:tcW w:w="1841" w:type="dxa"/>
            <w:tcBorders>
              <w:top w:val="single" w:color="auto" w:sz="4" w:space="0"/>
              <w:left w:val="single" w:color="auto" w:sz="4" w:space="0"/>
              <w:bottom w:val="single" w:color="auto" w:sz="4" w:space="0"/>
              <w:right w:val="single" w:color="auto" w:sz="4" w:space="0"/>
            </w:tcBorders>
            <w:noWrap w:val="0"/>
            <w:vAlign w:val="center"/>
          </w:tcPr>
          <w:p w14:paraId="37660035">
            <w:pPr>
              <w:keepNext w:val="0"/>
              <w:keepLines w:val="0"/>
              <w:widowControl/>
              <w:suppressLineNumbers w:val="0"/>
              <w:spacing w:before="0" w:beforeAutospacing="0" w:after="0" w:afterAutospacing="0"/>
              <w:ind w:left="0" w:right="0"/>
              <w:jc w:val="center"/>
              <w:rPr>
                <w:rFonts w:hint="eastAsia" w:ascii="宋体" w:cs="宋体"/>
                <w:color w:val="000000"/>
                <w:sz w:val="24"/>
                <w:szCs w:val="24"/>
              </w:rPr>
            </w:pPr>
            <w:r>
              <w:rPr>
                <w:rFonts w:hint="eastAsia" w:ascii="宋体" w:cs="宋体"/>
                <w:color w:val="000000"/>
                <w:kern w:val="0"/>
                <w:sz w:val="24"/>
                <w:szCs w:val="24"/>
                <w:lang w:bidi="ar"/>
              </w:rPr>
              <w:t>有效改善</w:t>
            </w:r>
          </w:p>
        </w:tc>
      </w:tr>
      <w:tr w14:paraId="6873C3B3">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auto" w:sz="4" w:space="0"/>
            </w:tcBorders>
            <w:noWrap w:val="0"/>
            <w:vAlign w:val="center"/>
          </w:tcPr>
          <w:p w14:paraId="0CD0D7AE">
            <w:pPr>
              <w:keepNext w:val="0"/>
              <w:keepLines w:val="0"/>
              <w:suppressLineNumbers w:val="0"/>
              <w:spacing w:before="0" w:beforeAutospacing="0" w:after="0" w:afterAutospacing="0"/>
              <w:ind w:left="0" w:right="0"/>
              <w:rPr>
                <w:rFonts w:hint="default"/>
              </w:rPr>
            </w:pPr>
          </w:p>
        </w:tc>
        <w:tc>
          <w:tcPr>
            <w:tcW w:w="1081" w:type="dxa"/>
            <w:tcBorders>
              <w:top w:val="single" w:color="auto" w:sz="4" w:space="0"/>
              <w:left w:val="single" w:color="auto" w:sz="4" w:space="0"/>
              <w:bottom w:val="single" w:color="auto" w:sz="4" w:space="0"/>
              <w:right w:val="single" w:color="auto" w:sz="4" w:space="0"/>
            </w:tcBorders>
            <w:noWrap w:val="0"/>
            <w:vAlign w:val="center"/>
          </w:tcPr>
          <w:p w14:paraId="31159E88">
            <w:pPr>
              <w:keepNext w:val="0"/>
              <w:keepLines w:val="0"/>
              <w:widowControl/>
              <w:suppressLineNumbers w:val="0"/>
              <w:spacing w:before="0" w:beforeAutospacing="0" w:after="0" w:afterAutospacing="0" w:line="300" w:lineRule="exact"/>
              <w:ind w:left="0" w:right="0"/>
              <w:jc w:val="center"/>
              <w:textAlignment w:val="center"/>
              <w:rPr>
                <w:rFonts w:hint="eastAsia" w:ascii="宋体" w:cs="宋体"/>
                <w:color w:val="000000"/>
                <w:kern w:val="0"/>
                <w:sz w:val="24"/>
                <w:szCs w:val="24"/>
                <w:lang w:bidi="ar"/>
              </w:rPr>
            </w:pPr>
            <w:r>
              <w:rPr>
                <w:rFonts w:hint="eastAsia" w:ascii="宋体" w:cs="宋体"/>
                <w:color w:val="000000"/>
                <w:kern w:val="0"/>
                <w:sz w:val="24"/>
                <w:szCs w:val="24"/>
                <w:lang w:bidi="ar"/>
              </w:rPr>
              <w:t>满意度</w:t>
            </w:r>
          </w:p>
          <w:p w14:paraId="43C2E5BC">
            <w:pPr>
              <w:keepNext w:val="0"/>
              <w:keepLines w:val="0"/>
              <w:widowControl/>
              <w:suppressLineNumbers w:val="0"/>
              <w:spacing w:before="0" w:beforeAutospacing="0" w:after="0" w:afterAutospacing="0" w:line="300" w:lineRule="exact"/>
              <w:ind w:left="0" w:right="0"/>
              <w:jc w:val="center"/>
              <w:textAlignment w:val="center"/>
              <w:rPr>
                <w:rFonts w:hint="eastAsia" w:ascii="宋体" w:cs="宋体"/>
                <w:color w:val="000000"/>
                <w:sz w:val="24"/>
                <w:szCs w:val="24"/>
              </w:rPr>
            </w:pPr>
            <w:r>
              <w:rPr>
                <w:rFonts w:hint="eastAsia" w:ascii="宋体" w:cs="宋体"/>
                <w:color w:val="000000"/>
                <w:kern w:val="0"/>
                <w:sz w:val="24"/>
                <w:szCs w:val="24"/>
                <w:lang w:bidi="ar"/>
              </w:rPr>
              <w:t>指标</w:t>
            </w:r>
          </w:p>
        </w:tc>
        <w:tc>
          <w:tcPr>
            <w:tcW w:w="1250" w:type="dxa"/>
            <w:tcBorders>
              <w:top w:val="single" w:color="auto" w:sz="4" w:space="0"/>
              <w:left w:val="single" w:color="auto" w:sz="4" w:space="0"/>
              <w:bottom w:val="single" w:color="auto" w:sz="4" w:space="0"/>
              <w:right w:val="single" w:color="auto" w:sz="4" w:space="0"/>
            </w:tcBorders>
            <w:noWrap w:val="0"/>
            <w:vAlign w:val="center"/>
          </w:tcPr>
          <w:p w14:paraId="0194DF09">
            <w:pPr>
              <w:keepNext w:val="0"/>
              <w:keepLines w:val="0"/>
              <w:widowControl/>
              <w:suppressLineNumbers w:val="0"/>
              <w:spacing w:before="0" w:beforeAutospacing="0" w:after="0" w:afterAutospacing="0" w:line="300" w:lineRule="exact"/>
              <w:ind w:left="0" w:right="0"/>
              <w:jc w:val="center"/>
              <w:textAlignment w:val="center"/>
              <w:rPr>
                <w:rFonts w:hint="eastAsia" w:ascii="宋体" w:cs="宋体"/>
                <w:color w:val="000000"/>
                <w:kern w:val="0"/>
                <w:sz w:val="24"/>
                <w:szCs w:val="24"/>
                <w:lang w:bidi="ar"/>
              </w:rPr>
            </w:pPr>
            <w:r>
              <w:rPr>
                <w:rFonts w:hint="eastAsia" w:ascii="宋体" w:cs="宋体"/>
                <w:color w:val="000000"/>
                <w:kern w:val="0"/>
                <w:sz w:val="24"/>
                <w:szCs w:val="24"/>
                <w:lang w:bidi="ar"/>
              </w:rPr>
              <w:t>服务对象</w:t>
            </w:r>
          </w:p>
          <w:p w14:paraId="4F0452E1">
            <w:pPr>
              <w:keepNext w:val="0"/>
              <w:keepLines w:val="0"/>
              <w:widowControl/>
              <w:suppressLineNumbers w:val="0"/>
              <w:spacing w:before="0" w:beforeAutospacing="0" w:after="0" w:afterAutospacing="0" w:line="300" w:lineRule="exact"/>
              <w:ind w:left="0" w:right="0"/>
              <w:jc w:val="center"/>
              <w:textAlignment w:val="center"/>
              <w:rPr>
                <w:rFonts w:hint="eastAsia" w:ascii="宋体" w:cs="宋体"/>
                <w:color w:val="000000"/>
                <w:sz w:val="24"/>
                <w:szCs w:val="24"/>
              </w:rPr>
            </w:pPr>
            <w:r>
              <w:rPr>
                <w:rFonts w:hint="eastAsia" w:ascii="宋体" w:cs="宋体"/>
                <w:color w:val="000000"/>
                <w:kern w:val="0"/>
                <w:sz w:val="24"/>
                <w:szCs w:val="24"/>
                <w:lang w:bidi="ar"/>
              </w:rPr>
              <w:t>满意度指标</w:t>
            </w:r>
          </w:p>
        </w:tc>
        <w:tc>
          <w:tcPr>
            <w:tcW w:w="1312" w:type="dxa"/>
            <w:tcBorders>
              <w:top w:val="single" w:color="auto" w:sz="4" w:space="0"/>
              <w:left w:val="single" w:color="auto" w:sz="4" w:space="0"/>
              <w:bottom w:val="single" w:color="auto" w:sz="4" w:space="0"/>
              <w:right w:val="single" w:color="auto" w:sz="4" w:space="0"/>
            </w:tcBorders>
            <w:noWrap w:val="0"/>
            <w:vAlign w:val="center"/>
          </w:tcPr>
          <w:p w14:paraId="4D10B4BA">
            <w:pPr>
              <w:keepNext w:val="0"/>
              <w:keepLines w:val="0"/>
              <w:suppressLineNumbers w:val="0"/>
              <w:spacing w:before="0" w:beforeAutospacing="0" w:after="0" w:afterAutospacing="0" w:line="300" w:lineRule="exact"/>
              <w:ind w:left="0" w:right="0"/>
              <w:jc w:val="center"/>
              <w:rPr>
                <w:rFonts w:hint="eastAsia" w:ascii="宋体" w:cs="宋体"/>
                <w:color w:val="000000"/>
                <w:sz w:val="24"/>
                <w:szCs w:val="24"/>
              </w:rPr>
            </w:pPr>
            <w:r>
              <w:rPr>
                <w:rFonts w:hint="eastAsia" w:ascii="宋体" w:cs="宋体"/>
                <w:color w:val="000000"/>
                <w:sz w:val="24"/>
                <w:szCs w:val="24"/>
              </w:rPr>
              <w:t>乡镇干部满意度</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23E6A8F0">
            <w:pPr>
              <w:keepNext w:val="0"/>
              <w:keepLines w:val="0"/>
              <w:suppressLineNumbers w:val="0"/>
              <w:spacing w:before="0" w:beforeAutospacing="0" w:after="0" w:afterAutospacing="0" w:line="300" w:lineRule="exact"/>
              <w:ind w:left="0" w:right="0"/>
              <w:jc w:val="center"/>
              <w:rPr>
                <w:rFonts w:hint="eastAsia" w:ascii="宋体" w:cs="宋体"/>
                <w:color w:val="000000"/>
                <w:sz w:val="24"/>
                <w:szCs w:val="24"/>
              </w:rPr>
            </w:pPr>
            <w:r>
              <w:rPr>
                <w:rFonts w:hint="eastAsia" w:ascii="宋体" w:cs="宋体"/>
                <w:color w:val="000000"/>
                <w:sz w:val="24"/>
                <w:szCs w:val="24"/>
              </w:rPr>
              <w:t>满意度</w:t>
            </w:r>
          </w:p>
        </w:tc>
        <w:tc>
          <w:tcPr>
            <w:tcW w:w="971" w:type="dxa"/>
            <w:tcBorders>
              <w:top w:val="single" w:color="auto" w:sz="4" w:space="0"/>
              <w:left w:val="single" w:color="auto" w:sz="4" w:space="0"/>
              <w:bottom w:val="single" w:color="auto" w:sz="4" w:space="0"/>
              <w:right w:val="single" w:color="auto" w:sz="4" w:space="0"/>
            </w:tcBorders>
            <w:noWrap w:val="0"/>
            <w:vAlign w:val="center"/>
          </w:tcPr>
          <w:p w14:paraId="16FDA777">
            <w:pPr>
              <w:keepNext w:val="0"/>
              <w:keepLines w:val="0"/>
              <w:suppressLineNumbers w:val="0"/>
              <w:spacing w:before="0" w:beforeAutospacing="0" w:after="0" w:afterAutospacing="0" w:line="300" w:lineRule="exact"/>
              <w:ind w:left="0" w:right="0"/>
              <w:jc w:val="center"/>
              <w:rPr>
                <w:rFonts w:hint="eastAsia" w:ascii="宋体" w:cs="宋体"/>
                <w:color w:val="000000"/>
                <w:sz w:val="24"/>
                <w:szCs w:val="24"/>
              </w:rPr>
            </w:pPr>
            <w:r>
              <w:rPr>
                <w:rFonts w:hint="eastAsia" w:ascii="宋体" w:cs="宋体"/>
                <w:color w:val="000000"/>
                <w:sz w:val="24"/>
                <w:szCs w:val="24"/>
              </w:rPr>
              <w:t>不低于95%</w:t>
            </w:r>
          </w:p>
        </w:tc>
        <w:tc>
          <w:tcPr>
            <w:tcW w:w="1061" w:type="dxa"/>
            <w:tcBorders>
              <w:top w:val="single" w:color="auto" w:sz="4" w:space="0"/>
              <w:left w:val="single" w:color="auto" w:sz="4" w:space="0"/>
              <w:bottom w:val="single" w:color="auto" w:sz="4" w:space="0"/>
              <w:right w:val="single" w:color="auto" w:sz="4" w:space="0"/>
            </w:tcBorders>
            <w:noWrap w:val="0"/>
            <w:vAlign w:val="center"/>
          </w:tcPr>
          <w:p w14:paraId="7096AC7E">
            <w:pPr>
              <w:keepNext w:val="0"/>
              <w:keepLines w:val="0"/>
              <w:suppressLineNumbers w:val="0"/>
              <w:spacing w:before="0" w:beforeAutospacing="0" w:after="0" w:afterAutospacing="0" w:line="300" w:lineRule="exact"/>
              <w:ind w:left="0" w:right="0"/>
              <w:jc w:val="center"/>
              <w:rPr>
                <w:rFonts w:hint="eastAsia" w:ascii="宋体" w:cs="宋体"/>
                <w:color w:val="000000"/>
                <w:sz w:val="24"/>
                <w:szCs w:val="24"/>
              </w:rPr>
            </w:pPr>
            <w:r>
              <w:rPr>
                <w:rFonts w:hint="eastAsia" w:ascii="宋体" w:cs="宋体"/>
                <w:color w:val="000000"/>
                <w:sz w:val="24"/>
                <w:szCs w:val="24"/>
              </w:rPr>
              <w:t>%</w:t>
            </w:r>
          </w:p>
        </w:tc>
        <w:tc>
          <w:tcPr>
            <w:tcW w:w="938" w:type="dxa"/>
            <w:tcBorders>
              <w:top w:val="single" w:color="auto" w:sz="4" w:space="0"/>
              <w:left w:val="single" w:color="auto" w:sz="4" w:space="0"/>
              <w:bottom w:val="single" w:color="auto" w:sz="4" w:space="0"/>
              <w:right w:val="single" w:color="auto" w:sz="4" w:space="0"/>
            </w:tcBorders>
            <w:noWrap w:val="0"/>
            <w:vAlign w:val="center"/>
          </w:tcPr>
          <w:p w14:paraId="380CCA1D">
            <w:pPr>
              <w:keepNext w:val="0"/>
              <w:keepLines w:val="0"/>
              <w:suppressLineNumbers w:val="0"/>
              <w:spacing w:before="0" w:beforeAutospacing="0" w:after="0" w:afterAutospacing="0" w:line="300" w:lineRule="exact"/>
              <w:ind w:left="0" w:right="0"/>
              <w:jc w:val="center"/>
              <w:rPr>
                <w:rFonts w:hint="eastAsia" w:ascii="宋体" w:cs="宋体"/>
                <w:color w:val="000000"/>
                <w:sz w:val="24"/>
                <w:szCs w:val="24"/>
              </w:rPr>
            </w:pPr>
            <w:r>
              <w:rPr>
                <w:rFonts w:hint="eastAsia" w:ascii="宋体" w:cs="宋体"/>
                <w:color w:val="000000"/>
                <w:sz w:val="24"/>
                <w:szCs w:val="24"/>
              </w:rPr>
              <w:t>15</w:t>
            </w:r>
          </w:p>
        </w:tc>
        <w:tc>
          <w:tcPr>
            <w:tcW w:w="1841" w:type="dxa"/>
            <w:tcBorders>
              <w:top w:val="single" w:color="auto" w:sz="4" w:space="0"/>
              <w:left w:val="single" w:color="auto" w:sz="4" w:space="0"/>
              <w:bottom w:val="single" w:color="auto" w:sz="4" w:space="0"/>
              <w:right w:val="single" w:color="auto" w:sz="4" w:space="0"/>
            </w:tcBorders>
            <w:noWrap w:val="0"/>
            <w:vAlign w:val="center"/>
          </w:tcPr>
          <w:p w14:paraId="41CBB5F3">
            <w:pPr>
              <w:keepNext w:val="0"/>
              <w:keepLines w:val="0"/>
              <w:suppressLineNumbers w:val="0"/>
              <w:spacing w:before="0" w:beforeAutospacing="0" w:after="0" w:afterAutospacing="0" w:line="300" w:lineRule="exact"/>
              <w:ind w:left="0" w:right="0"/>
              <w:jc w:val="center"/>
              <w:rPr>
                <w:rFonts w:hint="eastAsia" w:ascii="宋体" w:cs="宋体"/>
                <w:color w:val="000000"/>
                <w:sz w:val="24"/>
                <w:szCs w:val="24"/>
              </w:rPr>
            </w:pPr>
            <w:r>
              <w:rPr>
                <w:rFonts w:hint="eastAsia" w:ascii="宋体" w:cs="宋体"/>
                <w:color w:val="000000"/>
                <w:sz w:val="24"/>
                <w:szCs w:val="24"/>
              </w:rPr>
              <w:t>不低于95%</w:t>
            </w:r>
          </w:p>
        </w:tc>
      </w:tr>
    </w:tbl>
    <w:p w14:paraId="6661973F">
      <w:pPr>
        <w:spacing w:line="20" w:lineRule="exact"/>
        <w:rPr>
          <w:rFonts w:hint="eastAsia"/>
          <w:szCs w:val="24"/>
        </w:rPr>
      </w:pPr>
    </w:p>
    <w:p w14:paraId="769A644D">
      <w:pPr>
        <w:pStyle w:val="19"/>
        <w:rPr>
          <w:rFonts w:hint="eastAsia" w:ascii="黑体" w:hAnsi="黑体" w:eastAsia="黑体"/>
          <w:color w:val="auto"/>
          <w:sz w:val="44"/>
          <w:szCs w:val="44"/>
          <w:highlight w:val="none"/>
        </w:rPr>
      </w:pPr>
    </w:p>
    <w:p w14:paraId="12FBA2D2">
      <w:pPr>
        <w:pStyle w:val="19"/>
        <w:rPr>
          <w:rFonts w:hint="eastAsia" w:ascii="黑体" w:hAnsi="黑体" w:eastAsia="黑体"/>
          <w:color w:val="auto"/>
          <w:sz w:val="44"/>
          <w:szCs w:val="44"/>
          <w:highlight w:val="none"/>
        </w:rPr>
      </w:pPr>
    </w:p>
    <w:p w14:paraId="6C64F6CD">
      <w:pPr>
        <w:pStyle w:val="41"/>
        <w:spacing w:line="576" w:lineRule="exact"/>
        <w:jc w:val="center"/>
        <w:rPr>
          <w:rFonts w:hint="eastAsia" w:ascii="方正小标宋简体" w:eastAsia="方正小标宋简体" w:cs="方正小标宋简体"/>
          <w:color w:val="auto"/>
          <w:kern w:val="2"/>
          <w:sz w:val="44"/>
          <w:szCs w:val="44"/>
          <w:lang w:val="en-US"/>
        </w:rPr>
      </w:pPr>
      <w:r>
        <w:rPr>
          <w:rFonts w:hint="eastAsia" w:ascii="方正小标宋简体" w:eastAsia="方正小标宋简体" w:cs="方正小标宋简体"/>
          <w:color w:val="auto"/>
          <w:kern w:val="2"/>
          <w:sz w:val="44"/>
          <w:szCs w:val="44"/>
          <w:lang w:val="en-US"/>
        </w:rPr>
        <w:t>广元市发展和改革委员会</w:t>
      </w:r>
    </w:p>
    <w:p w14:paraId="1D8CE53B">
      <w:pPr>
        <w:pStyle w:val="41"/>
        <w:spacing w:line="576" w:lineRule="exact"/>
        <w:jc w:val="center"/>
        <w:rPr>
          <w:rFonts w:hint="eastAsia" w:ascii="方正小标宋简体" w:eastAsia="方正小标宋简体" w:cs="方正小标宋简体"/>
          <w:color w:val="auto"/>
          <w:kern w:val="2"/>
          <w:sz w:val="44"/>
          <w:szCs w:val="44"/>
          <w:lang w:val="en-US"/>
        </w:rPr>
      </w:pPr>
      <w:r>
        <w:rPr>
          <w:rFonts w:hint="eastAsia" w:ascii="方正小标宋简体" w:eastAsia="方正小标宋简体" w:cs="方正小标宋简体"/>
          <w:color w:val="auto"/>
          <w:kern w:val="2"/>
          <w:sz w:val="44"/>
          <w:szCs w:val="44"/>
          <w:lang w:val="en-US"/>
        </w:rPr>
        <w:t>关于报送2023年前期工作激励资金预算</w:t>
      </w:r>
    </w:p>
    <w:p w14:paraId="483EF57A">
      <w:pPr>
        <w:pStyle w:val="41"/>
        <w:spacing w:line="576" w:lineRule="exact"/>
        <w:jc w:val="center"/>
        <w:rPr>
          <w:rFonts w:hint="eastAsia" w:ascii="方正小标宋简体" w:eastAsia="方正小标宋简体" w:cs="方正小标宋简体"/>
          <w:color w:val="auto"/>
          <w:kern w:val="2"/>
          <w:sz w:val="44"/>
          <w:szCs w:val="44"/>
          <w:lang w:val="en-US"/>
        </w:rPr>
      </w:pPr>
      <w:r>
        <w:rPr>
          <w:rFonts w:hint="eastAsia" w:ascii="方正小标宋简体" w:eastAsia="方正小标宋简体" w:cs="方正小标宋简体"/>
          <w:color w:val="auto"/>
          <w:kern w:val="2"/>
          <w:sz w:val="44"/>
          <w:szCs w:val="44"/>
          <w:lang w:val="en-US"/>
        </w:rPr>
        <w:t>绩效评价情况的报告</w:t>
      </w:r>
    </w:p>
    <w:p w14:paraId="414A9F78">
      <w:pPr>
        <w:pStyle w:val="41"/>
        <w:spacing w:line="576" w:lineRule="exact"/>
        <w:jc w:val="center"/>
        <w:rPr>
          <w:rFonts w:hint="eastAsia" w:ascii="方正小标宋简体" w:eastAsia="方正小标宋简体" w:cs="方正小标宋简体"/>
          <w:color w:val="auto"/>
          <w:kern w:val="2"/>
          <w:sz w:val="44"/>
          <w:szCs w:val="44"/>
          <w:lang w:val="en-US"/>
        </w:rPr>
      </w:pPr>
    </w:p>
    <w:p w14:paraId="0BB01423">
      <w:pPr>
        <w:adjustRightInd w:val="0"/>
        <w:snapToGrid w:val="0"/>
        <w:spacing w:line="576" w:lineRule="exact"/>
        <w:ind w:firstLine="640" w:firstLineChars="200"/>
        <w:rPr>
          <w:rFonts w:hint="eastAsia" w:ascii="黑体" w:eastAsia="黑体" w:cs="黑体"/>
          <w:sz w:val="32"/>
          <w:szCs w:val="32"/>
          <w:lang w:val="zh-CN"/>
        </w:rPr>
      </w:pPr>
      <w:r>
        <w:rPr>
          <w:rFonts w:hint="eastAsia" w:ascii="黑体" w:eastAsia="黑体" w:cs="黑体"/>
          <w:sz w:val="32"/>
          <w:szCs w:val="32"/>
        </w:rPr>
        <w:t>一、</w:t>
      </w:r>
      <w:r>
        <w:rPr>
          <w:rFonts w:hint="eastAsia" w:ascii="黑体" w:eastAsia="黑体" w:cs="黑体"/>
          <w:sz w:val="32"/>
          <w:szCs w:val="32"/>
          <w:lang w:val="zh-CN"/>
        </w:rPr>
        <w:t>项目概况</w:t>
      </w:r>
    </w:p>
    <w:p w14:paraId="0E23B175">
      <w:pPr>
        <w:widowControl/>
        <w:adjustRightInd w:val="0"/>
        <w:snapToGrid w:val="0"/>
        <w:spacing w:line="576" w:lineRule="exact"/>
        <w:ind w:firstLine="640" w:firstLineChars="200"/>
        <w:contextualSpacing/>
        <w:jc w:val="left"/>
        <w:rPr>
          <w:rFonts w:hint="eastAsia" w:ascii="仿宋_GB2312" w:eastAsia="仿宋_GB2312" w:cs="仿宋_GB2312"/>
          <w:kern w:val="0"/>
          <w:sz w:val="32"/>
          <w:szCs w:val="32"/>
          <w:shd w:val="clear" w:color="auto" w:fill="FFFFFF"/>
        </w:rPr>
      </w:pPr>
      <w:r>
        <w:rPr>
          <w:rFonts w:hint="eastAsia" w:ascii="仿宋_GB2312" w:eastAsia="仿宋_GB2312" w:cs="仿宋_GB2312"/>
          <w:kern w:val="0"/>
          <w:sz w:val="32"/>
          <w:szCs w:val="32"/>
          <w:shd w:val="clear" w:color="auto" w:fill="FFFFFF"/>
          <w:lang w:val="zh-CN"/>
        </w:rPr>
        <w:t>2022年9月，省</w:t>
      </w:r>
      <w:r>
        <w:rPr>
          <w:rFonts w:hint="eastAsia" w:ascii="仿宋_GB2312" w:eastAsia="仿宋_GB2312" w:cs="仿宋_GB2312"/>
          <w:kern w:val="0"/>
          <w:sz w:val="32"/>
          <w:szCs w:val="32"/>
          <w:shd w:val="clear" w:color="auto" w:fill="FFFFFF"/>
        </w:rPr>
        <w:t>政府印发《关于开展“决战四季度 大干一百天”攻坚行动的通知》（川府发</w:t>
      </w:r>
      <w:r>
        <w:rPr>
          <w:rFonts w:hint="eastAsia" w:ascii="仿宋_GB2312" w:hAnsi="仿宋_GB2312" w:eastAsia="仿宋_GB2312" w:cs="仿宋_GB2312"/>
          <w:kern w:val="0"/>
          <w:sz w:val="32"/>
          <w:szCs w:val="32"/>
          <w:shd w:val="clear" w:color="auto" w:fill="FFFFFF"/>
        </w:rPr>
        <w:t>〔202</w:t>
      </w:r>
      <w:r>
        <w:rPr>
          <w:rFonts w:hint="eastAsia" w:ascii="仿宋_GB2312" w:eastAsia="仿宋_GB2312" w:cs="仿宋_GB2312"/>
          <w:kern w:val="0"/>
          <w:sz w:val="32"/>
          <w:szCs w:val="32"/>
          <w:shd w:val="clear" w:color="auto" w:fill="FFFFFF"/>
        </w:rPr>
        <w:t>2〕29号），明确对2022年四季度和2023年一季度投资完成较好、政策性开发性金融工具项目推进较快的市（州）和县（市、区）进行激励支持。2023年3月，省发展改革委印发《关于下达2023年省预算内基本建设投资计划的通知》（川发改投资〔2023〕176号），下达我市2022年四季度基金项目落实情况激励资金500万元。2023年7月，省发展改革委印发《关于下达2023年促投资稳增长前期工作激励省预算内基本建设投资计划的通知》（川发改投资〔2023〕345号），下达我市2023年一季度项目前期工作激励资金2800万元。</w:t>
      </w:r>
    </w:p>
    <w:p w14:paraId="49CC1667">
      <w:pPr>
        <w:adjustRightInd w:val="0"/>
        <w:snapToGrid w:val="0"/>
        <w:spacing w:line="576" w:lineRule="exact"/>
        <w:ind w:firstLine="640" w:firstLineChars="200"/>
        <w:rPr>
          <w:rFonts w:hint="eastAsia" w:ascii="黑体" w:eastAsia="黑体" w:cs="黑体"/>
          <w:sz w:val="32"/>
          <w:szCs w:val="32"/>
          <w:lang w:val="zh-CN"/>
        </w:rPr>
      </w:pPr>
      <w:r>
        <w:rPr>
          <w:rFonts w:hint="eastAsia" w:ascii="黑体" w:eastAsia="黑体" w:cs="黑体"/>
          <w:sz w:val="32"/>
          <w:szCs w:val="32"/>
          <w:shd w:val="clear" w:color="auto" w:fill="FFFFFF"/>
          <w:lang w:val="zh-CN"/>
        </w:rPr>
        <w:t>二、</w:t>
      </w:r>
      <w:r>
        <w:rPr>
          <w:rFonts w:hint="eastAsia" w:ascii="黑体" w:eastAsia="黑体" w:cs="黑体"/>
          <w:sz w:val="32"/>
          <w:szCs w:val="32"/>
          <w:lang w:val="zh-CN"/>
        </w:rPr>
        <w:t>资金安排及分配情况</w:t>
      </w:r>
    </w:p>
    <w:p w14:paraId="3B1FCCBA">
      <w:pPr>
        <w:widowControl/>
        <w:adjustRightInd w:val="0"/>
        <w:snapToGrid w:val="0"/>
        <w:spacing w:line="576" w:lineRule="exact"/>
        <w:ind w:firstLine="640" w:firstLineChars="200"/>
        <w:contextualSpacing/>
        <w:jc w:val="left"/>
        <w:rPr>
          <w:rFonts w:hint="eastAsia" w:ascii="仿宋_GB2312" w:eastAsia="仿宋_GB2312" w:cs="仿宋_GB2312"/>
          <w:sz w:val="32"/>
          <w:szCs w:val="32"/>
        </w:rPr>
      </w:pPr>
      <w:r>
        <w:rPr>
          <w:rFonts w:hint="eastAsia" w:ascii="仿宋_GB2312" w:eastAsia="仿宋_GB2312" w:cs="仿宋_GB2312"/>
          <w:kern w:val="0"/>
          <w:sz w:val="32"/>
          <w:szCs w:val="32"/>
          <w:shd w:val="clear" w:color="auto" w:fill="FFFFFF"/>
        </w:rPr>
        <w:t>经报请市政府同意，市发展改革委对省发展改革委下达的两批次激励资金分别制定了资金分配方案。2022年四季度基金项目落实情况激励500万元，主要支持争取到政策性开发性金融工具资金的4个县区和投资完成较好、政策性开发性金融工具项目推进较快的4个市级部门。2023年一季度项目前期工作激励资金2800万元，主要支持</w:t>
      </w:r>
      <w:r>
        <w:rPr>
          <w:rFonts w:hint="eastAsia" w:ascii="仿宋_GB2312" w:eastAsia="仿宋_GB2312" w:cs="仿宋_GB2312"/>
          <w:sz w:val="32"/>
          <w:szCs w:val="32"/>
        </w:rPr>
        <w:t>投资完成进度较好的6个县区、项目推进和投资完成较好的11个市级部门。</w:t>
      </w:r>
    </w:p>
    <w:p w14:paraId="79369188">
      <w:pPr>
        <w:adjustRightInd w:val="0"/>
        <w:snapToGrid w:val="0"/>
        <w:spacing w:line="576" w:lineRule="exact"/>
        <w:ind w:firstLine="640" w:firstLineChars="200"/>
        <w:rPr>
          <w:rFonts w:hint="eastAsia" w:ascii="黑体" w:eastAsia="黑体" w:cs="黑体"/>
          <w:sz w:val="32"/>
          <w:szCs w:val="32"/>
          <w:lang w:val="zh-CN"/>
        </w:rPr>
      </w:pPr>
      <w:r>
        <w:rPr>
          <w:rFonts w:hint="eastAsia" w:ascii="黑体" w:eastAsia="黑体" w:cs="黑体"/>
          <w:sz w:val="32"/>
          <w:szCs w:val="32"/>
          <w:lang w:val="zh-CN"/>
        </w:rPr>
        <w:t>三、绩效评价</w:t>
      </w:r>
    </w:p>
    <w:p w14:paraId="4577FA58">
      <w:pPr>
        <w:pStyle w:val="8"/>
        <w:tabs>
          <w:tab w:val="left" w:pos="2160"/>
        </w:tabs>
        <w:spacing w:line="576" w:lineRule="exact"/>
        <w:ind w:firstLine="640" w:firstLineChars="200"/>
        <w:rPr>
          <w:rFonts w:hint="eastAsia" w:ascii="仿宋_GB2312" w:eastAsia="仿宋_GB2312" w:cs="仿宋_GB2312"/>
          <w:position w:val="0"/>
          <w:sz w:val="32"/>
          <w:szCs w:val="32"/>
        </w:rPr>
      </w:pPr>
      <w:r>
        <w:rPr>
          <w:rFonts w:hint="eastAsia" w:ascii="仿宋_GB2312" w:eastAsia="仿宋_GB2312" w:cs="仿宋_GB2312"/>
          <w:sz w:val="32"/>
          <w:szCs w:val="32"/>
          <w:shd w:val="clear" w:color="auto" w:fill="FFFFFF"/>
        </w:rPr>
        <w:t>本次绩效评价工作采取</w:t>
      </w:r>
      <w:r>
        <w:rPr>
          <w:rFonts w:hint="eastAsia" w:ascii="仿宋_GB2312" w:eastAsia="仿宋_GB2312" w:cs="仿宋_GB2312"/>
          <w:sz w:val="32"/>
          <w:szCs w:val="32"/>
          <w:lang w:val="zh-CN"/>
        </w:rPr>
        <w:t>项目单位自评，县区、市级部门复评的方式开展，综合评判项目绩效目标实现情况，由有关县区和市级部门对分配到资金的项目开展全覆盖自评。经评价，省下达激励资金均严格按照要求用于加快</w:t>
      </w:r>
      <w:r>
        <w:rPr>
          <w:rFonts w:hint="eastAsia" w:ascii="仿宋_GB2312" w:eastAsia="仿宋_GB2312" w:cs="仿宋_GB2312"/>
          <w:sz w:val="32"/>
          <w:szCs w:val="32"/>
          <w:shd w:val="clear" w:color="auto" w:fill="FFFFFF"/>
        </w:rPr>
        <w:t>推动项目前期工作，涉及</w:t>
      </w:r>
      <w:r>
        <w:rPr>
          <w:rFonts w:hint="eastAsia" w:ascii="仿宋_GB2312" w:eastAsia="仿宋_GB2312" w:cs="仿宋_GB2312"/>
          <w:kern w:val="2"/>
          <w:sz w:val="32"/>
          <w:szCs w:val="32"/>
          <w:shd w:val="clear" w:color="auto" w:fill="FFFFFF"/>
        </w:rPr>
        <w:t>项目由县区发展改革部门、有关市级行业部门、财政部门等共同对基本建设程序、资金使用等进行管理，资金由财政专户管理。目前，分配到前期工作激励资金的项目正加快推进前期工作，按计划进度推进实施，项目资金使用拨付、项目实施符合规定，已完成预期目标，实施结果与绩效目标相匹配。</w:t>
      </w:r>
      <w:r>
        <w:rPr>
          <w:rFonts w:hint="eastAsia" w:ascii="仿宋_GB2312" w:eastAsia="仿宋_GB2312" w:cs="仿宋_GB2312"/>
          <w:kern w:val="2"/>
          <w:sz w:val="32"/>
          <w:szCs w:val="32"/>
          <w:shd w:val="clear" w:color="auto" w:fill="FFFFFF"/>
          <w:lang w:val="zh-CN"/>
        </w:rPr>
        <w:t>本专项个性指标对经济效益和公众满意度方面进行设置，两项个性指标均完成。</w:t>
      </w:r>
      <w:r>
        <w:rPr>
          <w:rFonts w:hint="eastAsia" w:ascii="仿宋_GB2312" w:eastAsia="仿宋_GB2312" w:cs="仿宋_GB2312"/>
          <w:position w:val="0"/>
          <w:sz w:val="32"/>
          <w:szCs w:val="32"/>
        </w:rPr>
        <w:t>本专项绩效自评情况总体较好，评价得分为100分。</w:t>
      </w:r>
    </w:p>
    <w:p w14:paraId="629511BF">
      <w:pPr>
        <w:spacing w:line="576" w:lineRule="exact"/>
        <w:ind w:firstLine="640" w:firstLineChars="200"/>
        <w:rPr>
          <w:rFonts w:hint="eastAsia" w:ascii="仿宋_GB2312" w:hAnsi="楷体_GB2312" w:eastAsia="仿宋_GB2312" w:cs="仿宋_GB2312"/>
          <w:position w:val="3"/>
          <w:sz w:val="32"/>
          <w:szCs w:val="32"/>
          <w:shd w:val="clear" w:color="auto" w:fill="FFFFFF"/>
          <w:lang w:val="zh-CN"/>
        </w:rPr>
      </w:pPr>
      <w:r>
        <w:rPr>
          <w:rFonts w:hint="eastAsia" w:ascii="仿宋_GB2312" w:hAnsi="楷体_GB2312" w:eastAsia="仿宋_GB2312" w:cs="仿宋_GB2312"/>
          <w:position w:val="3"/>
          <w:sz w:val="32"/>
          <w:szCs w:val="32"/>
          <w:shd w:val="clear" w:color="auto" w:fill="FFFFFF"/>
          <w:lang w:val="zh-CN"/>
        </w:rPr>
        <w:t>特此报告。</w:t>
      </w:r>
    </w:p>
    <w:p w14:paraId="19932346">
      <w:pPr>
        <w:spacing w:line="576" w:lineRule="exact"/>
        <w:rPr>
          <w:rFonts w:hint="eastAsia" w:ascii="仿宋_GB2312" w:hAnsi="楷体_GB2312" w:eastAsia="仿宋_GB2312" w:cs="仿宋_GB2312"/>
          <w:position w:val="3"/>
          <w:sz w:val="32"/>
          <w:szCs w:val="32"/>
          <w:shd w:val="clear" w:color="auto" w:fill="FFFFFF"/>
          <w:lang w:val="zh-CN"/>
        </w:rPr>
      </w:pPr>
    </w:p>
    <w:p w14:paraId="165F5C9D">
      <w:pPr>
        <w:snapToGrid w:val="0"/>
        <w:spacing w:line="576" w:lineRule="exact"/>
        <w:ind w:firstLine="640" w:firstLineChars="200"/>
        <w:rPr>
          <w:rFonts w:hint="eastAsia" w:ascii="仿宋_GB2312" w:hAnsi="楷体_GB2312" w:eastAsia="仿宋_GB2312" w:cs="仿宋_GB2312"/>
          <w:position w:val="3"/>
          <w:sz w:val="32"/>
          <w:szCs w:val="32"/>
          <w:shd w:val="clear" w:color="auto" w:fill="FFFFFF"/>
          <w:lang w:val="zh-CN"/>
        </w:rPr>
      </w:pPr>
      <w:r>
        <w:rPr>
          <w:rFonts w:hint="eastAsia" w:ascii="仿宋_GB2312" w:hAnsi="楷体_GB2312" w:eastAsia="仿宋_GB2312" w:cs="仿宋_GB2312"/>
          <w:position w:val="3"/>
          <w:sz w:val="32"/>
          <w:szCs w:val="32"/>
          <w:shd w:val="clear" w:color="auto" w:fill="FFFFFF"/>
          <w:lang w:val="zh-CN"/>
        </w:rPr>
        <w:t>附件：1.项目资金分配涉及所有点位自评得分情况表</w:t>
      </w:r>
    </w:p>
    <w:p w14:paraId="50AEEC51">
      <w:pPr>
        <w:snapToGrid w:val="0"/>
        <w:spacing w:line="576" w:lineRule="exact"/>
        <w:ind w:firstLine="1600" w:firstLineChars="500"/>
        <w:rPr>
          <w:rFonts w:hint="eastAsia" w:ascii="仿宋_GB2312" w:eastAsia="仿宋_GB2312" w:cs="仿宋_GB2312"/>
          <w:color w:val="000000"/>
          <w:kern w:val="0"/>
          <w:sz w:val="32"/>
          <w:szCs w:val="32"/>
          <w:shd w:val="clear" w:color="auto" w:fill="FFFFFF"/>
        </w:rPr>
      </w:pPr>
      <w:r>
        <w:rPr>
          <w:rFonts w:hint="eastAsia" w:ascii="仿宋_GB2312" w:eastAsia="仿宋_GB2312" w:cs="仿宋_GB2312"/>
          <w:color w:val="000000"/>
          <w:kern w:val="0"/>
          <w:sz w:val="32"/>
          <w:szCs w:val="32"/>
          <w:shd w:val="clear" w:color="auto" w:fill="FFFFFF"/>
        </w:rPr>
        <w:t>2.专项预算项目绩效目标完成情况自评表</w:t>
      </w:r>
    </w:p>
    <w:p w14:paraId="5B40F526">
      <w:pPr>
        <w:spacing w:line="576" w:lineRule="exact"/>
        <w:ind w:firstLine="1600" w:firstLineChars="500"/>
        <w:rPr>
          <w:rFonts w:hint="eastAsia" w:ascii="仿宋_GB2312" w:eastAsia="仿宋_GB2312" w:cs="仿宋_GB2312"/>
          <w:sz w:val="32"/>
          <w:szCs w:val="32"/>
        </w:rPr>
      </w:pPr>
      <w:r>
        <w:rPr>
          <w:rFonts w:hint="eastAsia" w:ascii="仿宋_GB2312" w:eastAsia="仿宋_GB2312" w:cs="仿宋_GB2312"/>
          <w:sz w:val="32"/>
          <w:szCs w:val="32"/>
        </w:rPr>
        <w:t>3.专项（项目）预算绩效评价指标体系</w:t>
      </w:r>
    </w:p>
    <w:p w14:paraId="050A910E">
      <w:pPr>
        <w:spacing w:line="576" w:lineRule="exact"/>
        <w:rPr>
          <w:rFonts w:hint="eastAsia"/>
        </w:rPr>
      </w:pPr>
    </w:p>
    <w:p w14:paraId="73A43195">
      <w:pPr>
        <w:spacing w:line="576" w:lineRule="exact"/>
        <w:rPr>
          <w:rFonts w:hint="eastAsia" w:ascii="仿宋_GB2312" w:eastAsia="仿宋_GB2312" w:cs="仿宋_GB2312"/>
          <w:sz w:val="32"/>
          <w:szCs w:val="32"/>
        </w:rPr>
      </w:pPr>
    </w:p>
    <w:p w14:paraId="013D4159">
      <w:pPr>
        <w:spacing w:line="576" w:lineRule="exact"/>
        <w:rPr>
          <w:rFonts w:hint="eastAsia"/>
        </w:rPr>
      </w:pPr>
    </w:p>
    <w:p w14:paraId="79477521">
      <w:pPr>
        <w:wordWrap w:val="0"/>
        <w:snapToGrid w:val="0"/>
        <w:spacing w:line="576" w:lineRule="exact"/>
        <w:ind w:firstLine="1600" w:firstLineChars="500"/>
        <w:jc w:val="right"/>
        <w:rPr>
          <w:rFonts w:hint="default" w:ascii="仿宋_GB2312" w:eastAsia="仿宋_GB2312" w:cs="仿宋_GB2312"/>
          <w:color w:val="000000"/>
          <w:kern w:val="0"/>
          <w:sz w:val="32"/>
          <w:szCs w:val="32"/>
          <w:shd w:val="clear" w:color="auto" w:fill="FFFFFF"/>
          <w:lang w:val="en-US" w:eastAsia="zh-CN"/>
        </w:rPr>
      </w:pPr>
      <w:r>
        <w:rPr>
          <w:rFonts w:hint="eastAsia" w:ascii="仿宋_GB2312" w:eastAsia="仿宋_GB2312" w:cs="仿宋_GB2312"/>
          <w:color w:val="000000"/>
          <w:kern w:val="0"/>
          <w:sz w:val="32"/>
          <w:szCs w:val="32"/>
          <w:shd w:val="clear" w:color="auto" w:fill="FFFFFF"/>
        </w:rPr>
        <w:t>广元市发展和改革委员会</w:t>
      </w:r>
      <w:r>
        <w:rPr>
          <w:rFonts w:hint="eastAsia" w:ascii="仿宋_GB2312" w:eastAsia="仿宋_GB2312" w:cs="仿宋_GB2312"/>
          <w:color w:val="000000"/>
          <w:kern w:val="0"/>
          <w:sz w:val="32"/>
          <w:szCs w:val="32"/>
          <w:shd w:val="clear" w:color="auto" w:fill="FFFFFF"/>
          <w:lang w:val="en-US" w:eastAsia="zh-CN"/>
        </w:rPr>
        <w:t xml:space="preserve">    </w:t>
      </w:r>
    </w:p>
    <w:p w14:paraId="195F5CEF">
      <w:pPr>
        <w:wordWrap w:val="0"/>
        <w:snapToGrid w:val="0"/>
        <w:spacing w:line="576" w:lineRule="exact"/>
        <w:ind w:firstLine="1600" w:firstLineChars="500"/>
        <w:jc w:val="right"/>
        <w:rPr>
          <w:rFonts w:hint="default" w:ascii="仿宋_GB2312" w:eastAsia="仿宋_GB2312" w:cs="仿宋_GB2312"/>
          <w:color w:val="000000"/>
          <w:kern w:val="0"/>
          <w:sz w:val="32"/>
          <w:szCs w:val="32"/>
          <w:shd w:val="clear" w:color="auto" w:fill="FFFFFF"/>
          <w:lang w:val="en-US" w:eastAsia="zh-CN"/>
        </w:rPr>
      </w:pPr>
      <w:r>
        <w:rPr>
          <w:rFonts w:hint="eastAsia" w:ascii="仿宋_GB2312" w:eastAsia="仿宋_GB2312" w:cs="仿宋_GB2312"/>
          <w:color w:val="000000"/>
          <w:kern w:val="0"/>
          <w:sz w:val="32"/>
          <w:szCs w:val="32"/>
          <w:shd w:val="clear" w:color="auto" w:fill="FFFFFF"/>
        </w:rPr>
        <w:t>2024年7月17日</w:t>
      </w:r>
      <w:r>
        <w:rPr>
          <w:rFonts w:hint="eastAsia" w:ascii="仿宋_GB2312" w:eastAsia="仿宋_GB2312" w:cs="仿宋_GB2312"/>
          <w:color w:val="000000"/>
          <w:kern w:val="0"/>
          <w:sz w:val="32"/>
          <w:szCs w:val="32"/>
          <w:shd w:val="clear" w:color="auto" w:fill="FFFFFF"/>
          <w:lang w:val="en-US" w:eastAsia="zh-CN"/>
        </w:rPr>
        <w:t xml:space="preserve">        </w:t>
      </w:r>
    </w:p>
    <w:p w14:paraId="3D4E47C4">
      <w:pPr>
        <w:snapToGrid w:val="0"/>
        <w:spacing w:line="576" w:lineRule="exact"/>
        <w:rPr>
          <w:rFonts w:hint="eastAsia" w:ascii="黑体" w:eastAsia="黑体" w:cs="黑体"/>
          <w:kern w:val="0"/>
          <w:sz w:val="32"/>
          <w:szCs w:val="32"/>
          <w:shd w:val="clear" w:color="auto" w:fill="FFFFFF"/>
          <w:lang w:val="zh-CN"/>
        </w:rPr>
      </w:pPr>
      <w:r>
        <w:rPr>
          <w:rFonts w:hint="eastAsia"/>
          <w:color w:val="000000"/>
          <w:kern w:val="0"/>
          <w:szCs w:val="32"/>
          <w:shd w:val="clear" w:color="auto" w:fill="FFFFFF"/>
          <w:lang w:val="zh-CN"/>
        </w:rPr>
        <w:br w:type="page"/>
      </w:r>
      <w:r>
        <w:rPr>
          <w:rFonts w:hint="eastAsia" w:ascii="黑体" w:eastAsia="黑体" w:cs="黑体"/>
          <w:kern w:val="0"/>
          <w:sz w:val="32"/>
          <w:szCs w:val="32"/>
          <w:shd w:val="clear" w:color="auto" w:fill="FFFFFF"/>
          <w:lang w:val="zh-CN"/>
        </w:rPr>
        <w:t>附件</w:t>
      </w:r>
      <w:r>
        <w:rPr>
          <w:rFonts w:hint="eastAsia" w:ascii="黑体" w:eastAsia="黑体" w:cs="黑体"/>
          <w:kern w:val="0"/>
          <w:sz w:val="32"/>
          <w:szCs w:val="32"/>
          <w:shd w:val="clear" w:color="auto" w:fill="FFFFFF"/>
        </w:rPr>
        <w:t>1</w:t>
      </w:r>
    </w:p>
    <w:p w14:paraId="78F6EFBB">
      <w:pPr>
        <w:spacing w:line="576" w:lineRule="exact"/>
        <w:jc w:val="center"/>
        <w:rPr>
          <w:rFonts w:hint="eastAsia" w:ascii="方正小标宋_GBK" w:eastAsia="方正小标宋_GBK" w:cs="方正小标宋_GBK"/>
          <w:sz w:val="40"/>
          <w:szCs w:val="40"/>
        </w:rPr>
      </w:pPr>
    </w:p>
    <w:p w14:paraId="68EF1C52">
      <w:pPr>
        <w:spacing w:line="576" w:lineRule="exact"/>
        <w:jc w:val="center"/>
        <w:rPr>
          <w:rFonts w:hint="eastAsia" w:ascii="方正小标宋简体" w:eastAsia="方正小标宋简体" w:cs="方正小标宋_GBK"/>
          <w:sz w:val="44"/>
          <w:szCs w:val="44"/>
        </w:rPr>
      </w:pPr>
      <w:r>
        <w:rPr>
          <w:rFonts w:hint="eastAsia" w:ascii="方正小标宋简体" w:eastAsia="方正小标宋简体" w:cs="方正小标宋_GBK"/>
          <w:sz w:val="44"/>
          <w:szCs w:val="44"/>
        </w:rPr>
        <w:t>项目资金分配涉及所有点位自评得分情况表</w:t>
      </w:r>
    </w:p>
    <w:p w14:paraId="3814FF89">
      <w:pPr>
        <w:pStyle w:val="28"/>
        <w:rPr>
          <w:rFonts w:hint="eastAsia"/>
        </w:rPr>
      </w:pPr>
    </w:p>
    <w:tbl>
      <w:tblPr>
        <w:tblStyle w:val="20"/>
        <w:tblW w:w="88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23"/>
        <w:gridCol w:w="3843"/>
        <w:gridCol w:w="2861"/>
        <w:gridCol w:w="993"/>
      </w:tblGrid>
      <w:tr w14:paraId="41B507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9" w:hRule="exact"/>
          <w:jc w:val="center"/>
        </w:trPr>
        <w:tc>
          <w:tcPr>
            <w:tcW w:w="1123" w:type="dxa"/>
            <w:noWrap w:val="0"/>
            <w:vAlign w:val="top"/>
          </w:tcPr>
          <w:p w14:paraId="28DFD7C6">
            <w:pPr>
              <w:keepNext w:val="0"/>
              <w:keepLines w:val="0"/>
              <w:suppressLineNumbers w:val="0"/>
              <w:spacing w:before="0" w:beforeAutospacing="0" w:after="0" w:afterAutospacing="0" w:line="576" w:lineRule="exact"/>
              <w:ind w:left="0" w:right="0"/>
              <w:jc w:val="center"/>
              <w:rPr>
                <w:rFonts w:hint="eastAsia" w:ascii="黑体" w:eastAsia="黑体" w:cs="黑体"/>
                <w:sz w:val="24"/>
                <w:szCs w:val="24"/>
              </w:rPr>
            </w:pPr>
            <w:r>
              <w:rPr>
                <w:rFonts w:hint="eastAsia" w:ascii="黑体" w:eastAsia="黑体" w:cs="黑体"/>
                <w:sz w:val="24"/>
                <w:szCs w:val="24"/>
              </w:rPr>
              <w:t>序号</w:t>
            </w:r>
          </w:p>
        </w:tc>
        <w:tc>
          <w:tcPr>
            <w:tcW w:w="3843" w:type="dxa"/>
            <w:noWrap w:val="0"/>
            <w:vAlign w:val="top"/>
          </w:tcPr>
          <w:p w14:paraId="61707AB5">
            <w:pPr>
              <w:keepNext w:val="0"/>
              <w:keepLines w:val="0"/>
              <w:suppressLineNumbers w:val="0"/>
              <w:spacing w:before="0" w:beforeAutospacing="0" w:after="0" w:afterAutospacing="0" w:line="576" w:lineRule="exact"/>
              <w:ind w:left="0" w:right="0"/>
              <w:jc w:val="center"/>
              <w:rPr>
                <w:rFonts w:hint="eastAsia" w:ascii="黑体" w:eastAsia="黑体" w:cs="黑体"/>
                <w:sz w:val="24"/>
                <w:szCs w:val="24"/>
                <w:lang w:val="en"/>
              </w:rPr>
            </w:pPr>
            <w:r>
              <w:rPr>
                <w:rFonts w:hint="eastAsia" w:ascii="黑体" w:eastAsia="黑体" w:cs="黑体"/>
                <w:sz w:val="24"/>
                <w:szCs w:val="24"/>
              </w:rPr>
              <w:t>项目资金末端分配点位</w:t>
            </w:r>
          </w:p>
        </w:tc>
        <w:tc>
          <w:tcPr>
            <w:tcW w:w="2861" w:type="dxa"/>
            <w:noWrap w:val="0"/>
            <w:vAlign w:val="top"/>
          </w:tcPr>
          <w:p w14:paraId="33B2A135">
            <w:pPr>
              <w:keepNext w:val="0"/>
              <w:keepLines w:val="0"/>
              <w:suppressLineNumbers w:val="0"/>
              <w:spacing w:before="0" w:beforeAutospacing="0" w:after="0" w:afterAutospacing="0" w:line="576" w:lineRule="exact"/>
              <w:ind w:left="0" w:right="0"/>
              <w:jc w:val="center"/>
              <w:rPr>
                <w:rFonts w:hint="eastAsia" w:ascii="黑体" w:eastAsia="黑体" w:cs="黑体"/>
                <w:sz w:val="24"/>
                <w:szCs w:val="24"/>
              </w:rPr>
            </w:pPr>
            <w:r>
              <w:rPr>
                <w:rFonts w:hint="eastAsia" w:ascii="黑体" w:eastAsia="黑体" w:cs="黑体"/>
                <w:sz w:val="24"/>
                <w:szCs w:val="24"/>
                <w:lang w:val="en"/>
              </w:rPr>
              <w:t>自评得分（百分制）</w:t>
            </w:r>
          </w:p>
        </w:tc>
        <w:tc>
          <w:tcPr>
            <w:tcW w:w="993" w:type="dxa"/>
            <w:noWrap w:val="0"/>
            <w:vAlign w:val="top"/>
          </w:tcPr>
          <w:p w14:paraId="54C8A3EE">
            <w:pPr>
              <w:keepNext w:val="0"/>
              <w:keepLines w:val="0"/>
              <w:suppressLineNumbers w:val="0"/>
              <w:spacing w:before="0" w:beforeAutospacing="0" w:after="0" w:afterAutospacing="0" w:line="576" w:lineRule="exact"/>
              <w:ind w:left="0" w:right="0"/>
              <w:jc w:val="center"/>
              <w:rPr>
                <w:rFonts w:hint="eastAsia" w:ascii="黑体" w:eastAsia="黑体" w:cs="黑体"/>
                <w:sz w:val="24"/>
                <w:szCs w:val="24"/>
              </w:rPr>
            </w:pPr>
            <w:r>
              <w:rPr>
                <w:rFonts w:hint="eastAsia" w:ascii="黑体" w:eastAsia="黑体" w:cs="黑体"/>
                <w:sz w:val="24"/>
                <w:szCs w:val="24"/>
              </w:rPr>
              <w:t>备注</w:t>
            </w:r>
          </w:p>
        </w:tc>
      </w:tr>
      <w:tr w14:paraId="61ECF5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3" w:hRule="exact"/>
          <w:jc w:val="center"/>
        </w:trPr>
        <w:tc>
          <w:tcPr>
            <w:tcW w:w="1123" w:type="dxa"/>
            <w:noWrap w:val="0"/>
            <w:vAlign w:val="top"/>
          </w:tcPr>
          <w:p w14:paraId="3C12E650">
            <w:pPr>
              <w:keepNext w:val="0"/>
              <w:keepLines w:val="0"/>
              <w:suppressLineNumbers w:val="0"/>
              <w:spacing w:before="0" w:beforeAutospacing="0" w:after="0" w:afterAutospacing="0" w:line="576" w:lineRule="exact"/>
              <w:ind w:left="0" w:right="0"/>
              <w:jc w:val="center"/>
              <w:rPr>
                <w:rFonts w:hint="eastAsia" w:ascii="宋体" w:cs="宋体"/>
                <w:sz w:val="24"/>
                <w:szCs w:val="24"/>
              </w:rPr>
            </w:pPr>
            <w:r>
              <w:rPr>
                <w:rFonts w:hint="eastAsia" w:ascii="宋体" w:cs="宋体"/>
                <w:sz w:val="24"/>
                <w:szCs w:val="24"/>
              </w:rPr>
              <w:t>1</w:t>
            </w:r>
          </w:p>
        </w:tc>
        <w:tc>
          <w:tcPr>
            <w:tcW w:w="3843" w:type="dxa"/>
            <w:noWrap w:val="0"/>
            <w:vAlign w:val="top"/>
          </w:tcPr>
          <w:p w14:paraId="23B6002B">
            <w:pPr>
              <w:keepNext w:val="0"/>
              <w:keepLines w:val="0"/>
              <w:suppressLineNumbers w:val="0"/>
              <w:spacing w:before="0" w:beforeAutospacing="0" w:after="0" w:afterAutospacing="0" w:line="576" w:lineRule="exact"/>
              <w:ind w:left="0" w:right="0"/>
              <w:jc w:val="center"/>
              <w:rPr>
                <w:rFonts w:hint="eastAsia" w:ascii="宋体" w:hAnsi="宋体" w:eastAsia="仿宋_GB2312" w:cs="宋体"/>
                <w:sz w:val="24"/>
                <w:szCs w:val="24"/>
              </w:rPr>
            </w:pPr>
            <w:r>
              <w:rPr>
                <w:rFonts w:hint="eastAsia" w:ascii="宋体" w:cs="宋体"/>
                <w:sz w:val="24"/>
                <w:szCs w:val="24"/>
              </w:rPr>
              <w:t>市本级</w:t>
            </w:r>
          </w:p>
        </w:tc>
        <w:tc>
          <w:tcPr>
            <w:tcW w:w="2861" w:type="dxa"/>
            <w:noWrap w:val="0"/>
            <w:vAlign w:val="top"/>
          </w:tcPr>
          <w:p w14:paraId="1A6DD49D">
            <w:pPr>
              <w:keepNext w:val="0"/>
              <w:keepLines w:val="0"/>
              <w:suppressLineNumbers w:val="0"/>
              <w:spacing w:before="0" w:beforeAutospacing="0" w:after="0" w:afterAutospacing="0" w:line="576" w:lineRule="exact"/>
              <w:ind w:left="0" w:right="0"/>
              <w:jc w:val="center"/>
              <w:rPr>
                <w:rFonts w:hint="eastAsia" w:ascii="宋体" w:cs="宋体"/>
                <w:sz w:val="24"/>
                <w:szCs w:val="24"/>
              </w:rPr>
            </w:pPr>
            <w:r>
              <w:rPr>
                <w:rFonts w:hint="eastAsia" w:ascii="宋体" w:cs="宋体"/>
                <w:sz w:val="24"/>
                <w:szCs w:val="24"/>
              </w:rPr>
              <w:t>100</w:t>
            </w:r>
          </w:p>
        </w:tc>
        <w:tc>
          <w:tcPr>
            <w:tcW w:w="993" w:type="dxa"/>
            <w:noWrap w:val="0"/>
            <w:vAlign w:val="top"/>
          </w:tcPr>
          <w:p w14:paraId="696DDA94">
            <w:pPr>
              <w:keepNext w:val="0"/>
              <w:keepLines w:val="0"/>
              <w:suppressLineNumbers w:val="0"/>
              <w:spacing w:before="0" w:beforeAutospacing="0" w:after="0" w:afterAutospacing="0" w:line="576" w:lineRule="exact"/>
              <w:ind w:left="0" w:right="0"/>
              <w:rPr>
                <w:rFonts w:hint="eastAsia" w:ascii="宋体" w:cs="宋体"/>
                <w:sz w:val="24"/>
                <w:szCs w:val="24"/>
              </w:rPr>
            </w:pPr>
          </w:p>
        </w:tc>
      </w:tr>
      <w:tr w14:paraId="357CD5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9" w:hRule="exact"/>
          <w:jc w:val="center"/>
        </w:trPr>
        <w:tc>
          <w:tcPr>
            <w:tcW w:w="1123" w:type="dxa"/>
            <w:noWrap w:val="0"/>
            <w:vAlign w:val="top"/>
          </w:tcPr>
          <w:p w14:paraId="507956CF">
            <w:pPr>
              <w:keepNext w:val="0"/>
              <w:keepLines w:val="0"/>
              <w:suppressLineNumbers w:val="0"/>
              <w:spacing w:before="0" w:beforeAutospacing="0" w:after="0" w:afterAutospacing="0" w:line="576" w:lineRule="exact"/>
              <w:ind w:left="0" w:right="0"/>
              <w:jc w:val="center"/>
              <w:rPr>
                <w:rFonts w:hint="eastAsia" w:ascii="宋体" w:cs="宋体"/>
                <w:sz w:val="24"/>
                <w:szCs w:val="24"/>
              </w:rPr>
            </w:pPr>
            <w:r>
              <w:rPr>
                <w:rFonts w:hint="eastAsia" w:ascii="宋体" w:cs="宋体"/>
                <w:sz w:val="24"/>
                <w:szCs w:val="24"/>
              </w:rPr>
              <w:t>2</w:t>
            </w:r>
          </w:p>
        </w:tc>
        <w:tc>
          <w:tcPr>
            <w:tcW w:w="3843" w:type="dxa"/>
            <w:noWrap w:val="0"/>
            <w:vAlign w:val="top"/>
          </w:tcPr>
          <w:p w14:paraId="7A707369">
            <w:pPr>
              <w:keepNext w:val="0"/>
              <w:keepLines w:val="0"/>
              <w:suppressLineNumbers w:val="0"/>
              <w:spacing w:before="0" w:beforeAutospacing="0" w:after="0" w:afterAutospacing="0" w:line="576" w:lineRule="exact"/>
              <w:ind w:left="0" w:right="0"/>
              <w:jc w:val="center"/>
              <w:rPr>
                <w:rFonts w:hint="eastAsia" w:ascii="宋体" w:cs="宋体"/>
                <w:sz w:val="24"/>
                <w:szCs w:val="24"/>
                <w:lang w:val="en"/>
              </w:rPr>
            </w:pPr>
            <w:r>
              <w:rPr>
                <w:rFonts w:hint="eastAsia" w:ascii="宋体" w:cs="宋体"/>
                <w:sz w:val="24"/>
                <w:szCs w:val="24"/>
                <w:lang w:val="en"/>
              </w:rPr>
              <w:t>苍溪县</w:t>
            </w:r>
          </w:p>
        </w:tc>
        <w:tc>
          <w:tcPr>
            <w:tcW w:w="2861" w:type="dxa"/>
            <w:noWrap w:val="0"/>
            <w:vAlign w:val="top"/>
          </w:tcPr>
          <w:p w14:paraId="6996C88D">
            <w:pPr>
              <w:keepNext w:val="0"/>
              <w:keepLines w:val="0"/>
              <w:suppressLineNumbers w:val="0"/>
              <w:spacing w:before="0" w:beforeAutospacing="0" w:after="0" w:afterAutospacing="0" w:line="576" w:lineRule="exact"/>
              <w:ind w:left="0" w:right="0"/>
              <w:jc w:val="center"/>
              <w:rPr>
                <w:rFonts w:hint="eastAsia" w:ascii="宋体" w:cs="宋体"/>
                <w:sz w:val="24"/>
                <w:szCs w:val="24"/>
              </w:rPr>
            </w:pPr>
            <w:r>
              <w:rPr>
                <w:rFonts w:hint="eastAsia" w:ascii="宋体" w:cs="宋体"/>
                <w:sz w:val="24"/>
                <w:szCs w:val="24"/>
              </w:rPr>
              <w:t>100</w:t>
            </w:r>
          </w:p>
        </w:tc>
        <w:tc>
          <w:tcPr>
            <w:tcW w:w="993" w:type="dxa"/>
            <w:noWrap w:val="0"/>
            <w:vAlign w:val="top"/>
          </w:tcPr>
          <w:p w14:paraId="67CE0253">
            <w:pPr>
              <w:keepNext w:val="0"/>
              <w:keepLines w:val="0"/>
              <w:suppressLineNumbers w:val="0"/>
              <w:spacing w:before="0" w:beforeAutospacing="0" w:after="0" w:afterAutospacing="0" w:line="576" w:lineRule="exact"/>
              <w:ind w:left="0" w:right="0"/>
              <w:rPr>
                <w:rFonts w:hint="eastAsia" w:ascii="宋体" w:cs="宋体"/>
                <w:sz w:val="24"/>
                <w:szCs w:val="24"/>
              </w:rPr>
            </w:pPr>
          </w:p>
        </w:tc>
      </w:tr>
      <w:tr w14:paraId="3857D5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7" w:hRule="exact"/>
          <w:jc w:val="center"/>
        </w:trPr>
        <w:tc>
          <w:tcPr>
            <w:tcW w:w="1123" w:type="dxa"/>
            <w:noWrap w:val="0"/>
            <w:vAlign w:val="top"/>
          </w:tcPr>
          <w:p w14:paraId="012AD96E">
            <w:pPr>
              <w:keepNext w:val="0"/>
              <w:keepLines w:val="0"/>
              <w:suppressLineNumbers w:val="0"/>
              <w:spacing w:before="0" w:beforeAutospacing="0" w:after="0" w:afterAutospacing="0" w:line="576" w:lineRule="exact"/>
              <w:ind w:left="0" w:right="0"/>
              <w:jc w:val="center"/>
              <w:rPr>
                <w:rFonts w:hint="eastAsia" w:ascii="宋体" w:cs="宋体"/>
                <w:sz w:val="24"/>
                <w:szCs w:val="24"/>
              </w:rPr>
            </w:pPr>
            <w:r>
              <w:rPr>
                <w:rFonts w:hint="eastAsia" w:ascii="宋体" w:cs="宋体"/>
                <w:sz w:val="24"/>
                <w:szCs w:val="24"/>
              </w:rPr>
              <w:t>3</w:t>
            </w:r>
          </w:p>
        </w:tc>
        <w:tc>
          <w:tcPr>
            <w:tcW w:w="3843" w:type="dxa"/>
            <w:noWrap w:val="0"/>
            <w:vAlign w:val="top"/>
          </w:tcPr>
          <w:p w14:paraId="736F5510">
            <w:pPr>
              <w:keepNext w:val="0"/>
              <w:keepLines w:val="0"/>
              <w:suppressLineNumbers w:val="0"/>
              <w:spacing w:before="0" w:beforeAutospacing="0" w:after="0" w:afterAutospacing="0" w:line="576" w:lineRule="exact"/>
              <w:ind w:left="0" w:right="0"/>
              <w:jc w:val="center"/>
              <w:rPr>
                <w:rFonts w:hint="eastAsia" w:ascii="宋体" w:cs="宋体"/>
                <w:sz w:val="24"/>
                <w:szCs w:val="24"/>
                <w:lang w:val="en"/>
              </w:rPr>
            </w:pPr>
            <w:r>
              <w:rPr>
                <w:rFonts w:hint="eastAsia" w:ascii="宋体" w:cs="宋体"/>
                <w:sz w:val="24"/>
                <w:szCs w:val="24"/>
                <w:lang w:val="en"/>
              </w:rPr>
              <w:t>旺苍县</w:t>
            </w:r>
          </w:p>
        </w:tc>
        <w:tc>
          <w:tcPr>
            <w:tcW w:w="2861" w:type="dxa"/>
            <w:noWrap w:val="0"/>
            <w:vAlign w:val="top"/>
          </w:tcPr>
          <w:p w14:paraId="552465A9">
            <w:pPr>
              <w:keepNext w:val="0"/>
              <w:keepLines w:val="0"/>
              <w:suppressLineNumbers w:val="0"/>
              <w:spacing w:before="0" w:beforeAutospacing="0" w:after="0" w:afterAutospacing="0" w:line="576" w:lineRule="exact"/>
              <w:ind w:left="0" w:right="0"/>
              <w:jc w:val="center"/>
              <w:rPr>
                <w:rFonts w:hint="eastAsia" w:ascii="宋体" w:cs="宋体"/>
                <w:sz w:val="24"/>
                <w:szCs w:val="24"/>
                <w:lang w:val="en"/>
              </w:rPr>
            </w:pPr>
            <w:r>
              <w:rPr>
                <w:rFonts w:hint="eastAsia" w:ascii="宋体" w:cs="宋体"/>
                <w:sz w:val="24"/>
                <w:szCs w:val="24"/>
              </w:rPr>
              <w:t>100</w:t>
            </w:r>
          </w:p>
        </w:tc>
        <w:tc>
          <w:tcPr>
            <w:tcW w:w="993" w:type="dxa"/>
            <w:noWrap w:val="0"/>
            <w:vAlign w:val="top"/>
          </w:tcPr>
          <w:p w14:paraId="0A162D9D">
            <w:pPr>
              <w:keepNext w:val="0"/>
              <w:keepLines w:val="0"/>
              <w:suppressLineNumbers w:val="0"/>
              <w:spacing w:before="0" w:beforeAutospacing="0" w:after="0" w:afterAutospacing="0" w:line="576" w:lineRule="exact"/>
              <w:ind w:left="0" w:right="0"/>
              <w:rPr>
                <w:rFonts w:hint="eastAsia" w:ascii="宋体" w:cs="宋体"/>
                <w:sz w:val="24"/>
                <w:szCs w:val="24"/>
              </w:rPr>
            </w:pPr>
          </w:p>
        </w:tc>
      </w:tr>
      <w:tr w14:paraId="681F01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7" w:hRule="exact"/>
          <w:jc w:val="center"/>
        </w:trPr>
        <w:tc>
          <w:tcPr>
            <w:tcW w:w="1123" w:type="dxa"/>
            <w:noWrap w:val="0"/>
            <w:vAlign w:val="top"/>
          </w:tcPr>
          <w:p w14:paraId="7EE65A3D">
            <w:pPr>
              <w:keepNext w:val="0"/>
              <w:keepLines w:val="0"/>
              <w:suppressLineNumbers w:val="0"/>
              <w:spacing w:before="0" w:beforeAutospacing="0" w:after="0" w:afterAutospacing="0" w:line="576" w:lineRule="exact"/>
              <w:ind w:left="0" w:right="0"/>
              <w:jc w:val="center"/>
              <w:rPr>
                <w:rFonts w:hint="eastAsia" w:ascii="宋体" w:cs="宋体"/>
                <w:sz w:val="24"/>
                <w:szCs w:val="24"/>
              </w:rPr>
            </w:pPr>
            <w:r>
              <w:rPr>
                <w:rFonts w:hint="eastAsia" w:ascii="宋体" w:cs="宋体"/>
                <w:sz w:val="24"/>
                <w:szCs w:val="24"/>
              </w:rPr>
              <w:t>4</w:t>
            </w:r>
          </w:p>
        </w:tc>
        <w:tc>
          <w:tcPr>
            <w:tcW w:w="3843" w:type="dxa"/>
            <w:noWrap w:val="0"/>
            <w:vAlign w:val="top"/>
          </w:tcPr>
          <w:p w14:paraId="1C556CD9">
            <w:pPr>
              <w:keepNext w:val="0"/>
              <w:keepLines w:val="0"/>
              <w:suppressLineNumbers w:val="0"/>
              <w:spacing w:before="0" w:beforeAutospacing="0" w:after="0" w:afterAutospacing="0" w:line="576" w:lineRule="exact"/>
              <w:ind w:left="0" w:right="0"/>
              <w:jc w:val="center"/>
              <w:rPr>
                <w:rFonts w:hint="eastAsia" w:ascii="宋体" w:cs="宋体"/>
                <w:sz w:val="24"/>
                <w:szCs w:val="24"/>
                <w:lang w:val="en"/>
              </w:rPr>
            </w:pPr>
            <w:r>
              <w:rPr>
                <w:rFonts w:hint="eastAsia" w:ascii="宋体" w:cs="宋体"/>
                <w:sz w:val="24"/>
                <w:szCs w:val="24"/>
                <w:lang w:val="en"/>
              </w:rPr>
              <w:t>剑阁县</w:t>
            </w:r>
          </w:p>
        </w:tc>
        <w:tc>
          <w:tcPr>
            <w:tcW w:w="2861" w:type="dxa"/>
            <w:noWrap w:val="0"/>
            <w:vAlign w:val="top"/>
          </w:tcPr>
          <w:p w14:paraId="2A67AED2">
            <w:pPr>
              <w:keepNext w:val="0"/>
              <w:keepLines w:val="0"/>
              <w:suppressLineNumbers w:val="0"/>
              <w:spacing w:before="0" w:beforeAutospacing="0" w:after="0" w:afterAutospacing="0" w:line="576" w:lineRule="exact"/>
              <w:ind w:left="0" w:right="0"/>
              <w:jc w:val="center"/>
              <w:rPr>
                <w:rFonts w:hint="eastAsia" w:ascii="宋体" w:cs="宋体"/>
                <w:sz w:val="24"/>
                <w:szCs w:val="24"/>
                <w:lang w:val="en"/>
              </w:rPr>
            </w:pPr>
            <w:r>
              <w:rPr>
                <w:rFonts w:hint="eastAsia" w:ascii="宋体" w:cs="宋体"/>
                <w:sz w:val="24"/>
                <w:szCs w:val="24"/>
              </w:rPr>
              <w:t>100</w:t>
            </w:r>
          </w:p>
        </w:tc>
        <w:tc>
          <w:tcPr>
            <w:tcW w:w="993" w:type="dxa"/>
            <w:noWrap w:val="0"/>
            <w:vAlign w:val="top"/>
          </w:tcPr>
          <w:p w14:paraId="31B2942C">
            <w:pPr>
              <w:keepNext w:val="0"/>
              <w:keepLines w:val="0"/>
              <w:suppressLineNumbers w:val="0"/>
              <w:spacing w:before="0" w:beforeAutospacing="0" w:after="0" w:afterAutospacing="0" w:line="576" w:lineRule="exact"/>
              <w:ind w:left="0" w:right="0"/>
              <w:rPr>
                <w:rFonts w:hint="eastAsia" w:ascii="宋体" w:cs="宋体"/>
                <w:sz w:val="24"/>
                <w:szCs w:val="24"/>
              </w:rPr>
            </w:pPr>
          </w:p>
        </w:tc>
      </w:tr>
      <w:tr w14:paraId="541413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1" w:hRule="exact"/>
          <w:jc w:val="center"/>
        </w:trPr>
        <w:tc>
          <w:tcPr>
            <w:tcW w:w="1123" w:type="dxa"/>
            <w:noWrap w:val="0"/>
            <w:vAlign w:val="top"/>
          </w:tcPr>
          <w:p w14:paraId="2A6D1A28">
            <w:pPr>
              <w:keepNext w:val="0"/>
              <w:keepLines w:val="0"/>
              <w:suppressLineNumbers w:val="0"/>
              <w:spacing w:before="0" w:beforeAutospacing="0" w:after="0" w:afterAutospacing="0" w:line="576" w:lineRule="exact"/>
              <w:ind w:left="0" w:right="0"/>
              <w:jc w:val="center"/>
              <w:rPr>
                <w:rFonts w:hint="eastAsia" w:ascii="宋体" w:cs="宋体"/>
                <w:sz w:val="24"/>
                <w:szCs w:val="24"/>
              </w:rPr>
            </w:pPr>
            <w:r>
              <w:rPr>
                <w:rFonts w:hint="eastAsia" w:ascii="宋体" w:cs="宋体"/>
                <w:sz w:val="24"/>
                <w:szCs w:val="24"/>
              </w:rPr>
              <w:t>5</w:t>
            </w:r>
          </w:p>
        </w:tc>
        <w:tc>
          <w:tcPr>
            <w:tcW w:w="3843" w:type="dxa"/>
            <w:noWrap w:val="0"/>
            <w:vAlign w:val="top"/>
          </w:tcPr>
          <w:p w14:paraId="783FB718">
            <w:pPr>
              <w:keepNext w:val="0"/>
              <w:keepLines w:val="0"/>
              <w:suppressLineNumbers w:val="0"/>
              <w:spacing w:before="0" w:beforeAutospacing="0" w:after="0" w:afterAutospacing="0" w:line="576" w:lineRule="exact"/>
              <w:ind w:left="0" w:right="0"/>
              <w:jc w:val="center"/>
              <w:rPr>
                <w:rFonts w:hint="eastAsia" w:ascii="宋体" w:cs="宋体"/>
                <w:sz w:val="24"/>
                <w:szCs w:val="24"/>
                <w:lang w:val="en"/>
              </w:rPr>
            </w:pPr>
            <w:r>
              <w:rPr>
                <w:rFonts w:hint="eastAsia" w:ascii="宋体" w:cs="宋体"/>
                <w:sz w:val="24"/>
                <w:szCs w:val="24"/>
                <w:lang w:val="en"/>
              </w:rPr>
              <w:t>青川县</w:t>
            </w:r>
          </w:p>
        </w:tc>
        <w:tc>
          <w:tcPr>
            <w:tcW w:w="2861" w:type="dxa"/>
            <w:noWrap w:val="0"/>
            <w:vAlign w:val="top"/>
          </w:tcPr>
          <w:p w14:paraId="73CAD9B0">
            <w:pPr>
              <w:keepNext w:val="0"/>
              <w:keepLines w:val="0"/>
              <w:suppressLineNumbers w:val="0"/>
              <w:spacing w:before="0" w:beforeAutospacing="0" w:after="0" w:afterAutospacing="0" w:line="576" w:lineRule="exact"/>
              <w:ind w:left="0" w:right="0"/>
              <w:jc w:val="center"/>
              <w:rPr>
                <w:rFonts w:hint="eastAsia" w:ascii="宋体" w:cs="宋体"/>
                <w:sz w:val="24"/>
                <w:szCs w:val="24"/>
                <w:lang w:val="en"/>
              </w:rPr>
            </w:pPr>
            <w:r>
              <w:rPr>
                <w:rFonts w:hint="eastAsia" w:ascii="宋体" w:cs="宋体"/>
                <w:sz w:val="24"/>
                <w:szCs w:val="24"/>
              </w:rPr>
              <w:t>100</w:t>
            </w:r>
          </w:p>
        </w:tc>
        <w:tc>
          <w:tcPr>
            <w:tcW w:w="993" w:type="dxa"/>
            <w:noWrap w:val="0"/>
            <w:vAlign w:val="top"/>
          </w:tcPr>
          <w:p w14:paraId="10E7D067">
            <w:pPr>
              <w:keepNext w:val="0"/>
              <w:keepLines w:val="0"/>
              <w:suppressLineNumbers w:val="0"/>
              <w:spacing w:before="0" w:beforeAutospacing="0" w:after="0" w:afterAutospacing="0" w:line="576" w:lineRule="exact"/>
              <w:ind w:left="0" w:right="0"/>
              <w:rPr>
                <w:rFonts w:hint="eastAsia" w:ascii="宋体" w:cs="宋体"/>
                <w:sz w:val="24"/>
                <w:szCs w:val="24"/>
              </w:rPr>
            </w:pPr>
          </w:p>
        </w:tc>
      </w:tr>
      <w:tr w14:paraId="4797C8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exact"/>
          <w:jc w:val="center"/>
        </w:trPr>
        <w:tc>
          <w:tcPr>
            <w:tcW w:w="1123" w:type="dxa"/>
            <w:noWrap w:val="0"/>
            <w:vAlign w:val="top"/>
          </w:tcPr>
          <w:p w14:paraId="475E04E2">
            <w:pPr>
              <w:keepNext w:val="0"/>
              <w:keepLines w:val="0"/>
              <w:suppressLineNumbers w:val="0"/>
              <w:spacing w:before="0" w:beforeAutospacing="0" w:after="0" w:afterAutospacing="0" w:line="576" w:lineRule="exact"/>
              <w:ind w:left="0" w:right="0"/>
              <w:jc w:val="center"/>
              <w:rPr>
                <w:rFonts w:hint="eastAsia" w:ascii="宋体" w:cs="宋体"/>
                <w:sz w:val="24"/>
                <w:szCs w:val="24"/>
              </w:rPr>
            </w:pPr>
            <w:r>
              <w:rPr>
                <w:rFonts w:hint="eastAsia" w:ascii="宋体" w:cs="宋体"/>
                <w:sz w:val="24"/>
                <w:szCs w:val="24"/>
              </w:rPr>
              <w:t>6</w:t>
            </w:r>
          </w:p>
        </w:tc>
        <w:tc>
          <w:tcPr>
            <w:tcW w:w="3843" w:type="dxa"/>
            <w:noWrap w:val="0"/>
            <w:vAlign w:val="top"/>
          </w:tcPr>
          <w:p w14:paraId="00AB0097">
            <w:pPr>
              <w:keepNext w:val="0"/>
              <w:keepLines w:val="0"/>
              <w:suppressLineNumbers w:val="0"/>
              <w:spacing w:before="0" w:beforeAutospacing="0" w:after="0" w:afterAutospacing="0" w:line="576" w:lineRule="exact"/>
              <w:ind w:left="0" w:right="0"/>
              <w:jc w:val="center"/>
              <w:rPr>
                <w:rFonts w:hint="eastAsia" w:ascii="宋体" w:cs="宋体"/>
                <w:sz w:val="24"/>
                <w:szCs w:val="24"/>
                <w:lang w:val="en"/>
              </w:rPr>
            </w:pPr>
            <w:r>
              <w:rPr>
                <w:rFonts w:hint="eastAsia" w:ascii="宋体" w:cs="宋体"/>
                <w:sz w:val="24"/>
                <w:szCs w:val="24"/>
                <w:lang w:val="en"/>
              </w:rPr>
              <w:t>利州区</w:t>
            </w:r>
          </w:p>
        </w:tc>
        <w:tc>
          <w:tcPr>
            <w:tcW w:w="2861" w:type="dxa"/>
            <w:noWrap w:val="0"/>
            <w:vAlign w:val="top"/>
          </w:tcPr>
          <w:p w14:paraId="7D0EA8E7">
            <w:pPr>
              <w:keepNext w:val="0"/>
              <w:keepLines w:val="0"/>
              <w:suppressLineNumbers w:val="0"/>
              <w:spacing w:before="0" w:beforeAutospacing="0" w:after="0" w:afterAutospacing="0" w:line="576" w:lineRule="exact"/>
              <w:ind w:left="0" w:right="0"/>
              <w:jc w:val="center"/>
              <w:rPr>
                <w:rFonts w:hint="eastAsia" w:ascii="宋体" w:cs="宋体"/>
                <w:sz w:val="24"/>
                <w:szCs w:val="24"/>
                <w:lang w:val="en"/>
              </w:rPr>
            </w:pPr>
            <w:r>
              <w:rPr>
                <w:rFonts w:hint="eastAsia" w:ascii="宋体" w:cs="宋体"/>
                <w:sz w:val="24"/>
                <w:szCs w:val="24"/>
              </w:rPr>
              <w:t>100</w:t>
            </w:r>
          </w:p>
        </w:tc>
        <w:tc>
          <w:tcPr>
            <w:tcW w:w="993" w:type="dxa"/>
            <w:noWrap w:val="0"/>
            <w:vAlign w:val="top"/>
          </w:tcPr>
          <w:p w14:paraId="066C7CC8">
            <w:pPr>
              <w:keepNext w:val="0"/>
              <w:keepLines w:val="0"/>
              <w:suppressLineNumbers w:val="0"/>
              <w:spacing w:before="0" w:beforeAutospacing="0" w:after="0" w:afterAutospacing="0" w:line="576" w:lineRule="exact"/>
              <w:ind w:left="0" w:right="0"/>
              <w:rPr>
                <w:rFonts w:hint="eastAsia" w:ascii="宋体" w:cs="宋体"/>
                <w:sz w:val="24"/>
                <w:szCs w:val="24"/>
              </w:rPr>
            </w:pPr>
          </w:p>
        </w:tc>
      </w:tr>
      <w:tr w14:paraId="7F80F2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exact"/>
          <w:jc w:val="center"/>
        </w:trPr>
        <w:tc>
          <w:tcPr>
            <w:tcW w:w="1123" w:type="dxa"/>
            <w:noWrap w:val="0"/>
            <w:vAlign w:val="top"/>
          </w:tcPr>
          <w:p w14:paraId="2D48D1C4">
            <w:pPr>
              <w:keepNext w:val="0"/>
              <w:keepLines w:val="0"/>
              <w:suppressLineNumbers w:val="0"/>
              <w:spacing w:before="0" w:beforeAutospacing="0" w:after="0" w:afterAutospacing="0" w:line="576" w:lineRule="exact"/>
              <w:ind w:left="0" w:right="0"/>
              <w:jc w:val="center"/>
              <w:rPr>
                <w:rFonts w:hint="eastAsia" w:ascii="宋体" w:cs="宋体"/>
                <w:sz w:val="24"/>
                <w:szCs w:val="24"/>
              </w:rPr>
            </w:pPr>
            <w:r>
              <w:rPr>
                <w:rFonts w:hint="eastAsia" w:ascii="宋体" w:cs="宋体"/>
                <w:sz w:val="24"/>
                <w:szCs w:val="24"/>
              </w:rPr>
              <w:t>7</w:t>
            </w:r>
          </w:p>
        </w:tc>
        <w:tc>
          <w:tcPr>
            <w:tcW w:w="3843" w:type="dxa"/>
            <w:noWrap w:val="0"/>
            <w:vAlign w:val="top"/>
          </w:tcPr>
          <w:p w14:paraId="54C4BAB6">
            <w:pPr>
              <w:keepNext w:val="0"/>
              <w:keepLines w:val="0"/>
              <w:suppressLineNumbers w:val="0"/>
              <w:spacing w:before="0" w:beforeAutospacing="0" w:after="0" w:afterAutospacing="0" w:line="576" w:lineRule="exact"/>
              <w:ind w:left="0" w:right="0"/>
              <w:jc w:val="center"/>
              <w:rPr>
                <w:rFonts w:hint="eastAsia" w:ascii="宋体" w:cs="宋体"/>
                <w:sz w:val="24"/>
                <w:szCs w:val="24"/>
                <w:lang w:val="en"/>
              </w:rPr>
            </w:pPr>
            <w:r>
              <w:rPr>
                <w:rFonts w:hint="eastAsia" w:ascii="宋体" w:cs="宋体"/>
                <w:sz w:val="24"/>
                <w:szCs w:val="24"/>
                <w:lang w:val="en"/>
              </w:rPr>
              <w:t>朝天区</w:t>
            </w:r>
          </w:p>
        </w:tc>
        <w:tc>
          <w:tcPr>
            <w:tcW w:w="2861" w:type="dxa"/>
            <w:noWrap w:val="0"/>
            <w:vAlign w:val="top"/>
          </w:tcPr>
          <w:p w14:paraId="6CFC711B">
            <w:pPr>
              <w:keepNext w:val="0"/>
              <w:keepLines w:val="0"/>
              <w:suppressLineNumbers w:val="0"/>
              <w:spacing w:before="0" w:beforeAutospacing="0" w:after="0" w:afterAutospacing="0" w:line="576" w:lineRule="exact"/>
              <w:ind w:left="0" w:right="0"/>
              <w:jc w:val="center"/>
              <w:rPr>
                <w:rFonts w:hint="eastAsia" w:ascii="宋体" w:cs="宋体"/>
                <w:sz w:val="24"/>
                <w:szCs w:val="24"/>
                <w:lang w:val="en"/>
              </w:rPr>
            </w:pPr>
            <w:r>
              <w:rPr>
                <w:rFonts w:hint="eastAsia" w:ascii="宋体" w:cs="宋体"/>
                <w:sz w:val="24"/>
                <w:szCs w:val="24"/>
              </w:rPr>
              <w:t>100</w:t>
            </w:r>
          </w:p>
        </w:tc>
        <w:tc>
          <w:tcPr>
            <w:tcW w:w="993" w:type="dxa"/>
            <w:noWrap w:val="0"/>
            <w:vAlign w:val="top"/>
          </w:tcPr>
          <w:p w14:paraId="38EB0A3C">
            <w:pPr>
              <w:keepNext w:val="0"/>
              <w:keepLines w:val="0"/>
              <w:suppressLineNumbers w:val="0"/>
              <w:spacing w:before="0" w:beforeAutospacing="0" w:after="0" w:afterAutospacing="0" w:line="576" w:lineRule="exact"/>
              <w:ind w:left="0" w:right="0"/>
              <w:rPr>
                <w:rFonts w:hint="eastAsia" w:ascii="宋体" w:cs="宋体"/>
                <w:sz w:val="24"/>
                <w:szCs w:val="24"/>
              </w:rPr>
            </w:pPr>
          </w:p>
        </w:tc>
      </w:tr>
      <w:tr w14:paraId="746861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7" w:hRule="exact"/>
          <w:jc w:val="center"/>
        </w:trPr>
        <w:tc>
          <w:tcPr>
            <w:tcW w:w="1123" w:type="dxa"/>
            <w:noWrap w:val="0"/>
            <w:vAlign w:val="top"/>
          </w:tcPr>
          <w:p w14:paraId="3D18F71B">
            <w:pPr>
              <w:keepNext w:val="0"/>
              <w:keepLines w:val="0"/>
              <w:suppressLineNumbers w:val="0"/>
              <w:spacing w:before="0" w:beforeAutospacing="0" w:after="0" w:afterAutospacing="0" w:line="576" w:lineRule="exact"/>
              <w:ind w:left="0" w:right="0"/>
              <w:jc w:val="center"/>
              <w:rPr>
                <w:rFonts w:hint="eastAsia" w:ascii="宋体" w:cs="宋体"/>
                <w:sz w:val="24"/>
                <w:szCs w:val="24"/>
              </w:rPr>
            </w:pPr>
            <w:r>
              <w:rPr>
                <w:rFonts w:hint="eastAsia" w:ascii="宋体" w:cs="宋体"/>
                <w:sz w:val="24"/>
                <w:szCs w:val="24"/>
              </w:rPr>
              <w:t>8</w:t>
            </w:r>
          </w:p>
        </w:tc>
        <w:tc>
          <w:tcPr>
            <w:tcW w:w="3843" w:type="dxa"/>
            <w:noWrap w:val="0"/>
            <w:vAlign w:val="top"/>
          </w:tcPr>
          <w:p w14:paraId="7A576C5C">
            <w:pPr>
              <w:keepNext w:val="0"/>
              <w:keepLines w:val="0"/>
              <w:suppressLineNumbers w:val="0"/>
              <w:spacing w:before="0" w:beforeAutospacing="0" w:after="0" w:afterAutospacing="0" w:line="576" w:lineRule="exact"/>
              <w:ind w:left="0" w:right="0"/>
              <w:jc w:val="center"/>
              <w:rPr>
                <w:rFonts w:hint="eastAsia" w:ascii="宋体" w:cs="宋体"/>
                <w:sz w:val="24"/>
                <w:szCs w:val="24"/>
                <w:lang w:val="en"/>
              </w:rPr>
            </w:pPr>
            <w:r>
              <w:rPr>
                <w:rFonts w:hint="eastAsia" w:ascii="宋体" w:cs="宋体"/>
                <w:sz w:val="24"/>
                <w:szCs w:val="24"/>
                <w:lang w:val="en"/>
              </w:rPr>
              <w:t>广元经开区</w:t>
            </w:r>
          </w:p>
        </w:tc>
        <w:tc>
          <w:tcPr>
            <w:tcW w:w="2861" w:type="dxa"/>
            <w:noWrap w:val="0"/>
            <w:vAlign w:val="top"/>
          </w:tcPr>
          <w:p w14:paraId="1CDD681E">
            <w:pPr>
              <w:keepNext w:val="0"/>
              <w:keepLines w:val="0"/>
              <w:suppressLineNumbers w:val="0"/>
              <w:spacing w:before="0" w:beforeAutospacing="0" w:after="0" w:afterAutospacing="0" w:line="576" w:lineRule="exact"/>
              <w:ind w:left="0" w:right="0"/>
              <w:jc w:val="center"/>
              <w:rPr>
                <w:rFonts w:hint="eastAsia" w:ascii="宋体" w:cs="宋体"/>
                <w:sz w:val="24"/>
                <w:szCs w:val="24"/>
                <w:lang w:val="en"/>
              </w:rPr>
            </w:pPr>
            <w:r>
              <w:rPr>
                <w:rFonts w:hint="eastAsia" w:ascii="宋体" w:cs="宋体"/>
                <w:sz w:val="24"/>
                <w:szCs w:val="24"/>
              </w:rPr>
              <w:t>100</w:t>
            </w:r>
          </w:p>
        </w:tc>
        <w:tc>
          <w:tcPr>
            <w:tcW w:w="993" w:type="dxa"/>
            <w:noWrap w:val="0"/>
            <w:vAlign w:val="top"/>
          </w:tcPr>
          <w:p w14:paraId="161260D2">
            <w:pPr>
              <w:keepNext w:val="0"/>
              <w:keepLines w:val="0"/>
              <w:suppressLineNumbers w:val="0"/>
              <w:spacing w:before="0" w:beforeAutospacing="0" w:after="0" w:afterAutospacing="0" w:line="576" w:lineRule="exact"/>
              <w:ind w:left="0" w:right="0"/>
              <w:rPr>
                <w:rFonts w:hint="eastAsia" w:ascii="宋体" w:cs="宋体"/>
                <w:sz w:val="24"/>
                <w:szCs w:val="24"/>
              </w:rPr>
            </w:pPr>
          </w:p>
        </w:tc>
      </w:tr>
    </w:tbl>
    <w:p w14:paraId="2FC87C97">
      <w:pPr>
        <w:spacing w:line="576" w:lineRule="exact"/>
        <w:jc w:val="left"/>
        <w:rPr>
          <w:rFonts w:hint="eastAsia" w:ascii="宋体" w:cs="宋体"/>
          <w:szCs w:val="21"/>
        </w:rPr>
      </w:pPr>
      <w:r>
        <w:rPr>
          <w:rFonts w:hint="eastAsia" w:ascii="宋体" w:cs="宋体"/>
          <w:szCs w:val="21"/>
        </w:rPr>
        <w:t>备注：项目资金末端分配点位包括市（州）本级、县（市、区）、省级部门下属单位及一次性单位等。</w:t>
      </w:r>
    </w:p>
    <w:p w14:paraId="3C0028D4">
      <w:pPr>
        <w:spacing w:line="576" w:lineRule="exact"/>
        <w:rPr>
          <w:rFonts w:eastAsia="黑体"/>
          <w:sz w:val="32"/>
          <w:szCs w:val="24"/>
        </w:rPr>
      </w:pPr>
      <w:r>
        <w:rPr>
          <w:rFonts w:hint="eastAsia" w:eastAsia="仿宋_GB2312"/>
          <w:sz w:val="32"/>
          <w:szCs w:val="24"/>
        </w:rPr>
        <w:br w:type="page"/>
      </w:r>
      <w:r>
        <w:rPr>
          <w:rFonts w:eastAsia="黑体"/>
          <w:sz w:val="32"/>
          <w:szCs w:val="24"/>
        </w:rPr>
        <w:t>附</w:t>
      </w:r>
      <w:r>
        <w:rPr>
          <w:rFonts w:hint="eastAsia" w:eastAsia="黑体"/>
          <w:sz w:val="32"/>
          <w:szCs w:val="24"/>
        </w:rPr>
        <w:t>件</w:t>
      </w:r>
      <w:r>
        <w:rPr>
          <w:rFonts w:eastAsia="黑体"/>
          <w:sz w:val="32"/>
          <w:szCs w:val="24"/>
        </w:rPr>
        <w:t>2</w:t>
      </w:r>
    </w:p>
    <w:tbl>
      <w:tblPr>
        <w:tblStyle w:val="20"/>
        <w:tblW w:w="10233" w:type="dxa"/>
        <w:jc w:val="center"/>
        <w:tblLayout w:type="fixed"/>
        <w:tblCellMar>
          <w:top w:w="15" w:type="dxa"/>
          <w:left w:w="15" w:type="dxa"/>
          <w:bottom w:w="15" w:type="dxa"/>
          <w:right w:w="15" w:type="dxa"/>
        </w:tblCellMar>
      </w:tblPr>
      <w:tblGrid>
        <w:gridCol w:w="652"/>
        <w:gridCol w:w="1081"/>
        <w:gridCol w:w="1250"/>
        <w:gridCol w:w="1312"/>
        <w:gridCol w:w="1127"/>
        <w:gridCol w:w="971"/>
        <w:gridCol w:w="1061"/>
        <w:gridCol w:w="938"/>
        <w:gridCol w:w="1841"/>
      </w:tblGrid>
      <w:tr w14:paraId="7AFD1E96">
        <w:tblPrEx>
          <w:tblCellMar>
            <w:top w:w="15" w:type="dxa"/>
            <w:left w:w="15" w:type="dxa"/>
            <w:bottom w:w="15" w:type="dxa"/>
            <w:right w:w="15" w:type="dxa"/>
          </w:tblCellMar>
        </w:tblPrEx>
        <w:trPr>
          <w:trHeight w:val="576" w:hRule="atLeast"/>
          <w:jc w:val="center"/>
        </w:trPr>
        <w:tc>
          <w:tcPr>
            <w:tcW w:w="10233" w:type="dxa"/>
            <w:gridSpan w:val="9"/>
            <w:tcBorders>
              <w:top w:val="nil"/>
              <w:left w:val="nil"/>
              <w:bottom w:val="nil"/>
              <w:right w:val="nil"/>
            </w:tcBorders>
            <w:noWrap w:val="0"/>
            <w:vAlign w:val="center"/>
          </w:tcPr>
          <w:p w14:paraId="7F6BC3CA">
            <w:pPr>
              <w:keepNext w:val="0"/>
              <w:keepLines w:val="0"/>
              <w:widowControl/>
              <w:suppressLineNumbers w:val="0"/>
              <w:spacing w:before="0" w:beforeAutospacing="0" w:after="0" w:afterAutospacing="0" w:line="576" w:lineRule="exact"/>
              <w:ind w:left="0" w:right="0"/>
              <w:jc w:val="center"/>
              <w:textAlignment w:val="center"/>
              <w:rPr>
                <w:rFonts w:hint="eastAsia" w:ascii="方正小标宋简体" w:eastAsia="方正小标宋简体" w:cs="方正小标宋简体"/>
                <w:color w:val="000000"/>
                <w:kern w:val="0"/>
                <w:sz w:val="40"/>
                <w:szCs w:val="40"/>
                <w:lang w:bidi="ar"/>
              </w:rPr>
            </w:pPr>
          </w:p>
          <w:p w14:paraId="3364D0CD">
            <w:pPr>
              <w:keepNext w:val="0"/>
              <w:keepLines w:val="0"/>
              <w:widowControl/>
              <w:suppressLineNumbers w:val="0"/>
              <w:spacing w:before="0" w:beforeAutospacing="0" w:after="0" w:afterAutospacing="0" w:line="576" w:lineRule="exact"/>
              <w:ind w:left="0" w:right="0"/>
              <w:jc w:val="center"/>
              <w:textAlignment w:val="center"/>
              <w:rPr>
                <w:rFonts w:hint="eastAsia" w:ascii="方正小标宋简体" w:eastAsia="方正小标宋简体" w:cs="方正小标宋简体"/>
                <w:color w:val="000000"/>
                <w:kern w:val="0"/>
                <w:sz w:val="40"/>
                <w:szCs w:val="40"/>
                <w:lang w:bidi="ar"/>
              </w:rPr>
            </w:pPr>
            <w:r>
              <w:rPr>
                <w:rFonts w:hint="eastAsia" w:ascii="方正小标宋简体" w:eastAsia="方正小标宋简体" w:cs="方正小标宋简体"/>
                <w:color w:val="000000"/>
                <w:kern w:val="0"/>
                <w:sz w:val="40"/>
                <w:szCs w:val="40"/>
                <w:lang w:bidi="ar"/>
              </w:rPr>
              <w:t>专项预算项目绩效目标完成情况自评表</w:t>
            </w:r>
          </w:p>
          <w:p w14:paraId="48696702">
            <w:pPr>
              <w:pStyle w:val="28"/>
              <w:ind w:left="0" w:right="0"/>
              <w:rPr>
                <w:rFonts w:hint="eastAsia"/>
                <w:lang w:bidi="ar"/>
              </w:rPr>
            </w:pPr>
          </w:p>
        </w:tc>
      </w:tr>
      <w:tr w14:paraId="6E6954E7">
        <w:tblPrEx>
          <w:tblCellMar>
            <w:top w:w="15" w:type="dxa"/>
            <w:left w:w="15" w:type="dxa"/>
            <w:bottom w:w="15" w:type="dxa"/>
            <w:right w:w="15" w:type="dxa"/>
          </w:tblCellMar>
        </w:tblPrEx>
        <w:trPr>
          <w:trHeight w:val="23" w:hRule="atLeast"/>
          <w:jc w:val="center"/>
        </w:trPr>
        <w:tc>
          <w:tcPr>
            <w:tcW w:w="4295" w:type="dxa"/>
            <w:gridSpan w:val="4"/>
            <w:tcBorders>
              <w:top w:val="single" w:color="000000" w:sz="4" w:space="0"/>
              <w:left w:val="single" w:color="000000" w:sz="4" w:space="0"/>
              <w:bottom w:val="single" w:color="000000" w:sz="4" w:space="0"/>
              <w:right w:val="single" w:color="000000" w:sz="4" w:space="0"/>
            </w:tcBorders>
            <w:noWrap w:val="0"/>
            <w:vAlign w:val="center"/>
          </w:tcPr>
          <w:p w14:paraId="0D4C69AE">
            <w:pPr>
              <w:keepNext w:val="0"/>
              <w:keepLines w:val="0"/>
              <w:widowControl/>
              <w:suppressLineNumbers w:val="0"/>
              <w:spacing w:before="0" w:beforeAutospacing="0" w:after="0" w:afterAutospacing="0" w:line="320" w:lineRule="exact"/>
              <w:ind w:left="0" w:right="0"/>
              <w:jc w:val="left"/>
              <w:textAlignment w:val="center"/>
              <w:rPr>
                <w:rFonts w:hint="eastAsia" w:ascii="宋体" w:cs="宋体"/>
                <w:color w:val="000000"/>
                <w:sz w:val="24"/>
                <w:szCs w:val="24"/>
              </w:rPr>
            </w:pPr>
            <w:r>
              <w:rPr>
                <w:rFonts w:hint="eastAsia" w:ascii="宋体" w:cs="宋体"/>
                <w:color w:val="000000"/>
                <w:kern w:val="0"/>
                <w:sz w:val="24"/>
                <w:szCs w:val="24"/>
                <w:lang w:bidi="ar"/>
              </w:rPr>
              <w:t>项目名称</w:t>
            </w:r>
          </w:p>
        </w:tc>
        <w:tc>
          <w:tcPr>
            <w:tcW w:w="5938" w:type="dxa"/>
            <w:gridSpan w:val="5"/>
            <w:tcBorders>
              <w:top w:val="single" w:color="000000" w:sz="4" w:space="0"/>
              <w:left w:val="single" w:color="000000" w:sz="4" w:space="0"/>
              <w:bottom w:val="single" w:color="000000" w:sz="4" w:space="0"/>
              <w:right w:val="single" w:color="000000" w:sz="4" w:space="0"/>
            </w:tcBorders>
            <w:noWrap w:val="0"/>
            <w:vAlign w:val="center"/>
          </w:tcPr>
          <w:p w14:paraId="0DCAE945">
            <w:pPr>
              <w:keepNext w:val="0"/>
              <w:keepLines w:val="0"/>
              <w:suppressLineNumbers w:val="0"/>
              <w:spacing w:before="0" w:beforeAutospacing="0" w:after="0" w:afterAutospacing="0" w:line="320" w:lineRule="exact"/>
              <w:ind w:left="0" w:right="0"/>
              <w:rPr>
                <w:rFonts w:hint="eastAsia" w:ascii="宋体" w:cs="宋体"/>
                <w:color w:val="000000"/>
                <w:sz w:val="24"/>
                <w:szCs w:val="24"/>
              </w:rPr>
            </w:pPr>
            <w:r>
              <w:rPr>
                <w:rFonts w:hint="eastAsia" w:ascii="宋体" w:cs="宋体"/>
                <w:color w:val="000000"/>
                <w:sz w:val="24"/>
                <w:szCs w:val="24"/>
              </w:rPr>
              <w:t>前期工作激励资金</w:t>
            </w:r>
          </w:p>
        </w:tc>
      </w:tr>
      <w:tr w14:paraId="620B6BA2">
        <w:tblPrEx>
          <w:tblCellMar>
            <w:top w:w="15" w:type="dxa"/>
            <w:left w:w="15" w:type="dxa"/>
            <w:bottom w:w="15" w:type="dxa"/>
            <w:right w:w="15" w:type="dxa"/>
          </w:tblCellMar>
        </w:tblPrEx>
        <w:trPr>
          <w:trHeight w:val="23" w:hRule="atLeast"/>
          <w:jc w:val="center"/>
        </w:trPr>
        <w:tc>
          <w:tcPr>
            <w:tcW w:w="4295" w:type="dxa"/>
            <w:gridSpan w:val="4"/>
            <w:tcBorders>
              <w:top w:val="single" w:color="000000" w:sz="4" w:space="0"/>
              <w:left w:val="single" w:color="000000" w:sz="4" w:space="0"/>
              <w:bottom w:val="single" w:color="000000" w:sz="4" w:space="0"/>
              <w:right w:val="single" w:color="000000" w:sz="4" w:space="0"/>
            </w:tcBorders>
            <w:noWrap w:val="0"/>
            <w:vAlign w:val="center"/>
          </w:tcPr>
          <w:p w14:paraId="4026F2F1">
            <w:pPr>
              <w:keepNext w:val="0"/>
              <w:keepLines w:val="0"/>
              <w:widowControl/>
              <w:suppressLineNumbers w:val="0"/>
              <w:spacing w:before="0" w:beforeAutospacing="0" w:after="0" w:afterAutospacing="0" w:line="320" w:lineRule="exact"/>
              <w:ind w:left="0" w:right="0"/>
              <w:jc w:val="left"/>
              <w:textAlignment w:val="center"/>
              <w:rPr>
                <w:rFonts w:hint="eastAsia" w:ascii="宋体" w:cs="宋体"/>
                <w:color w:val="000000"/>
                <w:sz w:val="24"/>
                <w:szCs w:val="24"/>
              </w:rPr>
            </w:pPr>
            <w:r>
              <w:rPr>
                <w:rFonts w:hint="eastAsia" w:ascii="宋体" w:cs="宋体"/>
                <w:color w:val="000000"/>
                <w:kern w:val="0"/>
                <w:sz w:val="24"/>
                <w:szCs w:val="24"/>
                <w:lang w:bidi="ar"/>
              </w:rPr>
              <w:t>预算单位</w:t>
            </w:r>
          </w:p>
        </w:tc>
        <w:tc>
          <w:tcPr>
            <w:tcW w:w="5938" w:type="dxa"/>
            <w:gridSpan w:val="5"/>
            <w:tcBorders>
              <w:top w:val="single" w:color="000000" w:sz="4" w:space="0"/>
              <w:left w:val="single" w:color="000000" w:sz="4" w:space="0"/>
              <w:bottom w:val="single" w:color="000000" w:sz="4" w:space="0"/>
              <w:right w:val="single" w:color="000000" w:sz="4" w:space="0"/>
            </w:tcBorders>
            <w:noWrap w:val="0"/>
            <w:vAlign w:val="center"/>
          </w:tcPr>
          <w:p w14:paraId="1A34070C">
            <w:pPr>
              <w:keepNext w:val="0"/>
              <w:keepLines w:val="0"/>
              <w:suppressLineNumbers w:val="0"/>
              <w:spacing w:before="0" w:beforeAutospacing="0" w:after="0" w:afterAutospacing="0" w:line="320" w:lineRule="exact"/>
              <w:ind w:left="0" w:right="0"/>
              <w:rPr>
                <w:rFonts w:hint="eastAsia" w:ascii="宋体" w:cs="宋体"/>
                <w:color w:val="000000"/>
                <w:sz w:val="24"/>
                <w:szCs w:val="24"/>
              </w:rPr>
            </w:pPr>
            <w:r>
              <w:rPr>
                <w:rFonts w:hint="eastAsia" w:ascii="宋体" w:cs="宋体"/>
                <w:color w:val="000000"/>
                <w:sz w:val="24"/>
                <w:szCs w:val="24"/>
              </w:rPr>
              <w:t>市本级、苍溪县、旺苍县、剑阁县、青川县、利州区、朝天区、广元经开区</w:t>
            </w:r>
          </w:p>
        </w:tc>
      </w:tr>
      <w:tr w14:paraId="316D40FD">
        <w:tblPrEx>
          <w:tblCellMar>
            <w:top w:w="15" w:type="dxa"/>
            <w:left w:w="15" w:type="dxa"/>
            <w:bottom w:w="15" w:type="dxa"/>
            <w:right w:w="15" w:type="dxa"/>
          </w:tblCellMar>
        </w:tblPrEx>
        <w:trPr>
          <w:trHeight w:val="23" w:hRule="atLeast"/>
          <w:jc w:val="center"/>
        </w:trPr>
        <w:tc>
          <w:tcPr>
            <w:tcW w:w="4295" w:type="dxa"/>
            <w:gridSpan w:val="4"/>
            <w:tcBorders>
              <w:top w:val="single" w:color="000000" w:sz="4" w:space="0"/>
              <w:left w:val="single" w:color="000000" w:sz="4" w:space="0"/>
              <w:bottom w:val="single" w:color="000000" w:sz="4" w:space="0"/>
              <w:right w:val="single" w:color="000000" w:sz="4" w:space="0"/>
            </w:tcBorders>
            <w:noWrap w:val="0"/>
            <w:vAlign w:val="center"/>
          </w:tcPr>
          <w:p w14:paraId="6131964E">
            <w:pPr>
              <w:keepNext w:val="0"/>
              <w:keepLines w:val="0"/>
              <w:widowControl/>
              <w:suppressLineNumbers w:val="0"/>
              <w:spacing w:before="0" w:beforeAutospacing="0" w:after="0" w:afterAutospacing="0" w:line="320" w:lineRule="exact"/>
              <w:ind w:left="0" w:right="0"/>
              <w:jc w:val="left"/>
              <w:textAlignment w:val="center"/>
              <w:rPr>
                <w:rFonts w:hint="eastAsia" w:ascii="宋体" w:cs="宋体"/>
                <w:color w:val="000000"/>
                <w:sz w:val="24"/>
                <w:szCs w:val="24"/>
              </w:rPr>
            </w:pPr>
            <w:r>
              <w:rPr>
                <w:rFonts w:hint="eastAsia" w:ascii="宋体" w:cs="宋体"/>
                <w:color w:val="000000"/>
                <w:kern w:val="0"/>
                <w:sz w:val="24"/>
                <w:szCs w:val="24"/>
                <w:lang w:bidi="ar"/>
              </w:rPr>
              <w:t>项目类型</w:t>
            </w:r>
          </w:p>
        </w:tc>
        <w:tc>
          <w:tcPr>
            <w:tcW w:w="5938" w:type="dxa"/>
            <w:gridSpan w:val="5"/>
            <w:tcBorders>
              <w:top w:val="single" w:color="000000" w:sz="4" w:space="0"/>
              <w:left w:val="single" w:color="000000" w:sz="4" w:space="0"/>
              <w:bottom w:val="single" w:color="000000" w:sz="4" w:space="0"/>
              <w:right w:val="single" w:color="000000" w:sz="4" w:space="0"/>
            </w:tcBorders>
            <w:noWrap w:val="0"/>
            <w:vAlign w:val="center"/>
          </w:tcPr>
          <w:p w14:paraId="795ADC28">
            <w:pPr>
              <w:keepNext w:val="0"/>
              <w:keepLines w:val="0"/>
              <w:suppressLineNumbers w:val="0"/>
              <w:spacing w:before="0" w:beforeAutospacing="0" w:after="0" w:afterAutospacing="0" w:line="320" w:lineRule="exact"/>
              <w:ind w:left="0" w:right="0"/>
              <w:jc w:val="left"/>
              <w:rPr>
                <w:rFonts w:hint="eastAsia" w:ascii="宋体" w:cs="宋体"/>
                <w:color w:val="000000"/>
                <w:sz w:val="24"/>
                <w:szCs w:val="24"/>
              </w:rPr>
            </w:pPr>
            <w:r>
              <w:rPr>
                <w:rFonts w:hint="eastAsia" w:ascii="宋体" w:cs="宋体"/>
                <w:color w:val="000000"/>
                <w:sz w:val="24"/>
                <w:szCs w:val="24"/>
              </w:rPr>
              <w:t>新建项目</w:t>
            </w:r>
          </w:p>
        </w:tc>
      </w:tr>
      <w:tr w14:paraId="6D77CE51">
        <w:tblPrEx>
          <w:tblCellMar>
            <w:top w:w="15" w:type="dxa"/>
            <w:left w:w="15" w:type="dxa"/>
            <w:bottom w:w="15" w:type="dxa"/>
            <w:right w:w="15" w:type="dxa"/>
          </w:tblCellMar>
        </w:tblPrEx>
        <w:trPr>
          <w:trHeight w:val="23" w:hRule="atLeast"/>
          <w:jc w:val="center"/>
        </w:trPr>
        <w:tc>
          <w:tcPr>
            <w:tcW w:w="652" w:type="dxa"/>
            <w:vMerge w:val="restart"/>
            <w:tcBorders>
              <w:top w:val="single" w:color="000000" w:sz="4" w:space="0"/>
              <w:left w:val="single" w:color="000000" w:sz="4" w:space="0"/>
              <w:bottom w:val="single" w:color="000000" w:sz="4" w:space="0"/>
              <w:right w:val="single" w:color="000000" w:sz="4" w:space="0"/>
            </w:tcBorders>
            <w:noWrap w:val="0"/>
            <w:vAlign w:val="center"/>
          </w:tcPr>
          <w:p w14:paraId="5BC182CE">
            <w:pPr>
              <w:keepNext w:val="0"/>
              <w:keepLines w:val="0"/>
              <w:widowControl/>
              <w:suppressLineNumbers w:val="0"/>
              <w:spacing w:before="0" w:beforeAutospacing="0" w:after="0" w:afterAutospacing="0" w:line="320" w:lineRule="exact"/>
              <w:ind w:left="0" w:right="0"/>
              <w:jc w:val="center"/>
              <w:textAlignment w:val="center"/>
              <w:rPr>
                <w:rFonts w:hint="eastAsia" w:ascii="宋体" w:cs="宋体"/>
                <w:color w:val="000000"/>
                <w:sz w:val="24"/>
                <w:szCs w:val="24"/>
              </w:rPr>
            </w:pPr>
            <w:r>
              <w:rPr>
                <w:rFonts w:hint="eastAsia" w:ascii="宋体" w:cs="宋体"/>
                <w:color w:val="000000"/>
                <w:kern w:val="0"/>
                <w:sz w:val="24"/>
                <w:szCs w:val="24"/>
                <w:lang w:bidi="ar"/>
              </w:rPr>
              <w:t>项目 概况</w:t>
            </w:r>
          </w:p>
        </w:tc>
        <w:tc>
          <w:tcPr>
            <w:tcW w:w="3643" w:type="dxa"/>
            <w:gridSpan w:val="3"/>
            <w:tcBorders>
              <w:top w:val="single" w:color="000000" w:sz="4" w:space="0"/>
              <w:left w:val="single" w:color="000000" w:sz="4" w:space="0"/>
              <w:bottom w:val="single" w:color="000000" w:sz="4" w:space="0"/>
              <w:right w:val="single" w:color="000000" w:sz="4" w:space="0"/>
            </w:tcBorders>
            <w:noWrap w:val="0"/>
            <w:vAlign w:val="center"/>
          </w:tcPr>
          <w:p w14:paraId="6395C873">
            <w:pPr>
              <w:keepNext w:val="0"/>
              <w:keepLines w:val="0"/>
              <w:widowControl/>
              <w:suppressLineNumbers w:val="0"/>
              <w:spacing w:before="0" w:beforeAutospacing="0" w:after="0" w:afterAutospacing="0" w:line="320" w:lineRule="exact"/>
              <w:ind w:left="0" w:right="0"/>
              <w:jc w:val="left"/>
              <w:textAlignment w:val="center"/>
              <w:rPr>
                <w:rFonts w:hint="eastAsia" w:ascii="宋体" w:cs="宋体"/>
                <w:color w:val="000000"/>
                <w:kern w:val="0"/>
                <w:sz w:val="24"/>
                <w:szCs w:val="24"/>
                <w:lang w:bidi="ar"/>
              </w:rPr>
            </w:pPr>
            <w:r>
              <w:rPr>
                <w:rFonts w:hint="eastAsia" w:ascii="宋体" w:cs="宋体"/>
                <w:color w:val="000000"/>
                <w:kern w:val="0"/>
                <w:sz w:val="24"/>
                <w:szCs w:val="24"/>
                <w:lang w:bidi="ar"/>
              </w:rPr>
              <w:t>中长期规划（名称、文号，仅指</w:t>
            </w:r>
          </w:p>
          <w:p w14:paraId="14794BCC">
            <w:pPr>
              <w:keepNext w:val="0"/>
              <w:keepLines w:val="0"/>
              <w:widowControl/>
              <w:suppressLineNumbers w:val="0"/>
              <w:spacing w:before="0" w:beforeAutospacing="0" w:after="0" w:afterAutospacing="0" w:line="320" w:lineRule="exact"/>
              <w:ind w:left="0" w:right="0"/>
              <w:jc w:val="left"/>
              <w:textAlignment w:val="center"/>
              <w:rPr>
                <w:rFonts w:hint="eastAsia" w:ascii="宋体" w:cs="宋体"/>
                <w:color w:val="000000"/>
                <w:sz w:val="24"/>
                <w:szCs w:val="24"/>
              </w:rPr>
            </w:pPr>
            <w:r>
              <w:rPr>
                <w:rFonts w:hint="eastAsia" w:ascii="宋体" w:cs="宋体"/>
                <w:color w:val="000000"/>
                <w:kern w:val="0"/>
                <w:sz w:val="24"/>
                <w:szCs w:val="24"/>
                <w:lang w:bidi="ar"/>
              </w:rPr>
              <w:t>常年项目）</w:t>
            </w:r>
          </w:p>
        </w:tc>
        <w:tc>
          <w:tcPr>
            <w:tcW w:w="5938" w:type="dxa"/>
            <w:gridSpan w:val="5"/>
            <w:tcBorders>
              <w:top w:val="single" w:color="000000" w:sz="4" w:space="0"/>
              <w:left w:val="single" w:color="000000" w:sz="4" w:space="0"/>
              <w:bottom w:val="single" w:color="000000" w:sz="4" w:space="0"/>
              <w:right w:val="single" w:color="000000" w:sz="4" w:space="0"/>
            </w:tcBorders>
            <w:noWrap w:val="0"/>
            <w:vAlign w:val="center"/>
          </w:tcPr>
          <w:p w14:paraId="2CEB52B6">
            <w:pPr>
              <w:keepNext w:val="0"/>
              <w:keepLines w:val="0"/>
              <w:suppressLineNumbers w:val="0"/>
              <w:spacing w:before="0" w:beforeAutospacing="0" w:after="0" w:afterAutospacing="0" w:line="320" w:lineRule="exact"/>
              <w:ind w:left="0" w:right="0"/>
              <w:jc w:val="left"/>
              <w:rPr>
                <w:rFonts w:hint="eastAsia" w:ascii="宋体" w:cs="宋体"/>
                <w:color w:val="000000"/>
                <w:sz w:val="24"/>
                <w:szCs w:val="24"/>
              </w:rPr>
            </w:pPr>
            <w:r>
              <w:rPr>
                <w:rFonts w:hint="eastAsia" w:ascii="宋体" w:cs="宋体"/>
                <w:color w:val="000000"/>
                <w:sz w:val="24"/>
                <w:szCs w:val="24"/>
              </w:rPr>
              <w:t>《关于下达2023年省预算内基本建设投资计划的通知》（川发改投资〔2023〕176号）《关于下达2023年促投资稳增长前期工作激励省预算内基本建设投资计划的通知》（川发改投资〔2023〕345号）</w:t>
            </w:r>
          </w:p>
        </w:tc>
      </w:tr>
      <w:tr w14:paraId="1F60F5AF">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noWrap w:val="0"/>
            <w:vAlign w:val="center"/>
          </w:tcPr>
          <w:p w14:paraId="6D43599B">
            <w:pPr>
              <w:keepNext w:val="0"/>
              <w:keepLines w:val="0"/>
              <w:suppressLineNumbers w:val="0"/>
              <w:spacing w:before="0" w:beforeAutospacing="0" w:after="0" w:afterAutospacing="0" w:line="320" w:lineRule="exact"/>
              <w:ind w:left="0" w:right="0"/>
              <w:rPr>
                <w:rFonts w:hint="default"/>
              </w:rPr>
            </w:pPr>
          </w:p>
        </w:tc>
        <w:tc>
          <w:tcPr>
            <w:tcW w:w="3643" w:type="dxa"/>
            <w:gridSpan w:val="3"/>
            <w:tcBorders>
              <w:top w:val="single" w:color="000000" w:sz="4" w:space="0"/>
              <w:left w:val="single" w:color="000000" w:sz="4" w:space="0"/>
              <w:bottom w:val="single" w:color="000000" w:sz="4" w:space="0"/>
              <w:right w:val="single" w:color="000000" w:sz="4" w:space="0"/>
            </w:tcBorders>
            <w:noWrap w:val="0"/>
            <w:vAlign w:val="center"/>
          </w:tcPr>
          <w:p w14:paraId="4343330F">
            <w:pPr>
              <w:keepNext w:val="0"/>
              <w:keepLines w:val="0"/>
              <w:widowControl/>
              <w:suppressLineNumbers w:val="0"/>
              <w:spacing w:before="0" w:beforeAutospacing="0" w:after="0" w:afterAutospacing="0" w:line="320" w:lineRule="exact"/>
              <w:ind w:left="0" w:right="0"/>
              <w:jc w:val="left"/>
              <w:textAlignment w:val="center"/>
              <w:rPr>
                <w:rFonts w:hint="eastAsia" w:ascii="宋体" w:cs="宋体"/>
                <w:color w:val="000000"/>
                <w:sz w:val="24"/>
                <w:szCs w:val="24"/>
              </w:rPr>
            </w:pPr>
            <w:r>
              <w:rPr>
                <w:rFonts w:hint="eastAsia" w:ascii="宋体" w:cs="宋体"/>
                <w:color w:val="000000"/>
                <w:kern w:val="0"/>
                <w:sz w:val="24"/>
                <w:szCs w:val="24"/>
                <w:lang w:bidi="ar"/>
              </w:rPr>
              <w:t>资金管理办法（名称、文号）</w:t>
            </w:r>
          </w:p>
        </w:tc>
        <w:tc>
          <w:tcPr>
            <w:tcW w:w="5938" w:type="dxa"/>
            <w:gridSpan w:val="5"/>
            <w:tcBorders>
              <w:top w:val="single" w:color="000000" w:sz="4" w:space="0"/>
              <w:left w:val="single" w:color="000000" w:sz="4" w:space="0"/>
              <w:bottom w:val="single" w:color="000000" w:sz="4" w:space="0"/>
              <w:right w:val="single" w:color="000000" w:sz="4" w:space="0"/>
            </w:tcBorders>
            <w:noWrap w:val="0"/>
            <w:vAlign w:val="center"/>
          </w:tcPr>
          <w:p w14:paraId="2D75B7D2">
            <w:pPr>
              <w:keepNext w:val="0"/>
              <w:keepLines w:val="0"/>
              <w:suppressLineNumbers w:val="0"/>
              <w:spacing w:before="0" w:beforeAutospacing="0" w:after="0" w:afterAutospacing="0" w:line="320" w:lineRule="exact"/>
              <w:ind w:left="0" w:right="0"/>
              <w:jc w:val="left"/>
              <w:rPr>
                <w:rFonts w:hint="eastAsia" w:ascii="宋体" w:cs="宋体"/>
                <w:color w:val="000000"/>
                <w:sz w:val="24"/>
                <w:szCs w:val="24"/>
              </w:rPr>
            </w:pPr>
            <w:r>
              <w:rPr>
                <w:rFonts w:hint="eastAsia" w:ascii="宋体" w:cs="宋体"/>
                <w:color w:val="000000"/>
                <w:sz w:val="24"/>
                <w:szCs w:val="24"/>
              </w:rPr>
              <w:t>《四川省省级预算内基本建设投资管理办法》</w:t>
            </w:r>
          </w:p>
        </w:tc>
      </w:tr>
      <w:tr w14:paraId="6C18B47F">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noWrap w:val="0"/>
            <w:vAlign w:val="center"/>
          </w:tcPr>
          <w:p w14:paraId="438DF2D7">
            <w:pPr>
              <w:keepNext w:val="0"/>
              <w:keepLines w:val="0"/>
              <w:suppressLineNumbers w:val="0"/>
              <w:spacing w:before="0" w:beforeAutospacing="0" w:after="0" w:afterAutospacing="0" w:line="320" w:lineRule="exact"/>
              <w:ind w:left="0" w:right="0"/>
              <w:rPr>
                <w:rFonts w:hint="default"/>
              </w:rPr>
            </w:pPr>
          </w:p>
        </w:tc>
        <w:tc>
          <w:tcPr>
            <w:tcW w:w="3643" w:type="dxa"/>
            <w:gridSpan w:val="3"/>
            <w:tcBorders>
              <w:top w:val="single" w:color="000000" w:sz="4" w:space="0"/>
              <w:left w:val="single" w:color="000000" w:sz="4" w:space="0"/>
              <w:bottom w:val="single" w:color="000000" w:sz="4" w:space="0"/>
              <w:right w:val="single" w:color="000000" w:sz="4" w:space="0"/>
            </w:tcBorders>
            <w:noWrap w:val="0"/>
            <w:vAlign w:val="center"/>
          </w:tcPr>
          <w:p w14:paraId="42C9E607">
            <w:pPr>
              <w:keepNext w:val="0"/>
              <w:keepLines w:val="0"/>
              <w:widowControl/>
              <w:suppressLineNumbers w:val="0"/>
              <w:spacing w:before="0" w:beforeAutospacing="0" w:after="0" w:afterAutospacing="0" w:line="320" w:lineRule="exact"/>
              <w:ind w:left="0" w:right="0"/>
              <w:jc w:val="left"/>
              <w:textAlignment w:val="center"/>
              <w:rPr>
                <w:rFonts w:hint="eastAsia" w:ascii="宋体" w:cs="宋体"/>
                <w:color w:val="000000"/>
                <w:sz w:val="24"/>
                <w:szCs w:val="24"/>
              </w:rPr>
            </w:pPr>
            <w:r>
              <w:rPr>
                <w:rFonts w:hint="eastAsia" w:ascii="宋体" w:cs="宋体"/>
                <w:color w:val="000000"/>
                <w:kern w:val="0"/>
                <w:sz w:val="24"/>
                <w:szCs w:val="24"/>
                <w:lang w:bidi="ar"/>
              </w:rPr>
              <w:t>绩效分配方式</w:t>
            </w:r>
          </w:p>
        </w:tc>
        <w:tc>
          <w:tcPr>
            <w:tcW w:w="1127" w:type="dxa"/>
            <w:tcBorders>
              <w:top w:val="single" w:color="000000" w:sz="4" w:space="0"/>
              <w:left w:val="single" w:color="000000" w:sz="4" w:space="0"/>
              <w:bottom w:val="single" w:color="000000" w:sz="4" w:space="0"/>
              <w:right w:val="single" w:color="000000" w:sz="4" w:space="0"/>
            </w:tcBorders>
            <w:noWrap w:val="0"/>
            <w:vAlign w:val="center"/>
          </w:tcPr>
          <w:p w14:paraId="1DD8822E">
            <w:pPr>
              <w:keepNext w:val="0"/>
              <w:keepLines w:val="0"/>
              <w:widowControl/>
              <w:suppressLineNumbers w:val="0"/>
              <w:spacing w:before="0" w:beforeAutospacing="0" w:after="0" w:afterAutospacing="0" w:line="320" w:lineRule="exact"/>
              <w:ind w:left="0" w:right="0"/>
              <w:jc w:val="left"/>
              <w:textAlignment w:val="center"/>
              <w:rPr>
                <w:rFonts w:hint="default" w:ascii="Wingdings 2" w:hAnsi="Wingdings 2" w:eastAsia="Wingdings 2" w:cs="Wingdings 2"/>
                <w:color w:val="000000"/>
                <w:sz w:val="24"/>
                <w:szCs w:val="24"/>
              </w:rPr>
            </w:pPr>
            <w:r>
              <w:rPr>
                <w:rFonts w:hint="default" w:ascii="Wingdings 2" w:hAnsi="Wingdings 2" w:eastAsia="Wingdings 2" w:cs="Wingdings 2"/>
                <w:color w:val="000000"/>
                <w:kern w:val="0"/>
                <w:sz w:val="24"/>
                <w:szCs w:val="24"/>
                <w:lang w:bidi="ar"/>
              </w:rPr>
              <w:t></w:t>
            </w:r>
            <w:r>
              <w:rPr>
                <w:rFonts w:hint="eastAsia" w:ascii="宋体" w:cs="宋体"/>
                <w:color w:val="000000"/>
                <w:kern w:val="0"/>
                <w:sz w:val="24"/>
                <w:szCs w:val="24"/>
                <w:lang w:bidi="ar"/>
              </w:rPr>
              <w:t>因素法</w:t>
            </w:r>
          </w:p>
        </w:tc>
        <w:tc>
          <w:tcPr>
            <w:tcW w:w="2032" w:type="dxa"/>
            <w:gridSpan w:val="2"/>
            <w:tcBorders>
              <w:top w:val="single" w:color="000000" w:sz="4" w:space="0"/>
              <w:left w:val="single" w:color="000000" w:sz="4" w:space="0"/>
              <w:bottom w:val="single" w:color="000000" w:sz="4" w:space="0"/>
              <w:right w:val="single" w:color="000000" w:sz="4" w:space="0"/>
            </w:tcBorders>
            <w:noWrap w:val="0"/>
            <w:vAlign w:val="center"/>
          </w:tcPr>
          <w:p w14:paraId="00F8C9CC">
            <w:pPr>
              <w:keepNext w:val="0"/>
              <w:keepLines w:val="0"/>
              <w:widowControl/>
              <w:suppressLineNumbers w:val="0"/>
              <w:spacing w:before="0" w:beforeAutospacing="0" w:after="0" w:afterAutospacing="0" w:line="320" w:lineRule="exact"/>
              <w:ind w:left="0" w:right="0"/>
              <w:jc w:val="center"/>
              <w:textAlignment w:val="center"/>
              <w:rPr>
                <w:rFonts w:hint="default" w:ascii="Wingdings 2" w:hAnsi="Wingdings 2" w:eastAsia="Wingdings 2" w:cs="Wingdings 2"/>
                <w:color w:val="000000"/>
                <w:sz w:val="24"/>
                <w:szCs w:val="24"/>
              </w:rPr>
            </w:pPr>
            <w:r>
              <w:rPr>
                <w:rFonts w:hint="default" w:ascii="Wingdings 2" w:hAnsi="Wingdings 2" w:eastAsia="Wingdings 2" w:cs="Wingdings 2"/>
                <w:color w:val="000000"/>
                <w:kern w:val="0"/>
                <w:sz w:val="24"/>
                <w:szCs w:val="24"/>
                <w:lang w:bidi="ar"/>
              </w:rPr>
              <w:sym w:font="Wingdings 2" w:char="0052"/>
            </w:r>
            <w:r>
              <w:rPr>
                <w:rFonts w:hint="default" w:ascii="Wingdings 2" w:hAnsi="Wingdings 2" w:eastAsia="Wingdings 2" w:cs="Wingdings 2"/>
                <w:color w:val="000000"/>
                <w:kern w:val="0"/>
                <w:sz w:val="24"/>
                <w:szCs w:val="24"/>
                <w:lang w:bidi="ar"/>
              </w:rPr>
              <w:t>项目法</w:t>
            </w:r>
          </w:p>
        </w:tc>
        <w:tc>
          <w:tcPr>
            <w:tcW w:w="938" w:type="dxa"/>
            <w:tcBorders>
              <w:top w:val="single" w:color="000000" w:sz="4" w:space="0"/>
              <w:left w:val="single" w:color="000000" w:sz="4" w:space="0"/>
              <w:bottom w:val="single" w:color="000000" w:sz="4" w:space="0"/>
              <w:right w:val="single" w:color="000000" w:sz="4" w:space="0"/>
            </w:tcBorders>
            <w:noWrap w:val="0"/>
            <w:vAlign w:val="center"/>
          </w:tcPr>
          <w:p w14:paraId="322A7CA6">
            <w:pPr>
              <w:keepNext w:val="0"/>
              <w:keepLines w:val="0"/>
              <w:widowControl/>
              <w:suppressLineNumbers w:val="0"/>
              <w:spacing w:before="0" w:beforeAutospacing="0" w:after="0" w:afterAutospacing="0" w:line="320" w:lineRule="exact"/>
              <w:ind w:left="0" w:right="0"/>
              <w:jc w:val="center"/>
              <w:textAlignment w:val="center"/>
              <w:rPr>
                <w:rFonts w:hint="default" w:ascii="Wingdings 2" w:hAnsi="Wingdings 2" w:eastAsia="Wingdings 2" w:cs="Wingdings 2"/>
                <w:color w:val="000000"/>
                <w:sz w:val="24"/>
                <w:szCs w:val="24"/>
              </w:rPr>
            </w:pPr>
            <w:r>
              <w:rPr>
                <w:rFonts w:hint="default" w:ascii="Wingdings 2" w:hAnsi="Wingdings 2" w:eastAsia="Wingdings 2" w:cs="Wingdings 2"/>
                <w:color w:val="000000"/>
                <w:kern w:val="0"/>
                <w:sz w:val="24"/>
                <w:szCs w:val="24"/>
                <w:lang w:bidi="ar"/>
              </w:rPr>
              <w:t></w:t>
            </w:r>
            <w:r>
              <w:rPr>
                <w:rFonts w:hint="eastAsia" w:ascii="宋体" w:cs="宋体"/>
                <w:color w:val="000000"/>
                <w:kern w:val="0"/>
                <w:sz w:val="24"/>
                <w:szCs w:val="24"/>
                <w:lang w:bidi="ar"/>
              </w:rPr>
              <w:t>据实据效</w:t>
            </w:r>
          </w:p>
        </w:tc>
        <w:tc>
          <w:tcPr>
            <w:tcW w:w="1841" w:type="dxa"/>
            <w:tcBorders>
              <w:top w:val="single" w:color="000000" w:sz="4" w:space="0"/>
              <w:left w:val="single" w:color="000000" w:sz="4" w:space="0"/>
              <w:bottom w:val="single" w:color="000000" w:sz="4" w:space="0"/>
              <w:right w:val="single" w:color="000000" w:sz="4" w:space="0"/>
            </w:tcBorders>
            <w:noWrap w:val="0"/>
            <w:vAlign w:val="center"/>
          </w:tcPr>
          <w:p w14:paraId="6B899324">
            <w:pPr>
              <w:keepNext w:val="0"/>
              <w:keepLines w:val="0"/>
              <w:widowControl/>
              <w:suppressLineNumbers w:val="0"/>
              <w:spacing w:before="0" w:beforeAutospacing="0" w:after="0" w:afterAutospacing="0" w:line="320" w:lineRule="exact"/>
              <w:ind w:left="0" w:right="0"/>
              <w:jc w:val="center"/>
              <w:textAlignment w:val="center"/>
              <w:rPr>
                <w:rFonts w:hint="default" w:ascii="Wingdings 2" w:hAnsi="Wingdings 2" w:eastAsia="Wingdings 2" w:cs="Wingdings 2"/>
                <w:color w:val="000000"/>
                <w:sz w:val="24"/>
                <w:szCs w:val="24"/>
              </w:rPr>
            </w:pPr>
            <w:r>
              <w:rPr>
                <w:rFonts w:hint="default" w:ascii="Wingdings 2" w:hAnsi="Wingdings 2" w:eastAsia="Wingdings 2" w:cs="Wingdings 2"/>
                <w:color w:val="000000"/>
                <w:kern w:val="0"/>
                <w:sz w:val="24"/>
                <w:szCs w:val="24"/>
                <w:lang w:bidi="ar"/>
              </w:rPr>
              <w:t></w:t>
            </w:r>
            <w:r>
              <w:rPr>
                <w:rFonts w:hint="eastAsia" w:ascii="宋体" w:cs="宋体"/>
                <w:color w:val="000000"/>
                <w:kern w:val="0"/>
                <w:sz w:val="24"/>
                <w:szCs w:val="24"/>
                <w:lang w:bidi="ar"/>
              </w:rPr>
              <w:t>因素法与项目法相结合</w:t>
            </w:r>
          </w:p>
        </w:tc>
      </w:tr>
      <w:tr w14:paraId="52A36AE6">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noWrap w:val="0"/>
            <w:vAlign w:val="center"/>
          </w:tcPr>
          <w:p w14:paraId="5B80F205">
            <w:pPr>
              <w:keepNext w:val="0"/>
              <w:keepLines w:val="0"/>
              <w:suppressLineNumbers w:val="0"/>
              <w:spacing w:before="0" w:beforeAutospacing="0" w:after="0" w:afterAutospacing="0" w:line="320" w:lineRule="exact"/>
              <w:ind w:left="0" w:right="0"/>
              <w:rPr>
                <w:rFonts w:hint="default"/>
              </w:rPr>
            </w:pPr>
          </w:p>
        </w:tc>
        <w:tc>
          <w:tcPr>
            <w:tcW w:w="3643" w:type="dxa"/>
            <w:gridSpan w:val="3"/>
            <w:tcBorders>
              <w:top w:val="single" w:color="000000" w:sz="4" w:space="0"/>
              <w:left w:val="single" w:color="000000" w:sz="4" w:space="0"/>
              <w:bottom w:val="single" w:color="000000" w:sz="4" w:space="0"/>
              <w:right w:val="single" w:color="000000" w:sz="4" w:space="0"/>
            </w:tcBorders>
            <w:noWrap w:val="0"/>
            <w:vAlign w:val="center"/>
          </w:tcPr>
          <w:p w14:paraId="5F782A4E">
            <w:pPr>
              <w:keepNext w:val="0"/>
              <w:keepLines w:val="0"/>
              <w:widowControl/>
              <w:suppressLineNumbers w:val="0"/>
              <w:spacing w:before="0" w:beforeAutospacing="0" w:after="0" w:afterAutospacing="0" w:line="320" w:lineRule="exact"/>
              <w:ind w:left="0" w:right="0"/>
              <w:jc w:val="left"/>
              <w:textAlignment w:val="center"/>
              <w:rPr>
                <w:rFonts w:hint="eastAsia" w:ascii="宋体" w:cs="宋体"/>
                <w:color w:val="000000"/>
                <w:sz w:val="24"/>
                <w:szCs w:val="24"/>
              </w:rPr>
            </w:pPr>
            <w:r>
              <w:rPr>
                <w:rFonts w:hint="eastAsia" w:ascii="宋体" w:cs="宋体"/>
                <w:color w:val="000000"/>
                <w:kern w:val="0"/>
                <w:sz w:val="24"/>
                <w:szCs w:val="24"/>
                <w:lang w:bidi="ar"/>
              </w:rPr>
              <w:t>立项依据</w:t>
            </w:r>
          </w:p>
        </w:tc>
        <w:tc>
          <w:tcPr>
            <w:tcW w:w="5938" w:type="dxa"/>
            <w:gridSpan w:val="5"/>
            <w:tcBorders>
              <w:top w:val="single" w:color="000000" w:sz="4" w:space="0"/>
              <w:left w:val="single" w:color="000000" w:sz="4" w:space="0"/>
              <w:bottom w:val="single" w:color="000000" w:sz="4" w:space="0"/>
              <w:right w:val="single" w:color="000000" w:sz="4" w:space="0"/>
            </w:tcBorders>
            <w:noWrap w:val="0"/>
            <w:vAlign w:val="center"/>
          </w:tcPr>
          <w:p w14:paraId="346440FC">
            <w:pPr>
              <w:keepNext w:val="0"/>
              <w:keepLines w:val="0"/>
              <w:suppressLineNumbers w:val="0"/>
              <w:spacing w:before="0" w:beforeAutospacing="0" w:after="0" w:afterAutospacing="0" w:line="320" w:lineRule="exact"/>
              <w:ind w:left="0" w:right="0"/>
              <w:jc w:val="left"/>
              <w:rPr>
                <w:rFonts w:hint="eastAsia" w:ascii="宋体" w:cs="宋体"/>
                <w:color w:val="000000"/>
                <w:sz w:val="24"/>
                <w:szCs w:val="24"/>
              </w:rPr>
            </w:pPr>
            <w:r>
              <w:rPr>
                <w:rFonts w:hint="eastAsia" w:ascii="宋体" w:cs="宋体"/>
                <w:color w:val="000000"/>
                <w:sz w:val="24"/>
                <w:szCs w:val="24"/>
              </w:rPr>
              <w:t>《关于下达2023年省预算内基本建设投资计划的通知》（川发改投资〔2023〕176号）《关于下达2023年促投资稳增长前期工作激励省预算内基本建设投资计划的通知》（川发改投资〔2023〕345号）</w:t>
            </w:r>
          </w:p>
        </w:tc>
      </w:tr>
      <w:tr w14:paraId="19ECCFB3">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noWrap w:val="0"/>
            <w:vAlign w:val="center"/>
          </w:tcPr>
          <w:p w14:paraId="5206EA0D">
            <w:pPr>
              <w:keepNext w:val="0"/>
              <w:keepLines w:val="0"/>
              <w:suppressLineNumbers w:val="0"/>
              <w:spacing w:before="0" w:beforeAutospacing="0" w:after="0" w:afterAutospacing="0" w:line="320" w:lineRule="exact"/>
              <w:ind w:left="0" w:right="0"/>
              <w:rPr>
                <w:rFonts w:hint="default"/>
              </w:rPr>
            </w:pPr>
          </w:p>
        </w:tc>
        <w:tc>
          <w:tcPr>
            <w:tcW w:w="3643" w:type="dxa"/>
            <w:gridSpan w:val="3"/>
            <w:tcBorders>
              <w:top w:val="single" w:color="000000" w:sz="4" w:space="0"/>
              <w:left w:val="single" w:color="000000" w:sz="4" w:space="0"/>
              <w:bottom w:val="single" w:color="000000" w:sz="4" w:space="0"/>
              <w:right w:val="single" w:color="000000" w:sz="4" w:space="0"/>
            </w:tcBorders>
            <w:noWrap w:val="0"/>
            <w:vAlign w:val="center"/>
          </w:tcPr>
          <w:p w14:paraId="273D54D0">
            <w:pPr>
              <w:keepNext w:val="0"/>
              <w:keepLines w:val="0"/>
              <w:widowControl/>
              <w:suppressLineNumbers w:val="0"/>
              <w:spacing w:before="0" w:beforeAutospacing="0" w:after="0" w:afterAutospacing="0" w:line="320" w:lineRule="exact"/>
              <w:ind w:left="0" w:right="0"/>
              <w:jc w:val="left"/>
              <w:textAlignment w:val="center"/>
              <w:rPr>
                <w:rFonts w:hint="eastAsia" w:ascii="宋体" w:cs="宋体"/>
                <w:color w:val="000000"/>
                <w:sz w:val="24"/>
                <w:szCs w:val="24"/>
              </w:rPr>
            </w:pPr>
            <w:r>
              <w:rPr>
                <w:rFonts w:hint="eastAsia" w:ascii="宋体" w:cs="宋体"/>
                <w:color w:val="000000"/>
                <w:kern w:val="0"/>
                <w:sz w:val="24"/>
                <w:szCs w:val="24"/>
                <w:lang w:bidi="ar"/>
              </w:rPr>
              <w:t>使用范围</w:t>
            </w:r>
          </w:p>
        </w:tc>
        <w:tc>
          <w:tcPr>
            <w:tcW w:w="5938" w:type="dxa"/>
            <w:gridSpan w:val="5"/>
            <w:tcBorders>
              <w:top w:val="single" w:color="000000" w:sz="4" w:space="0"/>
              <w:left w:val="single" w:color="000000" w:sz="4" w:space="0"/>
              <w:bottom w:val="single" w:color="000000" w:sz="4" w:space="0"/>
              <w:right w:val="single" w:color="000000" w:sz="4" w:space="0"/>
            </w:tcBorders>
            <w:noWrap w:val="0"/>
            <w:vAlign w:val="center"/>
          </w:tcPr>
          <w:p w14:paraId="4A00C947">
            <w:pPr>
              <w:keepNext w:val="0"/>
              <w:keepLines w:val="0"/>
              <w:suppressLineNumbers w:val="0"/>
              <w:spacing w:before="0" w:beforeAutospacing="0" w:after="0" w:afterAutospacing="0" w:line="320" w:lineRule="exact"/>
              <w:ind w:left="0" w:right="0"/>
              <w:jc w:val="left"/>
              <w:rPr>
                <w:rFonts w:hint="eastAsia" w:ascii="宋体" w:cs="宋体"/>
                <w:color w:val="000000"/>
                <w:sz w:val="24"/>
                <w:szCs w:val="24"/>
              </w:rPr>
            </w:pPr>
            <w:r>
              <w:rPr>
                <w:rFonts w:hint="eastAsia" w:ascii="宋体" w:cs="宋体"/>
                <w:color w:val="000000"/>
                <w:sz w:val="24"/>
                <w:szCs w:val="24"/>
              </w:rPr>
              <w:t>项目前期工作</w:t>
            </w:r>
          </w:p>
        </w:tc>
      </w:tr>
      <w:tr w14:paraId="25A6E521">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noWrap w:val="0"/>
            <w:vAlign w:val="center"/>
          </w:tcPr>
          <w:p w14:paraId="41D86064">
            <w:pPr>
              <w:keepNext w:val="0"/>
              <w:keepLines w:val="0"/>
              <w:suppressLineNumbers w:val="0"/>
              <w:spacing w:before="0" w:beforeAutospacing="0" w:after="0" w:afterAutospacing="0" w:line="320" w:lineRule="exact"/>
              <w:ind w:left="0" w:right="0"/>
              <w:rPr>
                <w:rFonts w:hint="default"/>
              </w:rPr>
            </w:pPr>
          </w:p>
        </w:tc>
        <w:tc>
          <w:tcPr>
            <w:tcW w:w="3643" w:type="dxa"/>
            <w:gridSpan w:val="3"/>
            <w:tcBorders>
              <w:top w:val="single" w:color="000000" w:sz="4" w:space="0"/>
              <w:left w:val="single" w:color="000000" w:sz="4" w:space="0"/>
              <w:bottom w:val="single" w:color="000000" w:sz="4" w:space="0"/>
              <w:right w:val="single" w:color="000000" w:sz="4" w:space="0"/>
            </w:tcBorders>
            <w:noWrap w:val="0"/>
            <w:vAlign w:val="center"/>
          </w:tcPr>
          <w:p w14:paraId="0FD58E8B">
            <w:pPr>
              <w:keepNext w:val="0"/>
              <w:keepLines w:val="0"/>
              <w:widowControl/>
              <w:suppressLineNumbers w:val="0"/>
              <w:spacing w:before="0" w:beforeAutospacing="0" w:after="0" w:afterAutospacing="0" w:line="320" w:lineRule="exact"/>
              <w:ind w:left="0" w:right="0"/>
              <w:jc w:val="left"/>
              <w:textAlignment w:val="center"/>
              <w:rPr>
                <w:rFonts w:hint="eastAsia" w:ascii="宋体" w:cs="宋体"/>
                <w:color w:val="000000"/>
                <w:sz w:val="24"/>
                <w:szCs w:val="24"/>
              </w:rPr>
            </w:pPr>
            <w:r>
              <w:rPr>
                <w:rFonts w:hint="eastAsia" w:ascii="宋体" w:cs="宋体"/>
                <w:color w:val="000000"/>
                <w:kern w:val="0"/>
                <w:sz w:val="24"/>
                <w:szCs w:val="24"/>
                <w:lang w:bidi="ar"/>
              </w:rPr>
              <w:t>申报（补助）条件</w:t>
            </w:r>
          </w:p>
        </w:tc>
        <w:tc>
          <w:tcPr>
            <w:tcW w:w="5938" w:type="dxa"/>
            <w:gridSpan w:val="5"/>
            <w:tcBorders>
              <w:top w:val="single" w:color="000000" w:sz="4" w:space="0"/>
              <w:left w:val="single" w:color="000000" w:sz="4" w:space="0"/>
              <w:bottom w:val="single" w:color="000000" w:sz="4" w:space="0"/>
              <w:right w:val="single" w:color="000000" w:sz="4" w:space="0"/>
            </w:tcBorders>
            <w:noWrap w:val="0"/>
            <w:vAlign w:val="center"/>
          </w:tcPr>
          <w:p w14:paraId="25EF71F2">
            <w:pPr>
              <w:keepNext w:val="0"/>
              <w:keepLines w:val="0"/>
              <w:suppressLineNumbers w:val="0"/>
              <w:spacing w:before="0" w:beforeAutospacing="0" w:after="0" w:afterAutospacing="0" w:line="320" w:lineRule="exact"/>
              <w:ind w:left="0" w:right="0"/>
              <w:jc w:val="left"/>
              <w:rPr>
                <w:rFonts w:hint="eastAsia" w:ascii="宋体" w:cs="宋体"/>
                <w:color w:val="000000"/>
                <w:sz w:val="24"/>
                <w:szCs w:val="24"/>
              </w:rPr>
            </w:pPr>
            <w:r>
              <w:rPr>
                <w:rFonts w:hint="eastAsia" w:ascii="宋体" w:cs="宋体"/>
                <w:color w:val="000000"/>
                <w:sz w:val="24"/>
                <w:szCs w:val="24"/>
              </w:rPr>
              <w:t>省直接下达</w:t>
            </w:r>
          </w:p>
        </w:tc>
      </w:tr>
      <w:tr w14:paraId="5B4EB5AF">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noWrap w:val="0"/>
            <w:vAlign w:val="center"/>
          </w:tcPr>
          <w:p w14:paraId="0B92D9B9">
            <w:pPr>
              <w:keepNext w:val="0"/>
              <w:keepLines w:val="0"/>
              <w:suppressLineNumbers w:val="0"/>
              <w:spacing w:before="0" w:beforeAutospacing="0" w:after="0" w:afterAutospacing="0" w:line="320" w:lineRule="exact"/>
              <w:ind w:left="0" w:right="0"/>
              <w:rPr>
                <w:rFonts w:hint="default"/>
              </w:rPr>
            </w:pPr>
          </w:p>
        </w:tc>
        <w:tc>
          <w:tcPr>
            <w:tcW w:w="3643" w:type="dxa"/>
            <w:gridSpan w:val="3"/>
            <w:tcBorders>
              <w:top w:val="single" w:color="000000" w:sz="4" w:space="0"/>
              <w:left w:val="single" w:color="000000" w:sz="4" w:space="0"/>
              <w:bottom w:val="single" w:color="000000" w:sz="4" w:space="0"/>
              <w:right w:val="single" w:color="000000" w:sz="4" w:space="0"/>
            </w:tcBorders>
            <w:noWrap w:val="0"/>
            <w:vAlign w:val="center"/>
          </w:tcPr>
          <w:p w14:paraId="0FDFBA5B">
            <w:pPr>
              <w:keepNext w:val="0"/>
              <w:keepLines w:val="0"/>
              <w:widowControl/>
              <w:suppressLineNumbers w:val="0"/>
              <w:spacing w:before="0" w:beforeAutospacing="0" w:after="0" w:afterAutospacing="0" w:line="320" w:lineRule="exact"/>
              <w:ind w:left="0" w:right="0"/>
              <w:jc w:val="left"/>
              <w:textAlignment w:val="center"/>
              <w:rPr>
                <w:rFonts w:hint="eastAsia" w:ascii="宋体" w:cs="宋体"/>
                <w:color w:val="000000"/>
                <w:sz w:val="24"/>
                <w:szCs w:val="24"/>
              </w:rPr>
            </w:pPr>
            <w:r>
              <w:rPr>
                <w:rFonts w:hint="eastAsia" w:ascii="宋体" w:cs="宋体"/>
                <w:color w:val="000000"/>
                <w:kern w:val="0"/>
                <w:sz w:val="24"/>
                <w:szCs w:val="24"/>
                <w:lang w:bidi="ar"/>
              </w:rPr>
              <w:t>项目起止年限</w:t>
            </w:r>
          </w:p>
        </w:tc>
        <w:tc>
          <w:tcPr>
            <w:tcW w:w="5938" w:type="dxa"/>
            <w:gridSpan w:val="5"/>
            <w:tcBorders>
              <w:top w:val="single" w:color="000000" w:sz="4" w:space="0"/>
              <w:left w:val="single" w:color="000000" w:sz="4" w:space="0"/>
              <w:bottom w:val="single" w:color="000000" w:sz="4" w:space="0"/>
              <w:right w:val="single" w:color="000000" w:sz="4" w:space="0"/>
            </w:tcBorders>
            <w:noWrap w:val="0"/>
            <w:vAlign w:val="center"/>
          </w:tcPr>
          <w:p w14:paraId="29EB19E1">
            <w:pPr>
              <w:keepNext w:val="0"/>
              <w:keepLines w:val="0"/>
              <w:suppressLineNumbers w:val="0"/>
              <w:spacing w:before="0" w:beforeAutospacing="0" w:after="0" w:afterAutospacing="0" w:line="320" w:lineRule="exact"/>
              <w:ind w:left="0" w:right="0"/>
              <w:rPr>
                <w:rFonts w:hint="eastAsia" w:ascii="宋体" w:cs="宋体"/>
                <w:color w:val="000000"/>
                <w:sz w:val="24"/>
                <w:szCs w:val="24"/>
              </w:rPr>
            </w:pPr>
            <w:r>
              <w:rPr>
                <w:rFonts w:hint="eastAsia" w:ascii="宋体" w:cs="宋体"/>
                <w:color w:val="000000"/>
                <w:sz w:val="24"/>
                <w:szCs w:val="24"/>
              </w:rPr>
              <w:t>2023年—2023年</w:t>
            </w:r>
          </w:p>
        </w:tc>
      </w:tr>
      <w:tr w14:paraId="313451C3">
        <w:tblPrEx>
          <w:tblCellMar>
            <w:top w:w="15" w:type="dxa"/>
            <w:left w:w="15" w:type="dxa"/>
            <w:bottom w:w="15" w:type="dxa"/>
            <w:right w:w="15" w:type="dxa"/>
          </w:tblCellMar>
        </w:tblPrEx>
        <w:trPr>
          <w:trHeight w:val="23" w:hRule="atLeast"/>
          <w:jc w:val="center"/>
        </w:trPr>
        <w:tc>
          <w:tcPr>
            <w:tcW w:w="1733" w:type="dxa"/>
            <w:gridSpan w:val="2"/>
            <w:vMerge w:val="restart"/>
            <w:tcBorders>
              <w:top w:val="single" w:color="000000" w:sz="4" w:space="0"/>
              <w:left w:val="single" w:color="000000" w:sz="4" w:space="0"/>
              <w:bottom w:val="single" w:color="000000" w:sz="4" w:space="0"/>
              <w:right w:val="single" w:color="000000" w:sz="4" w:space="0"/>
            </w:tcBorders>
            <w:noWrap w:val="0"/>
            <w:vAlign w:val="center"/>
          </w:tcPr>
          <w:p w14:paraId="2A144443">
            <w:pPr>
              <w:keepNext w:val="0"/>
              <w:keepLines w:val="0"/>
              <w:widowControl/>
              <w:suppressLineNumbers w:val="0"/>
              <w:spacing w:before="0" w:beforeAutospacing="0" w:after="0" w:afterAutospacing="0" w:line="320" w:lineRule="exact"/>
              <w:ind w:left="0" w:right="0"/>
              <w:jc w:val="center"/>
              <w:textAlignment w:val="center"/>
              <w:rPr>
                <w:rFonts w:hint="eastAsia" w:ascii="宋体" w:cs="宋体"/>
                <w:color w:val="000000"/>
                <w:kern w:val="0"/>
                <w:sz w:val="24"/>
                <w:szCs w:val="24"/>
                <w:lang w:bidi="ar"/>
              </w:rPr>
            </w:pPr>
            <w:r>
              <w:rPr>
                <w:rFonts w:hint="eastAsia" w:ascii="宋体" w:cs="宋体"/>
                <w:color w:val="000000"/>
                <w:kern w:val="0"/>
                <w:sz w:val="24"/>
                <w:szCs w:val="24"/>
                <w:lang w:bidi="ar"/>
              </w:rPr>
              <w:t>项目资金</w:t>
            </w:r>
          </w:p>
          <w:p w14:paraId="6E847A8E">
            <w:pPr>
              <w:keepNext w:val="0"/>
              <w:keepLines w:val="0"/>
              <w:widowControl/>
              <w:suppressLineNumbers w:val="0"/>
              <w:spacing w:before="0" w:beforeAutospacing="0" w:after="0" w:afterAutospacing="0" w:line="320" w:lineRule="exact"/>
              <w:ind w:left="0" w:right="0"/>
              <w:jc w:val="center"/>
              <w:textAlignment w:val="center"/>
              <w:rPr>
                <w:rFonts w:hint="eastAsia" w:ascii="宋体" w:cs="宋体"/>
                <w:color w:val="000000"/>
                <w:sz w:val="24"/>
                <w:szCs w:val="24"/>
              </w:rPr>
            </w:pPr>
            <w:r>
              <w:rPr>
                <w:rFonts w:hint="eastAsia" w:ascii="宋体" w:cs="宋体"/>
                <w:color w:val="000000"/>
                <w:kern w:val="0"/>
                <w:sz w:val="24"/>
                <w:szCs w:val="24"/>
                <w:lang w:bidi="ar"/>
              </w:rPr>
              <w:t>（万元）</w:t>
            </w:r>
          </w:p>
        </w:tc>
        <w:tc>
          <w:tcPr>
            <w:tcW w:w="2562" w:type="dxa"/>
            <w:gridSpan w:val="2"/>
            <w:tcBorders>
              <w:top w:val="single" w:color="000000" w:sz="4" w:space="0"/>
              <w:left w:val="single" w:color="000000" w:sz="4" w:space="0"/>
              <w:bottom w:val="single" w:color="000000" w:sz="4" w:space="0"/>
              <w:right w:val="single" w:color="000000" w:sz="4" w:space="0"/>
            </w:tcBorders>
            <w:noWrap w:val="0"/>
            <w:vAlign w:val="center"/>
          </w:tcPr>
          <w:p w14:paraId="24B68710">
            <w:pPr>
              <w:keepNext w:val="0"/>
              <w:keepLines w:val="0"/>
              <w:widowControl/>
              <w:suppressLineNumbers w:val="0"/>
              <w:spacing w:before="0" w:beforeAutospacing="0" w:after="0" w:afterAutospacing="0" w:line="320" w:lineRule="exact"/>
              <w:ind w:left="0" w:right="0"/>
              <w:jc w:val="left"/>
              <w:textAlignment w:val="center"/>
              <w:rPr>
                <w:rFonts w:hint="eastAsia" w:ascii="宋体" w:cs="宋体"/>
                <w:color w:val="000000"/>
                <w:sz w:val="24"/>
                <w:szCs w:val="24"/>
              </w:rPr>
            </w:pPr>
            <w:r>
              <w:rPr>
                <w:rFonts w:hint="eastAsia" w:ascii="宋体" w:cs="宋体"/>
                <w:color w:val="000000"/>
                <w:kern w:val="0"/>
                <w:sz w:val="24"/>
                <w:szCs w:val="24"/>
                <w:lang w:bidi="ar"/>
              </w:rPr>
              <w:t xml:space="preserve">  年度资金总额：</w:t>
            </w:r>
          </w:p>
        </w:tc>
        <w:tc>
          <w:tcPr>
            <w:tcW w:w="5938" w:type="dxa"/>
            <w:gridSpan w:val="5"/>
            <w:tcBorders>
              <w:top w:val="single" w:color="000000" w:sz="4" w:space="0"/>
              <w:left w:val="single" w:color="000000" w:sz="4" w:space="0"/>
              <w:bottom w:val="single" w:color="000000" w:sz="4" w:space="0"/>
              <w:right w:val="single" w:color="000000" w:sz="4" w:space="0"/>
            </w:tcBorders>
            <w:noWrap w:val="0"/>
            <w:vAlign w:val="center"/>
          </w:tcPr>
          <w:p w14:paraId="36C0A5ED">
            <w:pPr>
              <w:keepNext w:val="0"/>
              <w:keepLines w:val="0"/>
              <w:suppressLineNumbers w:val="0"/>
              <w:spacing w:before="0" w:beforeAutospacing="0" w:after="0" w:afterAutospacing="0" w:line="320" w:lineRule="exact"/>
              <w:ind w:left="0" w:right="0"/>
              <w:jc w:val="left"/>
              <w:rPr>
                <w:rFonts w:hint="eastAsia" w:ascii="宋体" w:cs="宋体"/>
                <w:color w:val="000000"/>
                <w:sz w:val="24"/>
                <w:szCs w:val="24"/>
              </w:rPr>
            </w:pPr>
            <w:r>
              <w:rPr>
                <w:rFonts w:hint="eastAsia" w:ascii="宋体" w:cs="宋体"/>
                <w:color w:val="000000"/>
                <w:sz w:val="24"/>
                <w:szCs w:val="24"/>
              </w:rPr>
              <w:t>3300</w:t>
            </w:r>
          </w:p>
        </w:tc>
      </w:tr>
      <w:tr w14:paraId="5608A2DC">
        <w:tblPrEx>
          <w:tblCellMar>
            <w:top w:w="15" w:type="dxa"/>
            <w:left w:w="15" w:type="dxa"/>
            <w:bottom w:w="15" w:type="dxa"/>
            <w:right w:w="15" w:type="dxa"/>
          </w:tblCellMar>
        </w:tblPrEx>
        <w:trPr>
          <w:trHeight w:val="23" w:hRule="atLeast"/>
          <w:jc w:val="center"/>
        </w:trPr>
        <w:tc>
          <w:tcPr>
            <w:tcW w:w="1733" w:type="dxa"/>
            <w:gridSpan w:val="2"/>
            <w:vMerge w:val="continue"/>
            <w:tcBorders>
              <w:top w:val="single" w:color="000000" w:sz="4" w:space="0"/>
              <w:left w:val="single" w:color="000000" w:sz="4" w:space="0"/>
              <w:bottom w:val="single" w:color="000000" w:sz="4" w:space="0"/>
              <w:right w:val="single" w:color="000000" w:sz="4" w:space="0"/>
            </w:tcBorders>
            <w:noWrap w:val="0"/>
            <w:vAlign w:val="center"/>
          </w:tcPr>
          <w:p w14:paraId="6B9F9F2B">
            <w:pPr>
              <w:keepNext w:val="0"/>
              <w:keepLines w:val="0"/>
              <w:suppressLineNumbers w:val="0"/>
              <w:spacing w:before="0" w:beforeAutospacing="0" w:after="0" w:afterAutospacing="0" w:line="320" w:lineRule="exact"/>
              <w:ind w:left="0" w:right="0"/>
              <w:rPr>
                <w:rFonts w:hint="default"/>
              </w:rPr>
            </w:pPr>
          </w:p>
        </w:tc>
        <w:tc>
          <w:tcPr>
            <w:tcW w:w="2562" w:type="dxa"/>
            <w:gridSpan w:val="2"/>
            <w:tcBorders>
              <w:top w:val="single" w:color="000000" w:sz="4" w:space="0"/>
              <w:left w:val="single" w:color="000000" w:sz="4" w:space="0"/>
              <w:bottom w:val="single" w:color="000000" w:sz="4" w:space="0"/>
              <w:right w:val="single" w:color="000000" w:sz="4" w:space="0"/>
            </w:tcBorders>
            <w:noWrap w:val="0"/>
            <w:vAlign w:val="center"/>
          </w:tcPr>
          <w:p w14:paraId="5E8E7493">
            <w:pPr>
              <w:keepNext w:val="0"/>
              <w:keepLines w:val="0"/>
              <w:widowControl/>
              <w:suppressLineNumbers w:val="0"/>
              <w:spacing w:before="0" w:beforeAutospacing="0" w:after="0" w:afterAutospacing="0" w:line="320" w:lineRule="exact"/>
              <w:ind w:left="0" w:right="0"/>
              <w:jc w:val="left"/>
              <w:textAlignment w:val="center"/>
              <w:rPr>
                <w:rFonts w:hint="eastAsia" w:ascii="宋体" w:cs="宋体"/>
                <w:color w:val="000000"/>
                <w:sz w:val="24"/>
                <w:szCs w:val="24"/>
              </w:rPr>
            </w:pPr>
            <w:r>
              <w:rPr>
                <w:rFonts w:hint="eastAsia" w:ascii="宋体" w:cs="宋体"/>
                <w:color w:val="000000"/>
                <w:kern w:val="0"/>
                <w:sz w:val="24"/>
                <w:szCs w:val="24"/>
                <w:lang w:bidi="ar"/>
              </w:rPr>
              <w:t xml:space="preserve">      其中：财政拨款</w:t>
            </w:r>
          </w:p>
        </w:tc>
        <w:tc>
          <w:tcPr>
            <w:tcW w:w="5938" w:type="dxa"/>
            <w:gridSpan w:val="5"/>
            <w:tcBorders>
              <w:top w:val="single" w:color="000000" w:sz="4" w:space="0"/>
              <w:left w:val="single" w:color="000000" w:sz="4" w:space="0"/>
              <w:bottom w:val="single" w:color="000000" w:sz="4" w:space="0"/>
              <w:right w:val="single" w:color="000000" w:sz="4" w:space="0"/>
            </w:tcBorders>
            <w:noWrap w:val="0"/>
            <w:vAlign w:val="center"/>
          </w:tcPr>
          <w:p w14:paraId="221005AC">
            <w:pPr>
              <w:keepNext w:val="0"/>
              <w:keepLines w:val="0"/>
              <w:suppressLineNumbers w:val="0"/>
              <w:spacing w:before="0" w:beforeAutospacing="0" w:after="0" w:afterAutospacing="0" w:line="320" w:lineRule="exact"/>
              <w:ind w:left="0" w:right="0"/>
              <w:jc w:val="left"/>
              <w:rPr>
                <w:rFonts w:hint="eastAsia" w:ascii="宋体" w:cs="宋体"/>
                <w:color w:val="000000"/>
                <w:sz w:val="24"/>
                <w:szCs w:val="24"/>
              </w:rPr>
            </w:pPr>
            <w:r>
              <w:rPr>
                <w:rFonts w:hint="eastAsia" w:ascii="宋体" w:cs="宋体"/>
                <w:color w:val="000000"/>
                <w:sz w:val="24"/>
                <w:szCs w:val="24"/>
              </w:rPr>
              <w:t>3300</w:t>
            </w:r>
          </w:p>
        </w:tc>
      </w:tr>
      <w:tr w14:paraId="47716B90">
        <w:tblPrEx>
          <w:tblCellMar>
            <w:top w:w="15" w:type="dxa"/>
            <w:left w:w="15" w:type="dxa"/>
            <w:bottom w:w="15" w:type="dxa"/>
            <w:right w:w="15" w:type="dxa"/>
          </w:tblCellMar>
        </w:tblPrEx>
        <w:trPr>
          <w:trHeight w:val="23" w:hRule="atLeast"/>
          <w:jc w:val="center"/>
        </w:trPr>
        <w:tc>
          <w:tcPr>
            <w:tcW w:w="1733" w:type="dxa"/>
            <w:gridSpan w:val="2"/>
            <w:vMerge w:val="continue"/>
            <w:tcBorders>
              <w:top w:val="single" w:color="000000" w:sz="4" w:space="0"/>
              <w:left w:val="single" w:color="000000" w:sz="4" w:space="0"/>
              <w:bottom w:val="single" w:color="000000" w:sz="4" w:space="0"/>
              <w:right w:val="single" w:color="000000" w:sz="4" w:space="0"/>
            </w:tcBorders>
            <w:noWrap w:val="0"/>
            <w:vAlign w:val="center"/>
          </w:tcPr>
          <w:p w14:paraId="18205AF8">
            <w:pPr>
              <w:keepNext w:val="0"/>
              <w:keepLines w:val="0"/>
              <w:suppressLineNumbers w:val="0"/>
              <w:spacing w:before="0" w:beforeAutospacing="0" w:after="0" w:afterAutospacing="0" w:line="320" w:lineRule="exact"/>
              <w:ind w:left="0" w:right="0"/>
              <w:rPr>
                <w:rFonts w:hint="default"/>
              </w:rPr>
            </w:pPr>
          </w:p>
        </w:tc>
        <w:tc>
          <w:tcPr>
            <w:tcW w:w="2562" w:type="dxa"/>
            <w:gridSpan w:val="2"/>
            <w:tcBorders>
              <w:top w:val="single" w:color="000000" w:sz="4" w:space="0"/>
              <w:left w:val="single" w:color="000000" w:sz="4" w:space="0"/>
              <w:bottom w:val="single" w:color="000000" w:sz="4" w:space="0"/>
              <w:right w:val="single" w:color="000000" w:sz="4" w:space="0"/>
            </w:tcBorders>
            <w:noWrap w:val="0"/>
            <w:vAlign w:val="center"/>
          </w:tcPr>
          <w:p w14:paraId="0D86EA9D">
            <w:pPr>
              <w:keepNext w:val="0"/>
              <w:keepLines w:val="0"/>
              <w:widowControl/>
              <w:suppressLineNumbers w:val="0"/>
              <w:spacing w:before="0" w:beforeAutospacing="0" w:after="0" w:afterAutospacing="0" w:line="320" w:lineRule="exact"/>
              <w:ind w:left="0" w:right="0"/>
              <w:jc w:val="left"/>
              <w:textAlignment w:val="center"/>
              <w:rPr>
                <w:rFonts w:hint="eastAsia" w:ascii="宋体" w:cs="宋体"/>
                <w:color w:val="000000"/>
                <w:sz w:val="24"/>
                <w:szCs w:val="24"/>
              </w:rPr>
            </w:pPr>
            <w:r>
              <w:rPr>
                <w:rFonts w:hint="eastAsia" w:ascii="宋体" w:cs="宋体"/>
                <w:color w:val="000000"/>
                <w:kern w:val="0"/>
                <w:sz w:val="24"/>
                <w:szCs w:val="24"/>
                <w:lang w:bidi="ar"/>
              </w:rPr>
              <w:t xml:space="preserve">            其他资金</w:t>
            </w:r>
          </w:p>
        </w:tc>
        <w:tc>
          <w:tcPr>
            <w:tcW w:w="5938" w:type="dxa"/>
            <w:gridSpan w:val="5"/>
            <w:tcBorders>
              <w:top w:val="single" w:color="000000" w:sz="4" w:space="0"/>
              <w:left w:val="single" w:color="000000" w:sz="4" w:space="0"/>
              <w:bottom w:val="single" w:color="000000" w:sz="4" w:space="0"/>
              <w:right w:val="single" w:color="000000" w:sz="4" w:space="0"/>
            </w:tcBorders>
            <w:noWrap w:val="0"/>
            <w:vAlign w:val="center"/>
          </w:tcPr>
          <w:p w14:paraId="659F9F27">
            <w:pPr>
              <w:keepNext w:val="0"/>
              <w:keepLines w:val="0"/>
              <w:suppressLineNumbers w:val="0"/>
              <w:spacing w:before="0" w:beforeAutospacing="0" w:after="0" w:afterAutospacing="0" w:line="320" w:lineRule="exact"/>
              <w:ind w:left="0" w:right="0"/>
              <w:jc w:val="left"/>
              <w:rPr>
                <w:rFonts w:hint="eastAsia" w:ascii="宋体" w:cs="宋体"/>
                <w:color w:val="000000"/>
                <w:sz w:val="24"/>
                <w:szCs w:val="24"/>
              </w:rPr>
            </w:pPr>
            <w:r>
              <w:rPr>
                <w:rFonts w:hint="eastAsia" w:ascii="宋体" w:cs="宋体"/>
                <w:color w:val="000000"/>
                <w:sz w:val="24"/>
                <w:szCs w:val="24"/>
              </w:rPr>
              <w:t>0</w:t>
            </w:r>
          </w:p>
        </w:tc>
      </w:tr>
      <w:tr w14:paraId="78245FDC">
        <w:tblPrEx>
          <w:tblCellMar>
            <w:top w:w="15" w:type="dxa"/>
            <w:left w:w="15" w:type="dxa"/>
            <w:bottom w:w="15" w:type="dxa"/>
            <w:right w:w="15" w:type="dxa"/>
          </w:tblCellMar>
        </w:tblPrEx>
        <w:trPr>
          <w:trHeight w:val="23" w:hRule="atLeast"/>
          <w:jc w:val="center"/>
        </w:trPr>
        <w:tc>
          <w:tcPr>
            <w:tcW w:w="652" w:type="dxa"/>
            <w:vMerge w:val="restart"/>
            <w:tcBorders>
              <w:top w:val="single" w:color="000000" w:sz="4" w:space="0"/>
              <w:left w:val="single" w:color="000000" w:sz="4" w:space="0"/>
              <w:bottom w:val="single" w:color="000000" w:sz="4" w:space="0"/>
              <w:right w:val="single" w:color="000000" w:sz="4" w:space="0"/>
            </w:tcBorders>
            <w:noWrap w:val="0"/>
            <w:vAlign w:val="center"/>
          </w:tcPr>
          <w:p w14:paraId="687EE75E">
            <w:pPr>
              <w:keepNext w:val="0"/>
              <w:keepLines w:val="0"/>
              <w:widowControl/>
              <w:suppressLineNumbers w:val="0"/>
              <w:spacing w:before="0" w:beforeAutospacing="0" w:after="0" w:afterAutospacing="0" w:line="320" w:lineRule="exact"/>
              <w:ind w:left="0" w:right="0"/>
              <w:jc w:val="center"/>
              <w:textAlignment w:val="center"/>
              <w:rPr>
                <w:rFonts w:hint="eastAsia" w:ascii="宋体" w:cs="宋体"/>
                <w:color w:val="000000"/>
                <w:sz w:val="24"/>
                <w:szCs w:val="24"/>
              </w:rPr>
            </w:pPr>
            <w:r>
              <w:rPr>
                <w:rFonts w:hint="eastAsia" w:ascii="宋体" w:cs="宋体"/>
                <w:color w:val="000000"/>
                <w:kern w:val="0"/>
                <w:sz w:val="24"/>
                <w:szCs w:val="24"/>
                <w:lang w:bidi="ar"/>
              </w:rPr>
              <w:t>总体 目标</w:t>
            </w:r>
          </w:p>
        </w:tc>
        <w:tc>
          <w:tcPr>
            <w:tcW w:w="9581" w:type="dxa"/>
            <w:gridSpan w:val="8"/>
            <w:tcBorders>
              <w:top w:val="single" w:color="000000" w:sz="4" w:space="0"/>
              <w:left w:val="single" w:color="000000" w:sz="4" w:space="0"/>
              <w:bottom w:val="single" w:color="000000" w:sz="4" w:space="0"/>
              <w:right w:val="single" w:color="000000" w:sz="4" w:space="0"/>
            </w:tcBorders>
            <w:noWrap w:val="0"/>
            <w:vAlign w:val="center"/>
          </w:tcPr>
          <w:p w14:paraId="15B0BCB0">
            <w:pPr>
              <w:keepNext w:val="0"/>
              <w:keepLines w:val="0"/>
              <w:widowControl/>
              <w:suppressLineNumbers w:val="0"/>
              <w:spacing w:before="0" w:beforeAutospacing="0" w:after="0" w:afterAutospacing="0" w:line="320" w:lineRule="exact"/>
              <w:ind w:left="0" w:right="0"/>
              <w:jc w:val="center"/>
              <w:textAlignment w:val="center"/>
              <w:rPr>
                <w:rFonts w:hint="eastAsia" w:ascii="宋体" w:cs="宋体"/>
                <w:color w:val="000000"/>
                <w:sz w:val="24"/>
                <w:szCs w:val="24"/>
              </w:rPr>
            </w:pPr>
            <w:r>
              <w:rPr>
                <w:rFonts w:hint="eastAsia" w:ascii="宋体" w:cs="宋体"/>
                <w:color w:val="000000"/>
                <w:kern w:val="0"/>
                <w:sz w:val="24"/>
                <w:szCs w:val="24"/>
                <w:lang w:bidi="ar"/>
              </w:rPr>
              <w:t>年度目标</w:t>
            </w:r>
          </w:p>
        </w:tc>
      </w:tr>
      <w:tr w14:paraId="689BF87A">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noWrap w:val="0"/>
            <w:vAlign w:val="center"/>
          </w:tcPr>
          <w:p w14:paraId="5F85AB24">
            <w:pPr>
              <w:keepNext w:val="0"/>
              <w:keepLines w:val="0"/>
              <w:suppressLineNumbers w:val="0"/>
              <w:spacing w:before="0" w:beforeAutospacing="0" w:after="0" w:afterAutospacing="0" w:line="320" w:lineRule="exact"/>
              <w:ind w:left="0" w:right="0"/>
              <w:rPr>
                <w:rFonts w:hint="default"/>
              </w:rPr>
            </w:pPr>
          </w:p>
        </w:tc>
        <w:tc>
          <w:tcPr>
            <w:tcW w:w="9581" w:type="dxa"/>
            <w:gridSpan w:val="8"/>
            <w:tcBorders>
              <w:top w:val="single" w:color="000000" w:sz="4" w:space="0"/>
              <w:left w:val="single" w:color="000000" w:sz="4" w:space="0"/>
              <w:bottom w:val="single" w:color="auto" w:sz="4" w:space="0"/>
              <w:right w:val="single" w:color="000000" w:sz="4" w:space="0"/>
            </w:tcBorders>
            <w:noWrap w:val="0"/>
            <w:vAlign w:val="center"/>
          </w:tcPr>
          <w:p w14:paraId="3AC6FD8C">
            <w:pPr>
              <w:keepNext w:val="0"/>
              <w:keepLines w:val="0"/>
              <w:suppressLineNumbers w:val="0"/>
              <w:spacing w:before="0" w:beforeAutospacing="0" w:after="0" w:afterAutospacing="0" w:line="320" w:lineRule="exact"/>
              <w:ind w:left="0" w:right="0"/>
              <w:rPr>
                <w:rFonts w:hint="eastAsia" w:ascii="宋体" w:cs="宋体"/>
                <w:color w:val="000000"/>
                <w:sz w:val="24"/>
                <w:szCs w:val="24"/>
              </w:rPr>
            </w:pPr>
            <w:r>
              <w:rPr>
                <w:rFonts w:hint="eastAsia" w:ascii="宋体" w:cs="宋体"/>
                <w:color w:val="000000"/>
                <w:sz w:val="24"/>
                <w:szCs w:val="24"/>
              </w:rPr>
              <w:t>激励各地加快项目建设进度，积极扩大有效投资。</w:t>
            </w:r>
          </w:p>
        </w:tc>
      </w:tr>
      <w:tr w14:paraId="0E93D856">
        <w:tblPrEx>
          <w:tblCellMar>
            <w:top w:w="15" w:type="dxa"/>
            <w:left w:w="15" w:type="dxa"/>
            <w:bottom w:w="15" w:type="dxa"/>
            <w:right w:w="15" w:type="dxa"/>
          </w:tblCellMar>
        </w:tblPrEx>
        <w:trPr>
          <w:trHeight w:val="23" w:hRule="atLeast"/>
          <w:jc w:val="center"/>
        </w:trPr>
        <w:tc>
          <w:tcPr>
            <w:tcW w:w="652" w:type="dxa"/>
            <w:vMerge w:val="restart"/>
            <w:tcBorders>
              <w:top w:val="single" w:color="000000" w:sz="4" w:space="0"/>
              <w:left w:val="single" w:color="000000" w:sz="4" w:space="0"/>
              <w:bottom w:val="single" w:color="000000" w:sz="4" w:space="0"/>
              <w:right w:val="single" w:color="auto" w:sz="4" w:space="0"/>
            </w:tcBorders>
            <w:noWrap w:val="0"/>
            <w:vAlign w:val="center"/>
          </w:tcPr>
          <w:p w14:paraId="0A1F1659">
            <w:pPr>
              <w:keepNext w:val="0"/>
              <w:keepLines w:val="0"/>
              <w:widowControl/>
              <w:suppressLineNumbers w:val="0"/>
              <w:spacing w:before="0" w:beforeAutospacing="0" w:after="0" w:afterAutospacing="0" w:line="320" w:lineRule="exact"/>
              <w:ind w:left="0" w:right="0"/>
              <w:jc w:val="center"/>
              <w:textAlignment w:val="center"/>
              <w:rPr>
                <w:rFonts w:hint="eastAsia" w:ascii="宋体" w:cs="宋体"/>
                <w:color w:val="000000"/>
                <w:sz w:val="24"/>
                <w:szCs w:val="24"/>
              </w:rPr>
            </w:pPr>
            <w:r>
              <w:rPr>
                <w:rFonts w:hint="eastAsia" w:ascii="宋体" w:cs="宋体"/>
                <w:color w:val="000000"/>
                <w:kern w:val="0"/>
                <w:sz w:val="24"/>
                <w:szCs w:val="24"/>
                <w:lang w:bidi="ar"/>
              </w:rPr>
              <w:t>绩效 指标</w:t>
            </w:r>
          </w:p>
        </w:tc>
        <w:tc>
          <w:tcPr>
            <w:tcW w:w="1081" w:type="dxa"/>
            <w:tcBorders>
              <w:top w:val="single" w:color="auto" w:sz="4" w:space="0"/>
              <w:left w:val="single" w:color="auto" w:sz="4" w:space="0"/>
              <w:bottom w:val="single" w:color="auto" w:sz="4" w:space="0"/>
              <w:right w:val="single" w:color="auto" w:sz="4" w:space="0"/>
            </w:tcBorders>
            <w:noWrap w:val="0"/>
            <w:vAlign w:val="center"/>
          </w:tcPr>
          <w:p w14:paraId="19927B36">
            <w:pPr>
              <w:keepNext w:val="0"/>
              <w:keepLines w:val="0"/>
              <w:widowControl/>
              <w:suppressLineNumbers w:val="0"/>
              <w:spacing w:before="0" w:beforeAutospacing="0" w:after="0" w:afterAutospacing="0" w:line="320" w:lineRule="exact"/>
              <w:ind w:left="0" w:right="0"/>
              <w:jc w:val="center"/>
              <w:textAlignment w:val="center"/>
              <w:rPr>
                <w:rFonts w:hint="eastAsia" w:ascii="宋体" w:cs="宋体"/>
                <w:color w:val="000000"/>
                <w:sz w:val="24"/>
                <w:szCs w:val="24"/>
              </w:rPr>
            </w:pPr>
            <w:r>
              <w:rPr>
                <w:rFonts w:hint="eastAsia" w:ascii="宋体" w:cs="宋体"/>
                <w:color w:val="000000"/>
                <w:kern w:val="0"/>
                <w:sz w:val="24"/>
                <w:szCs w:val="24"/>
                <w:lang w:bidi="ar"/>
              </w:rPr>
              <w:t>一级指标</w:t>
            </w:r>
          </w:p>
        </w:tc>
        <w:tc>
          <w:tcPr>
            <w:tcW w:w="1250" w:type="dxa"/>
            <w:tcBorders>
              <w:top w:val="single" w:color="auto" w:sz="4" w:space="0"/>
              <w:left w:val="single" w:color="auto" w:sz="4" w:space="0"/>
              <w:bottom w:val="single" w:color="auto" w:sz="4" w:space="0"/>
              <w:right w:val="single" w:color="auto" w:sz="4" w:space="0"/>
            </w:tcBorders>
            <w:noWrap w:val="0"/>
            <w:vAlign w:val="center"/>
          </w:tcPr>
          <w:p w14:paraId="5881135F">
            <w:pPr>
              <w:keepNext w:val="0"/>
              <w:keepLines w:val="0"/>
              <w:widowControl/>
              <w:suppressLineNumbers w:val="0"/>
              <w:spacing w:before="0" w:beforeAutospacing="0" w:after="0" w:afterAutospacing="0" w:line="320" w:lineRule="exact"/>
              <w:ind w:left="0" w:right="0"/>
              <w:jc w:val="center"/>
              <w:textAlignment w:val="center"/>
              <w:rPr>
                <w:rFonts w:hint="eastAsia" w:ascii="宋体" w:cs="宋体"/>
                <w:color w:val="000000"/>
                <w:sz w:val="24"/>
                <w:szCs w:val="24"/>
              </w:rPr>
            </w:pPr>
            <w:r>
              <w:rPr>
                <w:rFonts w:hint="eastAsia" w:ascii="宋体" w:cs="宋体"/>
                <w:color w:val="000000"/>
                <w:kern w:val="0"/>
                <w:sz w:val="24"/>
                <w:szCs w:val="24"/>
                <w:lang w:bidi="ar"/>
              </w:rPr>
              <w:t>二级指标</w:t>
            </w:r>
          </w:p>
        </w:tc>
        <w:tc>
          <w:tcPr>
            <w:tcW w:w="1312" w:type="dxa"/>
            <w:tcBorders>
              <w:top w:val="single" w:color="auto" w:sz="4" w:space="0"/>
              <w:left w:val="single" w:color="auto" w:sz="4" w:space="0"/>
              <w:bottom w:val="single" w:color="auto" w:sz="4" w:space="0"/>
              <w:right w:val="single" w:color="auto" w:sz="4" w:space="0"/>
            </w:tcBorders>
            <w:noWrap w:val="0"/>
            <w:vAlign w:val="center"/>
          </w:tcPr>
          <w:p w14:paraId="2773E837">
            <w:pPr>
              <w:keepNext w:val="0"/>
              <w:keepLines w:val="0"/>
              <w:widowControl/>
              <w:suppressLineNumbers w:val="0"/>
              <w:spacing w:before="0" w:beforeAutospacing="0" w:after="0" w:afterAutospacing="0" w:line="320" w:lineRule="exact"/>
              <w:ind w:left="0" w:right="0"/>
              <w:jc w:val="center"/>
              <w:textAlignment w:val="center"/>
              <w:rPr>
                <w:rFonts w:hint="eastAsia" w:ascii="宋体" w:cs="宋体"/>
                <w:color w:val="000000"/>
                <w:sz w:val="24"/>
                <w:szCs w:val="24"/>
              </w:rPr>
            </w:pPr>
            <w:r>
              <w:rPr>
                <w:rFonts w:hint="eastAsia" w:ascii="宋体" w:cs="宋体"/>
                <w:color w:val="000000"/>
                <w:kern w:val="0"/>
                <w:sz w:val="24"/>
                <w:szCs w:val="24"/>
                <w:lang w:bidi="ar"/>
              </w:rPr>
              <w:t>三级指标</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7E10EA53">
            <w:pPr>
              <w:keepNext w:val="0"/>
              <w:keepLines w:val="0"/>
              <w:widowControl/>
              <w:suppressLineNumbers w:val="0"/>
              <w:spacing w:before="0" w:beforeAutospacing="0" w:after="0" w:afterAutospacing="0" w:line="320" w:lineRule="exact"/>
              <w:ind w:left="0" w:right="0"/>
              <w:jc w:val="center"/>
              <w:textAlignment w:val="center"/>
              <w:rPr>
                <w:rFonts w:hint="eastAsia" w:ascii="宋体" w:cs="宋体"/>
                <w:color w:val="000000"/>
                <w:sz w:val="24"/>
                <w:szCs w:val="24"/>
              </w:rPr>
            </w:pPr>
            <w:r>
              <w:rPr>
                <w:rFonts w:hint="eastAsia" w:ascii="宋体" w:cs="宋体"/>
                <w:color w:val="000000"/>
                <w:kern w:val="0"/>
                <w:sz w:val="24"/>
                <w:szCs w:val="24"/>
                <w:lang w:bidi="ar"/>
              </w:rPr>
              <w:t>指标性质</w:t>
            </w:r>
          </w:p>
        </w:tc>
        <w:tc>
          <w:tcPr>
            <w:tcW w:w="971" w:type="dxa"/>
            <w:tcBorders>
              <w:top w:val="single" w:color="auto" w:sz="4" w:space="0"/>
              <w:left w:val="single" w:color="auto" w:sz="4" w:space="0"/>
              <w:bottom w:val="single" w:color="auto" w:sz="4" w:space="0"/>
              <w:right w:val="single" w:color="auto" w:sz="4" w:space="0"/>
            </w:tcBorders>
            <w:noWrap w:val="0"/>
            <w:vAlign w:val="center"/>
          </w:tcPr>
          <w:p w14:paraId="201D69F7">
            <w:pPr>
              <w:keepNext w:val="0"/>
              <w:keepLines w:val="0"/>
              <w:widowControl/>
              <w:suppressLineNumbers w:val="0"/>
              <w:spacing w:before="0" w:beforeAutospacing="0" w:after="0" w:afterAutospacing="0" w:line="320" w:lineRule="exact"/>
              <w:ind w:left="0" w:right="0"/>
              <w:jc w:val="center"/>
              <w:textAlignment w:val="center"/>
              <w:rPr>
                <w:rFonts w:hint="eastAsia" w:ascii="宋体" w:cs="宋体"/>
                <w:color w:val="000000"/>
                <w:sz w:val="24"/>
                <w:szCs w:val="24"/>
              </w:rPr>
            </w:pPr>
            <w:r>
              <w:rPr>
                <w:rFonts w:hint="eastAsia" w:ascii="宋体" w:cs="宋体"/>
                <w:color w:val="000000"/>
                <w:kern w:val="0"/>
                <w:sz w:val="24"/>
                <w:szCs w:val="24"/>
                <w:lang w:bidi="ar"/>
              </w:rPr>
              <w:t>指标值</w:t>
            </w:r>
          </w:p>
        </w:tc>
        <w:tc>
          <w:tcPr>
            <w:tcW w:w="1061" w:type="dxa"/>
            <w:tcBorders>
              <w:top w:val="single" w:color="auto" w:sz="4" w:space="0"/>
              <w:left w:val="single" w:color="auto" w:sz="4" w:space="0"/>
              <w:bottom w:val="single" w:color="auto" w:sz="4" w:space="0"/>
              <w:right w:val="single" w:color="auto" w:sz="4" w:space="0"/>
            </w:tcBorders>
            <w:noWrap w:val="0"/>
            <w:vAlign w:val="center"/>
          </w:tcPr>
          <w:p w14:paraId="2B9BD17B">
            <w:pPr>
              <w:keepNext w:val="0"/>
              <w:keepLines w:val="0"/>
              <w:widowControl/>
              <w:suppressLineNumbers w:val="0"/>
              <w:spacing w:before="0" w:beforeAutospacing="0" w:after="0" w:afterAutospacing="0" w:line="320" w:lineRule="exact"/>
              <w:ind w:left="0" w:right="0"/>
              <w:jc w:val="center"/>
              <w:textAlignment w:val="center"/>
              <w:rPr>
                <w:rFonts w:hint="eastAsia" w:ascii="宋体" w:cs="宋体"/>
                <w:color w:val="000000"/>
                <w:sz w:val="24"/>
                <w:szCs w:val="24"/>
              </w:rPr>
            </w:pPr>
            <w:r>
              <w:rPr>
                <w:rFonts w:hint="eastAsia" w:ascii="宋体" w:cs="宋体"/>
                <w:color w:val="000000"/>
                <w:kern w:val="0"/>
                <w:sz w:val="24"/>
                <w:szCs w:val="24"/>
                <w:lang w:bidi="ar"/>
              </w:rPr>
              <w:t>度量单位</w:t>
            </w:r>
          </w:p>
        </w:tc>
        <w:tc>
          <w:tcPr>
            <w:tcW w:w="938" w:type="dxa"/>
            <w:tcBorders>
              <w:top w:val="single" w:color="auto" w:sz="4" w:space="0"/>
              <w:left w:val="single" w:color="auto" w:sz="4" w:space="0"/>
              <w:bottom w:val="single" w:color="auto" w:sz="4" w:space="0"/>
              <w:right w:val="single" w:color="auto" w:sz="4" w:space="0"/>
            </w:tcBorders>
            <w:noWrap w:val="0"/>
            <w:vAlign w:val="center"/>
          </w:tcPr>
          <w:p w14:paraId="66DC71AD">
            <w:pPr>
              <w:keepNext w:val="0"/>
              <w:keepLines w:val="0"/>
              <w:widowControl/>
              <w:suppressLineNumbers w:val="0"/>
              <w:spacing w:before="0" w:beforeAutospacing="0" w:after="0" w:afterAutospacing="0" w:line="320" w:lineRule="exact"/>
              <w:ind w:left="0" w:right="0"/>
              <w:jc w:val="center"/>
              <w:textAlignment w:val="center"/>
              <w:rPr>
                <w:rFonts w:hint="eastAsia" w:ascii="宋体" w:cs="宋体"/>
                <w:color w:val="000000"/>
                <w:sz w:val="24"/>
                <w:szCs w:val="24"/>
              </w:rPr>
            </w:pPr>
            <w:r>
              <w:rPr>
                <w:rFonts w:hint="eastAsia" w:ascii="宋体" w:cs="宋体"/>
                <w:color w:val="000000"/>
                <w:kern w:val="0"/>
                <w:sz w:val="24"/>
                <w:szCs w:val="24"/>
                <w:lang w:bidi="ar"/>
              </w:rPr>
              <w:t>权重</w:t>
            </w:r>
          </w:p>
        </w:tc>
        <w:tc>
          <w:tcPr>
            <w:tcW w:w="1841" w:type="dxa"/>
            <w:tcBorders>
              <w:top w:val="single" w:color="auto" w:sz="4" w:space="0"/>
              <w:left w:val="single" w:color="auto" w:sz="4" w:space="0"/>
              <w:bottom w:val="single" w:color="auto" w:sz="4" w:space="0"/>
              <w:right w:val="single" w:color="auto" w:sz="4" w:space="0"/>
            </w:tcBorders>
            <w:noWrap w:val="0"/>
            <w:vAlign w:val="center"/>
          </w:tcPr>
          <w:p w14:paraId="1C1F4A20">
            <w:pPr>
              <w:keepNext w:val="0"/>
              <w:keepLines w:val="0"/>
              <w:widowControl/>
              <w:suppressLineNumbers w:val="0"/>
              <w:spacing w:before="0" w:beforeAutospacing="0" w:after="0" w:afterAutospacing="0" w:line="320" w:lineRule="exact"/>
              <w:ind w:left="0" w:right="0"/>
              <w:jc w:val="center"/>
              <w:textAlignment w:val="center"/>
              <w:rPr>
                <w:rFonts w:hint="eastAsia" w:ascii="宋体" w:cs="宋体"/>
                <w:color w:val="000000"/>
                <w:sz w:val="24"/>
                <w:szCs w:val="24"/>
              </w:rPr>
            </w:pPr>
            <w:r>
              <w:rPr>
                <w:rFonts w:hint="eastAsia" w:ascii="宋体" w:cs="宋体"/>
                <w:color w:val="000000"/>
                <w:kern w:val="0"/>
                <w:sz w:val="24"/>
                <w:szCs w:val="24"/>
                <w:lang w:bidi="ar"/>
              </w:rPr>
              <w:t>实际完成指标值</w:t>
            </w:r>
          </w:p>
        </w:tc>
      </w:tr>
      <w:tr w14:paraId="67D848BB">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auto" w:sz="4" w:space="0"/>
            </w:tcBorders>
            <w:noWrap w:val="0"/>
            <w:vAlign w:val="center"/>
          </w:tcPr>
          <w:p w14:paraId="26FA2424">
            <w:pPr>
              <w:keepNext w:val="0"/>
              <w:keepLines w:val="0"/>
              <w:suppressLineNumbers w:val="0"/>
              <w:spacing w:before="0" w:beforeAutospacing="0" w:after="0" w:afterAutospacing="0" w:line="320" w:lineRule="exact"/>
              <w:ind w:left="0" w:right="0"/>
              <w:rPr>
                <w:rFonts w:hint="default"/>
              </w:rPr>
            </w:pPr>
          </w:p>
        </w:tc>
        <w:tc>
          <w:tcPr>
            <w:tcW w:w="1081" w:type="dxa"/>
            <w:vMerge w:val="restart"/>
            <w:tcBorders>
              <w:top w:val="single" w:color="auto" w:sz="4" w:space="0"/>
              <w:left w:val="single" w:color="auto" w:sz="4" w:space="0"/>
              <w:bottom w:val="single" w:color="auto" w:sz="4" w:space="0"/>
              <w:right w:val="single" w:color="auto" w:sz="4" w:space="0"/>
            </w:tcBorders>
            <w:noWrap w:val="0"/>
            <w:vAlign w:val="center"/>
          </w:tcPr>
          <w:p w14:paraId="44B1B5FD">
            <w:pPr>
              <w:keepNext w:val="0"/>
              <w:keepLines w:val="0"/>
              <w:widowControl/>
              <w:suppressLineNumbers w:val="0"/>
              <w:spacing w:before="0" w:beforeAutospacing="0" w:after="0" w:afterAutospacing="0" w:line="320" w:lineRule="exact"/>
              <w:ind w:left="0" w:right="0"/>
              <w:jc w:val="center"/>
              <w:textAlignment w:val="center"/>
              <w:rPr>
                <w:rFonts w:hint="eastAsia" w:ascii="宋体" w:cs="宋体"/>
                <w:color w:val="000000"/>
                <w:sz w:val="24"/>
                <w:szCs w:val="24"/>
              </w:rPr>
            </w:pPr>
            <w:r>
              <w:rPr>
                <w:rFonts w:hint="eastAsia" w:ascii="宋体" w:cs="宋体"/>
                <w:color w:val="000000"/>
                <w:kern w:val="0"/>
                <w:sz w:val="24"/>
                <w:szCs w:val="24"/>
                <w:lang w:bidi="ar"/>
              </w:rPr>
              <w:t>产出指标</w:t>
            </w:r>
          </w:p>
        </w:tc>
        <w:tc>
          <w:tcPr>
            <w:tcW w:w="1250" w:type="dxa"/>
            <w:tcBorders>
              <w:top w:val="single" w:color="auto" w:sz="4" w:space="0"/>
              <w:left w:val="single" w:color="auto" w:sz="4" w:space="0"/>
              <w:bottom w:val="single" w:color="auto" w:sz="4" w:space="0"/>
              <w:right w:val="single" w:color="auto" w:sz="4" w:space="0"/>
            </w:tcBorders>
            <w:noWrap w:val="0"/>
            <w:vAlign w:val="center"/>
          </w:tcPr>
          <w:p w14:paraId="2D607AB9">
            <w:pPr>
              <w:keepNext w:val="0"/>
              <w:keepLines w:val="0"/>
              <w:widowControl/>
              <w:suppressLineNumbers w:val="0"/>
              <w:spacing w:before="0" w:beforeAutospacing="0" w:after="0" w:afterAutospacing="0" w:line="320" w:lineRule="exact"/>
              <w:ind w:left="0" w:right="0"/>
              <w:jc w:val="center"/>
              <w:textAlignment w:val="center"/>
              <w:rPr>
                <w:rFonts w:hint="eastAsia" w:ascii="宋体" w:cs="宋体"/>
                <w:color w:val="000000"/>
                <w:sz w:val="24"/>
                <w:szCs w:val="24"/>
              </w:rPr>
            </w:pPr>
            <w:r>
              <w:rPr>
                <w:rFonts w:hint="eastAsia" w:ascii="宋体" w:cs="宋体"/>
                <w:color w:val="000000"/>
                <w:kern w:val="0"/>
                <w:sz w:val="24"/>
                <w:szCs w:val="24"/>
                <w:lang w:bidi="ar"/>
              </w:rPr>
              <w:t>数量指标</w:t>
            </w:r>
          </w:p>
        </w:tc>
        <w:tc>
          <w:tcPr>
            <w:tcW w:w="1312" w:type="dxa"/>
            <w:tcBorders>
              <w:top w:val="single" w:color="auto" w:sz="4" w:space="0"/>
              <w:left w:val="single" w:color="auto" w:sz="4" w:space="0"/>
              <w:bottom w:val="single" w:color="auto" w:sz="4" w:space="0"/>
              <w:right w:val="single" w:color="auto" w:sz="4" w:space="0"/>
            </w:tcBorders>
            <w:noWrap w:val="0"/>
            <w:vAlign w:val="center"/>
          </w:tcPr>
          <w:p w14:paraId="32297349">
            <w:pPr>
              <w:keepNext w:val="0"/>
              <w:keepLines w:val="0"/>
              <w:suppressLineNumbers w:val="0"/>
              <w:spacing w:before="0" w:beforeAutospacing="0" w:after="0" w:afterAutospacing="0" w:line="320" w:lineRule="exact"/>
              <w:ind w:left="0" w:right="0"/>
              <w:jc w:val="center"/>
              <w:rPr>
                <w:rFonts w:hint="eastAsia" w:ascii="宋体" w:cs="宋体"/>
                <w:color w:val="000000"/>
                <w:sz w:val="24"/>
                <w:szCs w:val="24"/>
              </w:rPr>
            </w:pPr>
            <w:r>
              <w:rPr>
                <w:rFonts w:hint="eastAsia" w:ascii="宋体" w:cs="宋体"/>
                <w:color w:val="000000"/>
                <w:sz w:val="24"/>
                <w:szCs w:val="24"/>
              </w:rPr>
              <w:t>项目个数</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4038AD90">
            <w:pPr>
              <w:keepNext w:val="0"/>
              <w:keepLines w:val="0"/>
              <w:suppressLineNumbers w:val="0"/>
              <w:spacing w:before="0" w:beforeAutospacing="0" w:after="0" w:afterAutospacing="0" w:line="320" w:lineRule="exact"/>
              <w:ind w:left="0" w:right="0"/>
              <w:jc w:val="center"/>
              <w:rPr>
                <w:rFonts w:hint="eastAsia" w:ascii="宋体" w:cs="宋体"/>
                <w:color w:val="000000"/>
                <w:sz w:val="24"/>
                <w:szCs w:val="24"/>
              </w:rPr>
            </w:pPr>
            <w:r>
              <w:rPr>
                <w:rFonts w:hint="eastAsia" w:ascii="宋体" w:cs="宋体"/>
                <w:color w:val="000000"/>
                <w:sz w:val="24"/>
                <w:szCs w:val="24"/>
              </w:rPr>
              <w:t>数量</w:t>
            </w:r>
          </w:p>
        </w:tc>
        <w:tc>
          <w:tcPr>
            <w:tcW w:w="971" w:type="dxa"/>
            <w:tcBorders>
              <w:top w:val="single" w:color="auto" w:sz="4" w:space="0"/>
              <w:left w:val="single" w:color="auto" w:sz="4" w:space="0"/>
              <w:bottom w:val="single" w:color="auto" w:sz="4" w:space="0"/>
              <w:right w:val="single" w:color="auto" w:sz="4" w:space="0"/>
            </w:tcBorders>
            <w:noWrap w:val="0"/>
            <w:vAlign w:val="center"/>
          </w:tcPr>
          <w:p w14:paraId="33DC0052">
            <w:pPr>
              <w:keepNext w:val="0"/>
              <w:keepLines w:val="0"/>
              <w:suppressLineNumbers w:val="0"/>
              <w:spacing w:before="0" w:beforeAutospacing="0" w:after="0" w:afterAutospacing="0" w:line="320" w:lineRule="exact"/>
              <w:ind w:left="0" w:right="0"/>
              <w:jc w:val="center"/>
              <w:rPr>
                <w:rFonts w:hint="eastAsia" w:ascii="宋体" w:cs="宋体"/>
                <w:color w:val="000000"/>
                <w:sz w:val="24"/>
                <w:szCs w:val="24"/>
              </w:rPr>
            </w:pPr>
            <w:r>
              <w:rPr>
                <w:rFonts w:hint="eastAsia" w:ascii="宋体" w:cs="宋体"/>
                <w:color w:val="000000"/>
                <w:sz w:val="24"/>
                <w:szCs w:val="24"/>
              </w:rPr>
              <w:t>64</w:t>
            </w:r>
          </w:p>
        </w:tc>
        <w:tc>
          <w:tcPr>
            <w:tcW w:w="1061" w:type="dxa"/>
            <w:tcBorders>
              <w:top w:val="single" w:color="auto" w:sz="4" w:space="0"/>
              <w:left w:val="single" w:color="auto" w:sz="4" w:space="0"/>
              <w:bottom w:val="single" w:color="auto" w:sz="4" w:space="0"/>
              <w:right w:val="single" w:color="auto" w:sz="4" w:space="0"/>
            </w:tcBorders>
            <w:noWrap w:val="0"/>
            <w:vAlign w:val="center"/>
          </w:tcPr>
          <w:p w14:paraId="2B9E6E6A">
            <w:pPr>
              <w:keepNext w:val="0"/>
              <w:keepLines w:val="0"/>
              <w:suppressLineNumbers w:val="0"/>
              <w:spacing w:before="0" w:beforeAutospacing="0" w:after="0" w:afterAutospacing="0" w:line="320" w:lineRule="exact"/>
              <w:ind w:left="0" w:right="0"/>
              <w:jc w:val="center"/>
              <w:rPr>
                <w:rFonts w:hint="eastAsia" w:ascii="宋体" w:cs="宋体"/>
                <w:color w:val="000000"/>
                <w:sz w:val="24"/>
                <w:szCs w:val="24"/>
              </w:rPr>
            </w:pPr>
            <w:r>
              <w:rPr>
                <w:rFonts w:hint="eastAsia" w:ascii="宋体" w:cs="宋体"/>
                <w:color w:val="000000"/>
                <w:sz w:val="24"/>
                <w:szCs w:val="24"/>
              </w:rPr>
              <w:t>个</w:t>
            </w:r>
          </w:p>
        </w:tc>
        <w:tc>
          <w:tcPr>
            <w:tcW w:w="938" w:type="dxa"/>
            <w:tcBorders>
              <w:top w:val="single" w:color="auto" w:sz="4" w:space="0"/>
              <w:left w:val="single" w:color="auto" w:sz="4" w:space="0"/>
              <w:bottom w:val="single" w:color="auto" w:sz="4" w:space="0"/>
              <w:right w:val="single" w:color="auto" w:sz="4" w:space="0"/>
            </w:tcBorders>
            <w:noWrap w:val="0"/>
            <w:vAlign w:val="center"/>
          </w:tcPr>
          <w:p w14:paraId="1BF1E3FE">
            <w:pPr>
              <w:keepNext w:val="0"/>
              <w:keepLines w:val="0"/>
              <w:suppressLineNumbers w:val="0"/>
              <w:spacing w:before="0" w:beforeAutospacing="0" w:after="0" w:afterAutospacing="0" w:line="320" w:lineRule="exact"/>
              <w:ind w:left="0" w:right="0"/>
              <w:jc w:val="center"/>
              <w:rPr>
                <w:rFonts w:hint="eastAsia" w:ascii="宋体" w:cs="宋体"/>
                <w:color w:val="000000"/>
                <w:sz w:val="24"/>
                <w:szCs w:val="24"/>
              </w:rPr>
            </w:pPr>
            <w:r>
              <w:rPr>
                <w:rFonts w:hint="eastAsia" w:ascii="宋体" w:cs="宋体"/>
                <w:color w:val="000000"/>
                <w:sz w:val="24"/>
                <w:szCs w:val="24"/>
              </w:rPr>
              <w:t>20</w:t>
            </w:r>
          </w:p>
        </w:tc>
        <w:tc>
          <w:tcPr>
            <w:tcW w:w="1841" w:type="dxa"/>
            <w:tcBorders>
              <w:top w:val="single" w:color="auto" w:sz="4" w:space="0"/>
              <w:left w:val="single" w:color="auto" w:sz="4" w:space="0"/>
              <w:bottom w:val="single" w:color="auto" w:sz="4" w:space="0"/>
              <w:right w:val="single" w:color="auto" w:sz="4" w:space="0"/>
            </w:tcBorders>
            <w:noWrap w:val="0"/>
            <w:vAlign w:val="center"/>
          </w:tcPr>
          <w:p w14:paraId="7AD85850">
            <w:pPr>
              <w:keepNext w:val="0"/>
              <w:keepLines w:val="0"/>
              <w:suppressLineNumbers w:val="0"/>
              <w:spacing w:before="0" w:beforeAutospacing="0" w:after="0" w:afterAutospacing="0" w:line="320" w:lineRule="exact"/>
              <w:ind w:left="0" w:right="0"/>
              <w:jc w:val="center"/>
              <w:rPr>
                <w:rFonts w:hint="eastAsia" w:ascii="宋体" w:cs="宋体"/>
                <w:color w:val="000000"/>
                <w:sz w:val="24"/>
                <w:szCs w:val="24"/>
              </w:rPr>
            </w:pPr>
            <w:r>
              <w:rPr>
                <w:rFonts w:hint="eastAsia" w:ascii="宋体" w:cs="宋体"/>
                <w:color w:val="000000"/>
                <w:sz w:val="24"/>
                <w:szCs w:val="24"/>
              </w:rPr>
              <w:t>64</w:t>
            </w:r>
          </w:p>
        </w:tc>
      </w:tr>
      <w:tr w14:paraId="45DE2ADC">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auto" w:sz="4" w:space="0"/>
            </w:tcBorders>
            <w:noWrap w:val="0"/>
            <w:vAlign w:val="center"/>
          </w:tcPr>
          <w:p w14:paraId="3CD2D04C">
            <w:pPr>
              <w:keepNext w:val="0"/>
              <w:keepLines w:val="0"/>
              <w:suppressLineNumbers w:val="0"/>
              <w:spacing w:before="0" w:beforeAutospacing="0" w:after="0" w:afterAutospacing="0" w:line="320" w:lineRule="exact"/>
              <w:ind w:left="0" w:right="0"/>
              <w:rPr>
                <w:rFonts w:hint="default"/>
              </w:rPr>
            </w:pPr>
          </w:p>
        </w:tc>
        <w:tc>
          <w:tcPr>
            <w:tcW w:w="1081" w:type="dxa"/>
            <w:vMerge w:val="continue"/>
            <w:tcBorders>
              <w:top w:val="single" w:color="auto" w:sz="4" w:space="0"/>
              <w:left w:val="single" w:color="auto" w:sz="4" w:space="0"/>
              <w:bottom w:val="single" w:color="auto" w:sz="4" w:space="0"/>
              <w:right w:val="single" w:color="auto" w:sz="4" w:space="0"/>
            </w:tcBorders>
            <w:noWrap w:val="0"/>
            <w:vAlign w:val="center"/>
          </w:tcPr>
          <w:p w14:paraId="13359A38">
            <w:pPr>
              <w:keepNext w:val="0"/>
              <w:keepLines w:val="0"/>
              <w:suppressLineNumbers w:val="0"/>
              <w:spacing w:before="0" w:beforeAutospacing="0" w:after="0" w:afterAutospacing="0" w:line="320" w:lineRule="exact"/>
              <w:ind w:left="0" w:right="0"/>
              <w:rPr>
                <w:rFonts w:hint="default"/>
              </w:rPr>
            </w:pPr>
          </w:p>
        </w:tc>
        <w:tc>
          <w:tcPr>
            <w:tcW w:w="1250" w:type="dxa"/>
            <w:tcBorders>
              <w:top w:val="single" w:color="auto" w:sz="4" w:space="0"/>
              <w:left w:val="single" w:color="auto" w:sz="4" w:space="0"/>
              <w:bottom w:val="single" w:color="auto" w:sz="4" w:space="0"/>
              <w:right w:val="single" w:color="auto" w:sz="4" w:space="0"/>
            </w:tcBorders>
            <w:noWrap w:val="0"/>
            <w:vAlign w:val="center"/>
          </w:tcPr>
          <w:p w14:paraId="17F793BB">
            <w:pPr>
              <w:keepNext w:val="0"/>
              <w:keepLines w:val="0"/>
              <w:widowControl/>
              <w:suppressLineNumbers w:val="0"/>
              <w:spacing w:before="0" w:beforeAutospacing="0" w:after="0" w:afterAutospacing="0" w:line="320" w:lineRule="exact"/>
              <w:ind w:left="0" w:right="0"/>
              <w:jc w:val="center"/>
              <w:textAlignment w:val="center"/>
              <w:rPr>
                <w:rFonts w:hint="eastAsia" w:ascii="宋体" w:cs="宋体"/>
                <w:color w:val="000000"/>
                <w:sz w:val="24"/>
                <w:szCs w:val="24"/>
              </w:rPr>
            </w:pPr>
            <w:r>
              <w:rPr>
                <w:rFonts w:hint="eastAsia" w:ascii="宋体" w:cs="宋体"/>
                <w:color w:val="000000"/>
                <w:kern w:val="0"/>
                <w:sz w:val="24"/>
                <w:szCs w:val="24"/>
                <w:lang w:bidi="ar"/>
              </w:rPr>
              <w:t>质量指标</w:t>
            </w:r>
          </w:p>
        </w:tc>
        <w:tc>
          <w:tcPr>
            <w:tcW w:w="1312" w:type="dxa"/>
            <w:tcBorders>
              <w:top w:val="single" w:color="auto" w:sz="4" w:space="0"/>
              <w:left w:val="single" w:color="auto" w:sz="4" w:space="0"/>
              <w:bottom w:val="single" w:color="auto" w:sz="4" w:space="0"/>
              <w:right w:val="single" w:color="auto" w:sz="4" w:space="0"/>
            </w:tcBorders>
            <w:noWrap w:val="0"/>
            <w:vAlign w:val="center"/>
          </w:tcPr>
          <w:p w14:paraId="1226AEDD">
            <w:pPr>
              <w:keepNext w:val="0"/>
              <w:keepLines w:val="0"/>
              <w:widowControl/>
              <w:suppressLineNumbers w:val="0"/>
              <w:spacing w:before="0" w:beforeAutospacing="0" w:after="0" w:afterAutospacing="0" w:line="320" w:lineRule="exact"/>
              <w:ind w:left="0" w:right="0"/>
              <w:jc w:val="center"/>
              <w:rPr>
                <w:rFonts w:hint="eastAsia" w:ascii="宋体" w:cs="宋体"/>
                <w:color w:val="000000"/>
                <w:sz w:val="24"/>
                <w:szCs w:val="24"/>
              </w:rPr>
            </w:pPr>
            <w:r>
              <w:rPr>
                <w:rFonts w:hint="eastAsia" w:ascii="宋体" w:cs="宋体"/>
                <w:color w:val="000000"/>
                <w:sz w:val="24"/>
                <w:szCs w:val="24"/>
              </w:rPr>
              <w:t>用于项目前期工作，推动各地积极扩大有效投资</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38607AD8">
            <w:pPr>
              <w:keepNext w:val="0"/>
              <w:keepLines w:val="0"/>
              <w:suppressLineNumbers w:val="0"/>
              <w:spacing w:before="0" w:beforeAutospacing="0" w:after="0" w:afterAutospacing="0" w:line="320" w:lineRule="exact"/>
              <w:ind w:left="0" w:right="0"/>
              <w:jc w:val="center"/>
              <w:rPr>
                <w:rFonts w:hint="eastAsia" w:ascii="宋体" w:cs="宋体"/>
                <w:color w:val="000000"/>
                <w:sz w:val="24"/>
                <w:szCs w:val="24"/>
              </w:rPr>
            </w:pPr>
            <w:r>
              <w:rPr>
                <w:rFonts w:hint="eastAsia" w:ascii="宋体" w:cs="宋体"/>
                <w:color w:val="000000"/>
                <w:kern w:val="0"/>
                <w:sz w:val="24"/>
                <w:szCs w:val="24"/>
                <w:lang w:bidi="ar"/>
              </w:rPr>
              <w:t>质量</w:t>
            </w:r>
          </w:p>
        </w:tc>
        <w:tc>
          <w:tcPr>
            <w:tcW w:w="971" w:type="dxa"/>
            <w:tcBorders>
              <w:top w:val="single" w:color="auto" w:sz="4" w:space="0"/>
              <w:left w:val="single" w:color="auto" w:sz="4" w:space="0"/>
              <w:bottom w:val="single" w:color="auto" w:sz="4" w:space="0"/>
              <w:right w:val="single" w:color="auto" w:sz="4" w:space="0"/>
            </w:tcBorders>
            <w:noWrap w:val="0"/>
            <w:vAlign w:val="center"/>
          </w:tcPr>
          <w:p w14:paraId="7B28F798">
            <w:pPr>
              <w:keepNext w:val="0"/>
              <w:keepLines w:val="0"/>
              <w:suppressLineNumbers w:val="0"/>
              <w:spacing w:before="0" w:beforeAutospacing="0" w:after="0" w:afterAutospacing="0" w:line="320" w:lineRule="exact"/>
              <w:ind w:left="0" w:right="0"/>
              <w:jc w:val="center"/>
              <w:rPr>
                <w:rFonts w:hint="eastAsia" w:ascii="宋体" w:cs="宋体"/>
                <w:color w:val="000000"/>
                <w:sz w:val="24"/>
                <w:szCs w:val="24"/>
              </w:rPr>
            </w:pPr>
            <w:r>
              <w:rPr>
                <w:rFonts w:hint="eastAsia" w:ascii="宋体" w:cs="宋体"/>
                <w:color w:val="000000"/>
                <w:sz w:val="24"/>
                <w:szCs w:val="24"/>
              </w:rPr>
              <w:t>是</w:t>
            </w:r>
          </w:p>
        </w:tc>
        <w:tc>
          <w:tcPr>
            <w:tcW w:w="1061" w:type="dxa"/>
            <w:tcBorders>
              <w:top w:val="single" w:color="auto" w:sz="4" w:space="0"/>
              <w:left w:val="single" w:color="auto" w:sz="4" w:space="0"/>
              <w:bottom w:val="single" w:color="auto" w:sz="4" w:space="0"/>
              <w:right w:val="single" w:color="auto" w:sz="4" w:space="0"/>
            </w:tcBorders>
            <w:noWrap w:val="0"/>
            <w:vAlign w:val="center"/>
          </w:tcPr>
          <w:p w14:paraId="711769A4">
            <w:pPr>
              <w:keepNext w:val="0"/>
              <w:keepLines w:val="0"/>
              <w:suppressLineNumbers w:val="0"/>
              <w:spacing w:before="0" w:beforeAutospacing="0" w:after="0" w:afterAutospacing="0" w:line="320" w:lineRule="exact"/>
              <w:ind w:left="0" w:right="0"/>
              <w:jc w:val="center"/>
              <w:rPr>
                <w:rFonts w:hint="eastAsia" w:ascii="宋体" w:cs="宋体"/>
                <w:color w:val="000000"/>
                <w:sz w:val="24"/>
                <w:szCs w:val="24"/>
              </w:rPr>
            </w:pPr>
            <w:r>
              <w:rPr>
                <w:rFonts w:hint="eastAsia" w:ascii="宋体" w:cs="宋体"/>
                <w:color w:val="000000"/>
                <w:sz w:val="24"/>
                <w:szCs w:val="24"/>
              </w:rPr>
              <w:t>无</w:t>
            </w:r>
          </w:p>
        </w:tc>
        <w:tc>
          <w:tcPr>
            <w:tcW w:w="938" w:type="dxa"/>
            <w:tcBorders>
              <w:top w:val="single" w:color="auto" w:sz="4" w:space="0"/>
              <w:left w:val="single" w:color="auto" w:sz="4" w:space="0"/>
              <w:bottom w:val="single" w:color="auto" w:sz="4" w:space="0"/>
              <w:right w:val="single" w:color="auto" w:sz="4" w:space="0"/>
            </w:tcBorders>
            <w:noWrap w:val="0"/>
            <w:vAlign w:val="center"/>
          </w:tcPr>
          <w:p w14:paraId="6C2B3C07">
            <w:pPr>
              <w:keepNext w:val="0"/>
              <w:keepLines w:val="0"/>
              <w:suppressLineNumbers w:val="0"/>
              <w:spacing w:before="0" w:beforeAutospacing="0" w:after="0" w:afterAutospacing="0" w:line="320" w:lineRule="exact"/>
              <w:ind w:left="0" w:right="0"/>
              <w:jc w:val="center"/>
              <w:rPr>
                <w:rFonts w:hint="eastAsia" w:ascii="宋体" w:cs="宋体"/>
                <w:color w:val="000000"/>
                <w:sz w:val="24"/>
                <w:szCs w:val="24"/>
              </w:rPr>
            </w:pPr>
            <w:r>
              <w:rPr>
                <w:rFonts w:hint="eastAsia" w:ascii="宋体" w:cs="宋体"/>
                <w:color w:val="000000"/>
                <w:sz w:val="24"/>
                <w:szCs w:val="24"/>
              </w:rPr>
              <w:t>20</w:t>
            </w:r>
          </w:p>
        </w:tc>
        <w:tc>
          <w:tcPr>
            <w:tcW w:w="1841" w:type="dxa"/>
            <w:tcBorders>
              <w:top w:val="single" w:color="auto" w:sz="4" w:space="0"/>
              <w:left w:val="single" w:color="auto" w:sz="4" w:space="0"/>
              <w:bottom w:val="single" w:color="auto" w:sz="4" w:space="0"/>
              <w:right w:val="single" w:color="auto" w:sz="4" w:space="0"/>
            </w:tcBorders>
            <w:noWrap w:val="0"/>
            <w:vAlign w:val="center"/>
          </w:tcPr>
          <w:p w14:paraId="327BCF33">
            <w:pPr>
              <w:keepNext w:val="0"/>
              <w:keepLines w:val="0"/>
              <w:suppressLineNumbers w:val="0"/>
              <w:spacing w:before="0" w:beforeAutospacing="0" w:after="0" w:afterAutospacing="0" w:line="320" w:lineRule="exact"/>
              <w:ind w:left="0" w:right="0"/>
              <w:jc w:val="center"/>
              <w:rPr>
                <w:rFonts w:hint="eastAsia" w:ascii="宋体" w:cs="宋体"/>
                <w:color w:val="000000"/>
                <w:sz w:val="24"/>
                <w:szCs w:val="24"/>
              </w:rPr>
            </w:pPr>
            <w:r>
              <w:rPr>
                <w:rFonts w:hint="eastAsia" w:ascii="宋体" w:cs="宋体"/>
                <w:color w:val="000000"/>
                <w:sz w:val="24"/>
                <w:szCs w:val="24"/>
              </w:rPr>
              <w:t>是</w:t>
            </w:r>
          </w:p>
        </w:tc>
      </w:tr>
      <w:tr w14:paraId="2AA1A74F">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auto" w:sz="4" w:space="0"/>
            </w:tcBorders>
            <w:noWrap w:val="0"/>
            <w:vAlign w:val="center"/>
          </w:tcPr>
          <w:p w14:paraId="25DD068C">
            <w:pPr>
              <w:keepNext w:val="0"/>
              <w:keepLines w:val="0"/>
              <w:suppressLineNumbers w:val="0"/>
              <w:spacing w:before="0" w:beforeAutospacing="0" w:after="0" w:afterAutospacing="0" w:line="320" w:lineRule="exact"/>
              <w:ind w:left="0" w:right="0"/>
              <w:rPr>
                <w:rFonts w:hint="default"/>
              </w:rPr>
            </w:pPr>
          </w:p>
        </w:tc>
        <w:tc>
          <w:tcPr>
            <w:tcW w:w="1081" w:type="dxa"/>
            <w:vMerge w:val="continue"/>
            <w:tcBorders>
              <w:top w:val="single" w:color="auto" w:sz="4" w:space="0"/>
              <w:left w:val="single" w:color="auto" w:sz="4" w:space="0"/>
              <w:bottom w:val="single" w:color="auto" w:sz="4" w:space="0"/>
              <w:right w:val="single" w:color="auto" w:sz="4" w:space="0"/>
            </w:tcBorders>
            <w:noWrap w:val="0"/>
            <w:vAlign w:val="center"/>
          </w:tcPr>
          <w:p w14:paraId="57DBAF92">
            <w:pPr>
              <w:keepNext w:val="0"/>
              <w:keepLines w:val="0"/>
              <w:suppressLineNumbers w:val="0"/>
              <w:spacing w:before="0" w:beforeAutospacing="0" w:after="0" w:afterAutospacing="0" w:line="320" w:lineRule="exact"/>
              <w:ind w:left="0" w:right="0"/>
              <w:rPr>
                <w:rFonts w:hint="default"/>
              </w:rPr>
            </w:pPr>
          </w:p>
        </w:tc>
        <w:tc>
          <w:tcPr>
            <w:tcW w:w="1250" w:type="dxa"/>
            <w:tcBorders>
              <w:top w:val="single" w:color="auto" w:sz="4" w:space="0"/>
              <w:left w:val="single" w:color="auto" w:sz="4" w:space="0"/>
              <w:bottom w:val="single" w:color="auto" w:sz="4" w:space="0"/>
              <w:right w:val="single" w:color="auto" w:sz="4" w:space="0"/>
            </w:tcBorders>
            <w:noWrap w:val="0"/>
            <w:vAlign w:val="center"/>
          </w:tcPr>
          <w:p w14:paraId="01E53660">
            <w:pPr>
              <w:keepNext w:val="0"/>
              <w:keepLines w:val="0"/>
              <w:widowControl/>
              <w:suppressLineNumbers w:val="0"/>
              <w:spacing w:before="0" w:beforeAutospacing="0" w:after="0" w:afterAutospacing="0" w:line="320" w:lineRule="exact"/>
              <w:ind w:left="0" w:right="0"/>
              <w:jc w:val="center"/>
              <w:textAlignment w:val="center"/>
              <w:rPr>
                <w:rFonts w:hint="eastAsia" w:ascii="宋体" w:cs="宋体"/>
                <w:color w:val="000000"/>
                <w:sz w:val="24"/>
                <w:szCs w:val="24"/>
              </w:rPr>
            </w:pPr>
            <w:r>
              <w:rPr>
                <w:rFonts w:hint="eastAsia" w:ascii="宋体" w:cs="宋体"/>
                <w:color w:val="000000"/>
                <w:kern w:val="0"/>
                <w:sz w:val="24"/>
                <w:szCs w:val="24"/>
                <w:lang w:bidi="ar"/>
              </w:rPr>
              <w:t>时效指标</w:t>
            </w:r>
          </w:p>
        </w:tc>
        <w:tc>
          <w:tcPr>
            <w:tcW w:w="1312" w:type="dxa"/>
            <w:tcBorders>
              <w:top w:val="single" w:color="auto" w:sz="4" w:space="0"/>
              <w:left w:val="single" w:color="auto" w:sz="4" w:space="0"/>
              <w:bottom w:val="single" w:color="auto" w:sz="4" w:space="0"/>
              <w:right w:val="single" w:color="auto" w:sz="4" w:space="0"/>
            </w:tcBorders>
            <w:noWrap w:val="0"/>
            <w:vAlign w:val="center"/>
          </w:tcPr>
          <w:p w14:paraId="2550D953">
            <w:pPr>
              <w:keepNext w:val="0"/>
              <w:keepLines w:val="0"/>
              <w:widowControl/>
              <w:suppressLineNumbers w:val="0"/>
              <w:spacing w:before="0" w:beforeAutospacing="0" w:after="0" w:afterAutospacing="0" w:line="320" w:lineRule="exact"/>
              <w:ind w:left="0" w:right="0"/>
              <w:jc w:val="center"/>
              <w:rPr>
                <w:rFonts w:hint="eastAsia" w:ascii="宋体" w:cs="宋体"/>
                <w:color w:val="000000"/>
                <w:sz w:val="24"/>
                <w:szCs w:val="24"/>
              </w:rPr>
            </w:pPr>
            <w:r>
              <w:rPr>
                <w:rFonts w:hint="eastAsia" w:ascii="宋体" w:cs="宋体"/>
                <w:color w:val="000000"/>
                <w:sz w:val="24"/>
                <w:szCs w:val="24"/>
              </w:rPr>
              <w:t>按期完成资金投用</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56A5D36D">
            <w:pPr>
              <w:keepNext w:val="0"/>
              <w:keepLines w:val="0"/>
              <w:suppressLineNumbers w:val="0"/>
              <w:spacing w:before="0" w:beforeAutospacing="0" w:after="0" w:afterAutospacing="0" w:line="320" w:lineRule="exact"/>
              <w:ind w:left="0" w:right="0"/>
              <w:jc w:val="center"/>
              <w:rPr>
                <w:rFonts w:hint="eastAsia" w:ascii="宋体" w:cs="宋体"/>
                <w:color w:val="000000"/>
                <w:sz w:val="24"/>
                <w:szCs w:val="24"/>
              </w:rPr>
            </w:pPr>
            <w:r>
              <w:rPr>
                <w:rFonts w:hint="eastAsia" w:ascii="宋体" w:cs="宋体"/>
                <w:color w:val="000000"/>
                <w:sz w:val="24"/>
                <w:szCs w:val="24"/>
              </w:rPr>
              <w:t>时效</w:t>
            </w:r>
          </w:p>
        </w:tc>
        <w:tc>
          <w:tcPr>
            <w:tcW w:w="971" w:type="dxa"/>
            <w:tcBorders>
              <w:top w:val="single" w:color="auto" w:sz="4" w:space="0"/>
              <w:left w:val="single" w:color="auto" w:sz="4" w:space="0"/>
              <w:bottom w:val="single" w:color="auto" w:sz="4" w:space="0"/>
              <w:right w:val="single" w:color="auto" w:sz="4" w:space="0"/>
            </w:tcBorders>
            <w:noWrap w:val="0"/>
            <w:vAlign w:val="center"/>
          </w:tcPr>
          <w:p w14:paraId="5074B28F">
            <w:pPr>
              <w:keepNext w:val="0"/>
              <w:keepLines w:val="0"/>
              <w:widowControl/>
              <w:suppressLineNumbers w:val="0"/>
              <w:spacing w:before="0" w:beforeAutospacing="0" w:after="0" w:afterAutospacing="0" w:line="320" w:lineRule="exact"/>
              <w:ind w:left="0" w:right="0"/>
              <w:jc w:val="center"/>
              <w:rPr>
                <w:rFonts w:hint="eastAsia" w:ascii="宋体" w:cs="宋体"/>
                <w:color w:val="000000"/>
                <w:sz w:val="24"/>
                <w:szCs w:val="24"/>
              </w:rPr>
            </w:pPr>
            <w:r>
              <w:rPr>
                <w:rFonts w:hint="eastAsia" w:ascii="宋体" w:cs="宋体"/>
                <w:color w:val="000000"/>
                <w:sz w:val="24"/>
                <w:szCs w:val="24"/>
              </w:rPr>
              <w:t>按期完成</w:t>
            </w:r>
          </w:p>
        </w:tc>
        <w:tc>
          <w:tcPr>
            <w:tcW w:w="1061" w:type="dxa"/>
            <w:tcBorders>
              <w:top w:val="single" w:color="auto" w:sz="4" w:space="0"/>
              <w:left w:val="single" w:color="auto" w:sz="4" w:space="0"/>
              <w:bottom w:val="single" w:color="auto" w:sz="4" w:space="0"/>
              <w:right w:val="single" w:color="auto" w:sz="4" w:space="0"/>
            </w:tcBorders>
            <w:noWrap w:val="0"/>
            <w:vAlign w:val="center"/>
          </w:tcPr>
          <w:p w14:paraId="77E991DD">
            <w:pPr>
              <w:keepNext w:val="0"/>
              <w:keepLines w:val="0"/>
              <w:suppressLineNumbers w:val="0"/>
              <w:spacing w:before="0" w:beforeAutospacing="0" w:after="0" w:afterAutospacing="0" w:line="320" w:lineRule="exact"/>
              <w:ind w:left="0" w:right="0"/>
              <w:jc w:val="center"/>
              <w:rPr>
                <w:rFonts w:hint="eastAsia" w:ascii="宋体" w:cs="宋体"/>
                <w:color w:val="000000"/>
                <w:sz w:val="24"/>
                <w:szCs w:val="24"/>
              </w:rPr>
            </w:pPr>
            <w:r>
              <w:rPr>
                <w:rFonts w:hint="eastAsia" w:ascii="宋体" w:cs="宋体"/>
                <w:color w:val="000000"/>
                <w:sz w:val="24"/>
                <w:szCs w:val="24"/>
              </w:rPr>
              <w:t>无</w:t>
            </w:r>
          </w:p>
        </w:tc>
        <w:tc>
          <w:tcPr>
            <w:tcW w:w="938" w:type="dxa"/>
            <w:tcBorders>
              <w:top w:val="single" w:color="auto" w:sz="4" w:space="0"/>
              <w:left w:val="single" w:color="auto" w:sz="4" w:space="0"/>
              <w:bottom w:val="single" w:color="auto" w:sz="4" w:space="0"/>
              <w:right w:val="single" w:color="auto" w:sz="4" w:space="0"/>
            </w:tcBorders>
            <w:noWrap w:val="0"/>
            <w:vAlign w:val="center"/>
          </w:tcPr>
          <w:p w14:paraId="1A37DCA2">
            <w:pPr>
              <w:keepNext w:val="0"/>
              <w:keepLines w:val="0"/>
              <w:suppressLineNumbers w:val="0"/>
              <w:spacing w:before="0" w:beforeAutospacing="0" w:after="0" w:afterAutospacing="0" w:line="320" w:lineRule="exact"/>
              <w:ind w:left="0" w:right="0"/>
              <w:jc w:val="center"/>
              <w:rPr>
                <w:rFonts w:hint="eastAsia" w:ascii="宋体" w:cs="宋体"/>
                <w:color w:val="000000"/>
                <w:sz w:val="24"/>
                <w:szCs w:val="24"/>
              </w:rPr>
            </w:pPr>
            <w:r>
              <w:rPr>
                <w:rFonts w:hint="eastAsia" w:ascii="宋体" w:cs="宋体"/>
                <w:color w:val="000000"/>
                <w:sz w:val="24"/>
                <w:szCs w:val="24"/>
              </w:rPr>
              <w:t>20</w:t>
            </w:r>
          </w:p>
        </w:tc>
        <w:tc>
          <w:tcPr>
            <w:tcW w:w="1841" w:type="dxa"/>
            <w:tcBorders>
              <w:top w:val="single" w:color="auto" w:sz="4" w:space="0"/>
              <w:left w:val="single" w:color="auto" w:sz="4" w:space="0"/>
              <w:bottom w:val="single" w:color="auto" w:sz="4" w:space="0"/>
              <w:right w:val="single" w:color="auto" w:sz="4" w:space="0"/>
            </w:tcBorders>
            <w:noWrap w:val="0"/>
            <w:vAlign w:val="center"/>
          </w:tcPr>
          <w:p w14:paraId="4098B6ED">
            <w:pPr>
              <w:keepNext w:val="0"/>
              <w:keepLines w:val="0"/>
              <w:suppressLineNumbers w:val="0"/>
              <w:spacing w:before="0" w:beforeAutospacing="0" w:after="0" w:afterAutospacing="0" w:line="320" w:lineRule="exact"/>
              <w:ind w:left="0" w:right="0"/>
              <w:jc w:val="center"/>
              <w:rPr>
                <w:rFonts w:hint="eastAsia" w:ascii="宋体" w:cs="宋体"/>
                <w:color w:val="000000"/>
                <w:sz w:val="24"/>
                <w:szCs w:val="24"/>
              </w:rPr>
            </w:pPr>
            <w:r>
              <w:rPr>
                <w:rFonts w:hint="eastAsia" w:ascii="宋体" w:cs="宋体"/>
                <w:color w:val="000000"/>
                <w:sz w:val="24"/>
                <w:szCs w:val="24"/>
              </w:rPr>
              <w:t>按期完成</w:t>
            </w:r>
          </w:p>
        </w:tc>
      </w:tr>
      <w:tr w14:paraId="685AE5AC">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auto" w:sz="4" w:space="0"/>
            </w:tcBorders>
            <w:noWrap w:val="0"/>
            <w:vAlign w:val="center"/>
          </w:tcPr>
          <w:p w14:paraId="0431F845">
            <w:pPr>
              <w:keepNext w:val="0"/>
              <w:keepLines w:val="0"/>
              <w:suppressLineNumbers w:val="0"/>
              <w:spacing w:before="0" w:beforeAutospacing="0" w:after="0" w:afterAutospacing="0" w:line="320" w:lineRule="exact"/>
              <w:ind w:left="0" w:right="0"/>
              <w:rPr>
                <w:rFonts w:hint="default"/>
              </w:rPr>
            </w:pPr>
          </w:p>
        </w:tc>
        <w:tc>
          <w:tcPr>
            <w:tcW w:w="1081" w:type="dxa"/>
            <w:tcBorders>
              <w:top w:val="single" w:color="auto" w:sz="4" w:space="0"/>
              <w:left w:val="single" w:color="auto" w:sz="4" w:space="0"/>
              <w:bottom w:val="single" w:color="auto" w:sz="4" w:space="0"/>
              <w:right w:val="single" w:color="auto" w:sz="4" w:space="0"/>
            </w:tcBorders>
            <w:noWrap w:val="0"/>
            <w:vAlign w:val="center"/>
          </w:tcPr>
          <w:p w14:paraId="60702624">
            <w:pPr>
              <w:keepNext w:val="0"/>
              <w:keepLines w:val="0"/>
              <w:suppressLineNumbers w:val="0"/>
              <w:spacing w:before="0" w:beforeAutospacing="0" w:after="0" w:afterAutospacing="0" w:line="320" w:lineRule="exact"/>
              <w:ind w:left="0" w:right="0"/>
              <w:jc w:val="center"/>
              <w:rPr>
                <w:rFonts w:hint="eastAsia" w:ascii="宋体" w:cs="宋体"/>
                <w:color w:val="000000"/>
                <w:sz w:val="24"/>
                <w:szCs w:val="24"/>
              </w:rPr>
            </w:pPr>
            <w:r>
              <w:rPr>
                <w:rFonts w:hint="eastAsia" w:ascii="宋体" w:cs="宋体"/>
                <w:color w:val="000000"/>
                <w:kern w:val="0"/>
                <w:sz w:val="24"/>
                <w:szCs w:val="24"/>
                <w:lang w:bidi="ar"/>
              </w:rPr>
              <w:t>效益指标</w:t>
            </w:r>
          </w:p>
        </w:tc>
        <w:tc>
          <w:tcPr>
            <w:tcW w:w="1250" w:type="dxa"/>
            <w:tcBorders>
              <w:top w:val="single" w:color="auto" w:sz="4" w:space="0"/>
              <w:left w:val="single" w:color="auto" w:sz="4" w:space="0"/>
              <w:bottom w:val="single" w:color="auto" w:sz="4" w:space="0"/>
              <w:right w:val="single" w:color="auto" w:sz="4" w:space="0"/>
            </w:tcBorders>
            <w:noWrap w:val="0"/>
            <w:vAlign w:val="center"/>
          </w:tcPr>
          <w:p w14:paraId="2FB6661D">
            <w:pPr>
              <w:keepNext w:val="0"/>
              <w:keepLines w:val="0"/>
              <w:widowControl/>
              <w:suppressLineNumbers w:val="0"/>
              <w:spacing w:before="0" w:beforeAutospacing="0" w:after="0" w:afterAutospacing="0" w:line="320" w:lineRule="exact"/>
              <w:ind w:left="0" w:right="0"/>
              <w:jc w:val="center"/>
              <w:textAlignment w:val="center"/>
              <w:rPr>
                <w:rFonts w:hint="eastAsia" w:ascii="宋体" w:cs="宋体"/>
                <w:color w:val="000000"/>
                <w:kern w:val="0"/>
                <w:sz w:val="24"/>
                <w:szCs w:val="24"/>
                <w:lang w:bidi="ar"/>
              </w:rPr>
            </w:pPr>
            <w:r>
              <w:rPr>
                <w:rFonts w:hint="eastAsia" w:ascii="宋体" w:cs="宋体"/>
                <w:color w:val="000000"/>
                <w:kern w:val="0"/>
                <w:sz w:val="24"/>
                <w:szCs w:val="24"/>
                <w:lang w:bidi="ar"/>
              </w:rPr>
              <w:t>经济效益</w:t>
            </w:r>
          </w:p>
          <w:p w14:paraId="6910C59D">
            <w:pPr>
              <w:keepNext w:val="0"/>
              <w:keepLines w:val="0"/>
              <w:widowControl/>
              <w:suppressLineNumbers w:val="0"/>
              <w:spacing w:before="0" w:beforeAutospacing="0" w:after="0" w:afterAutospacing="0" w:line="320" w:lineRule="exact"/>
              <w:ind w:left="0" w:right="0"/>
              <w:jc w:val="center"/>
              <w:textAlignment w:val="center"/>
              <w:rPr>
                <w:rFonts w:hint="eastAsia" w:ascii="宋体" w:cs="宋体"/>
                <w:color w:val="000000"/>
                <w:sz w:val="24"/>
                <w:szCs w:val="24"/>
              </w:rPr>
            </w:pPr>
            <w:r>
              <w:rPr>
                <w:rFonts w:hint="eastAsia" w:ascii="宋体" w:cs="宋体"/>
                <w:color w:val="000000"/>
                <w:kern w:val="0"/>
                <w:sz w:val="24"/>
                <w:szCs w:val="24"/>
                <w:lang w:bidi="ar"/>
              </w:rPr>
              <w:t>指标</w:t>
            </w:r>
          </w:p>
        </w:tc>
        <w:tc>
          <w:tcPr>
            <w:tcW w:w="1312" w:type="dxa"/>
            <w:tcBorders>
              <w:top w:val="single" w:color="auto" w:sz="4" w:space="0"/>
              <w:left w:val="single" w:color="auto" w:sz="4" w:space="0"/>
              <w:bottom w:val="single" w:color="auto" w:sz="4" w:space="0"/>
              <w:right w:val="single" w:color="auto" w:sz="4" w:space="0"/>
            </w:tcBorders>
            <w:noWrap w:val="0"/>
            <w:vAlign w:val="center"/>
          </w:tcPr>
          <w:p w14:paraId="104B1F1D">
            <w:pPr>
              <w:keepNext w:val="0"/>
              <w:keepLines w:val="0"/>
              <w:suppressLineNumbers w:val="0"/>
              <w:spacing w:before="0" w:beforeAutospacing="0" w:after="0" w:afterAutospacing="0" w:line="320" w:lineRule="exact"/>
              <w:ind w:left="0" w:right="0"/>
              <w:jc w:val="center"/>
              <w:rPr>
                <w:rFonts w:hint="eastAsia" w:ascii="宋体" w:cs="宋体"/>
                <w:color w:val="000000"/>
                <w:sz w:val="24"/>
                <w:szCs w:val="24"/>
              </w:rPr>
            </w:pPr>
            <w:r>
              <w:rPr>
                <w:rFonts w:hint="eastAsia" w:ascii="宋体" w:cs="宋体"/>
                <w:color w:val="000000"/>
                <w:sz w:val="24"/>
                <w:szCs w:val="24"/>
              </w:rPr>
              <w:t>发挥省预算内资金带动作用，带动当地经济发展</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1245F106">
            <w:pPr>
              <w:keepNext w:val="0"/>
              <w:keepLines w:val="0"/>
              <w:suppressLineNumbers w:val="0"/>
              <w:spacing w:before="0" w:beforeAutospacing="0" w:after="0" w:afterAutospacing="0" w:line="320" w:lineRule="exact"/>
              <w:ind w:left="0" w:right="0"/>
              <w:jc w:val="center"/>
              <w:rPr>
                <w:rFonts w:hint="eastAsia" w:ascii="宋体" w:cs="宋体"/>
                <w:color w:val="000000"/>
                <w:sz w:val="24"/>
                <w:szCs w:val="24"/>
              </w:rPr>
            </w:pPr>
            <w:r>
              <w:rPr>
                <w:rFonts w:hint="eastAsia" w:ascii="宋体" w:cs="宋体"/>
                <w:color w:val="000000"/>
                <w:kern w:val="0"/>
                <w:sz w:val="24"/>
                <w:szCs w:val="24"/>
                <w:lang w:bidi="ar"/>
              </w:rPr>
              <w:t>经济效益</w:t>
            </w:r>
          </w:p>
        </w:tc>
        <w:tc>
          <w:tcPr>
            <w:tcW w:w="971" w:type="dxa"/>
            <w:tcBorders>
              <w:top w:val="single" w:color="auto" w:sz="4" w:space="0"/>
              <w:left w:val="single" w:color="auto" w:sz="4" w:space="0"/>
              <w:bottom w:val="single" w:color="auto" w:sz="4" w:space="0"/>
              <w:right w:val="single" w:color="auto" w:sz="4" w:space="0"/>
            </w:tcBorders>
            <w:noWrap w:val="0"/>
            <w:vAlign w:val="center"/>
          </w:tcPr>
          <w:p w14:paraId="2666D561">
            <w:pPr>
              <w:keepNext w:val="0"/>
              <w:keepLines w:val="0"/>
              <w:suppressLineNumbers w:val="0"/>
              <w:spacing w:before="0" w:beforeAutospacing="0" w:after="0" w:afterAutospacing="0" w:line="320" w:lineRule="exact"/>
              <w:ind w:left="0" w:right="0"/>
              <w:jc w:val="center"/>
              <w:rPr>
                <w:rFonts w:hint="eastAsia" w:ascii="宋体" w:cs="宋体"/>
                <w:color w:val="000000"/>
                <w:sz w:val="24"/>
                <w:szCs w:val="24"/>
              </w:rPr>
            </w:pPr>
            <w:r>
              <w:rPr>
                <w:rFonts w:hint="eastAsia" w:ascii="宋体" w:cs="宋体"/>
                <w:color w:val="000000"/>
                <w:sz w:val="24"/>
                <w:szCs w:val="24"/>
              </w:rPr>
              <w:t>是</w:t>
            </w:r>
          </w:p>
        </w:tc>
        <w:tc>
          <w:tcPr>
            <w:tcW w:w="1061" w:type="dxa"/>
            <w:tcBorders>
              <w:top w:val="single" w:color="auto" w:sz="4" w:space="0"/>
              <w:left w:val="single" w:color="auto" w:sz="4" w:space="0"/>
              <w:bottom w:val="single" w:color="auto" w:sz="4" w:space="0"/>
              <w:right w:val="single" w:color="auto" w:sz="4" w:space="0"/>
            </w:tcBorders>
            <w:noWrap w:val="0"/>
            <w:vAlign w:val="center"/>
          </w:tcPr>
          <w:p w14:paraId="6364DFCD">
            <w:pPr>
              <w:keepNext w:val="0"/>
              <w:keepLines w:val="0"/>
              <w:suppressLineNumbers w:val="0"/>
              <w:spacing w:before="0" w:beforeAutospacing="0" w:after="0" w:afterAutospacing="0" w:line="320" w:lineRule="exact"/>
              <w:ind w:left="0" w:right="0"/>
              <w:jc w:val="center"/>
              <w:rPr>
                <w:rFonts w:hint="eastAsia" w:ascii="宋体" w:cs="宋体"/>
                <w:color w:val="000000"/>
                <w:sz w:val="24"/>
                <w:szCs w:val="24"/>
              </w:rPr>
            </w:pPr>
            <w:r>
              <w:rPr>
                <w:rFonts w:hint="eastAsia" w:ascii="宋体" w:cs="宋体"/>
                <w:color w:val="000000"/>
                <w:sz w:val="24"/>
                <w:szCs w:val="24"/>
              </w:rPr>
              <w:t>无</w:t>
            </w:r>
          </w:p>
        </w:tc>
        <w:tc>
          <w:tcPr>
            <w:tcW w:w="938" w:type="dxa"/>
            <w:tcBorders>
              <w:top w:val="single" w:color="auto" w:sz="4" w:space="0"/>
              <w:left w:val="single" w:color="auto" w:sz="4" w:space="0"/>
              <w:bottom w:val="single" w:color="auto" w:sz="4" w:space="0"/>
              <w:right w:val="single" w:color="auto" w:sz="4" w:space="0"/>
            </w:tcBorders>
            <w:noWrap w:val="0"/>
            <w:vAlign w:val="center"/>
          </w:tcPr>
          <w:p w14:paraId="5BCE2636">
            <w:pPr>
              <w:keepNext w:val="0"/>
              <w:keepLines w:val="0"/>
              <w:suppressLineNumbers w:val="0"/>
              <w:spacing w:before="0" w:beforeAutospacing="0" w:after="0" w:afterAutospacing="0" w:line="320" w:lineRule="exact"/>
              <w:ind w:left="0" w:right="0"/>
              <w:jc w:val="center"/>
              <w:rPr>
                <w:rFonts w:hint="eastAsia" w:ascii="宋体" w:cs="宋体"/>
                <w:color w:val="000000"/>
                <w:sz w:val="24"/>
                <w:szCs w:val="24"/>
              </w:rPr>
            </w:pPr>
            <w:r>
              <w:rPr>
                <w:rFonts w:hint="eastAsia" w:ascii="宋体" w:cs="宋体"/>
                <w:color w:val="000000"/>
                <w:sz w:val="24"/>
                <w:szCs w:val="24"/>
              </w:rPr>
              <w:t>20</w:t>
            </w:r>
          </w:p>
        </w:tc>
        <w:tc>
          <w:tcPr>
            <w:tcW w:w="1841" w:type="dxa"/>
            <w:tcBorders>
              <w:top w:val="single" w:color="auto" w:sz="4" w:space="0"/>
              <w:left w:val="single" w:color="auto" w:sz="4" w:space="0"/>
              <w:bottom w:val="single" w:color="auto" w:sz="4" w:space="0"/>
              <w:right w:val="single" w:color="auto" w:sz="4" w:space="0"/>
            </w:tcBorders>
            <w:noWrap w:val="0"/>
            <w:vAlign w:val="center"/>
          </w:tcPr>
          <w:p w14:paraId="35E3B3D6">
            <w:pPr>
              <w:keepNext w:val="0"/>
              <w:keepLines w:val="0"/>
              <w:suppressLineNumbers w:val="0"/>
              <w:spacing w:before="0" w:beforeAutospacing="0" w:after="0" w:afterAutospacing="0" w:line="320" w:lineRule="exact"/>
              <w:ind w:left="0" w:right="0"/>
              <w:jc w:val="center"/>
              <w:rPr>
                <w:rFonts w:hint="eastAsia" w:ascii="宋体" w:cs="宋体"/>
                <w:color w:val="000000"/>
                <w:sz w:val="24"/>
                <w:szCs w:val="24"/>
              </w:rPr>
            </w:pPr>
            <w:r>
              <w:rPr>
                <w:rFonts w:hint="eastAsia" w:ascii="宋体" w:cs="宋体"/>
                <w:color w:val="000000"/>
                <w:sz w:val="24"/>
                <w:szCs w:val="24"/>
              </w:rPr>
              <w:t>是</w:t>
            </w:r>
          </w:p>
        </w:tc>
      </w:tr>
      <w:tr w14:paraId="63D15F9B">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auto" w:sz="4" w:space="0"/>
            </w:tcBorders>
            <w:noWrap w:val="0"/>
            <w:vAlign w:val="center"/>
          </w:tcPr>
          <w:p w14:paraId="23BE32CF">
            <w:pPr>
              <w:keepNext w:val="0"/>
              <w:keepLines w:val="0"/>
              <w:suppressLineNumbers w:val="0"/>
              <w:spacing w:before="0" w:beforeAutospacing="0" w:after="0" w:afterAutospacing="0" w:line="320" w:lineRule="exact"/>
              <w:ind w:left="0" w:right="0"/>
              <w:rPr>
                <w:rFonts w:hint="default"/>
              </w:rPr>
            </w:pPr>
          </w:p>
        </w:tc>
        <w:tc>
          <w:tcPr>
            <w:tcW w:w="1081" w:type="dxa"/>
            <w:tcBorders>
              <w:top w:val="single" w:color="auto" w:sz="4" w:space="0"/>
              <w:left w:val="single" w:color="auto" w:sz="4" w:space="0"/>
              <w:bottom w:val="single" w:color="auto" w:sz="4" w:space="0"/>
              <w:right w:val="single" w:color="auto" w:sz="4" w:space="0"/>
            </w:tcBorders>
            <w:noWrap w:val="0"/>
            <w:vAlign w:val="center"/>
          </w:tcPr>
          <w:p w14:paraId="20E507AD">
            <w:pPr>
              <w:keepNext w:val="0"/>
              <w:keepLines w:val="0"/>
              <w:widowControl/>
              <w:suppressLineNumbers w:val="0"/>
              <w:spacing w:before="0" w:beforeAutospacing="0" w:after="0" w:afterAutospacing="0" w:line="320" w:lineRule="exact"/>
              <w:ind w:left="0" w:right="0"/>
              <w:jc w:val="center"/>
              <w:textAlignment w:val="center"/>
              <w:rPr>
                <w:rFonts w:hint="eastAsia" w:ascii="宋体" w:cs="宋体"/>
                <w:color w:val="000000"/>
                <w:kern w:val="0"/>
                <w:sz w:val="24"/>
                <w:szCs w:val="24"/>
                <w:lang w:bidi="ar"/>
              </w:rPr>
            </w:pPr>
            <w:r>
              <w:rPr>
                <w:rFonts w:hint="eastAsia" w:ascii="宋体" w:cs="宋体"/>
                <w:color w:val="000000"/>
                <w:kern w:val="0"/>
                <w:sz w:val="24"/>
                <w:szCs w:val="24"/>
                <w:lang w:bidi="ar"/>
              </w:rPr>
              <w:t>满意度</w:t>
            </w:r>
          </w:p>
          <w:p w14:paraId="04D48EC8">
            <w:pPr>
              <w:keepNext w:val="0"/>
              <w:keepLines w:val="0"/>
              <w:widowControl/>
              <w:suppressLineNumbers w:val="0"/>
              <w:spacing w:before="0" w:beforeAutospacing="0" w:after="0" w:afterAutospacing="0" w:line="320" w:lineRule="exact"/>
              <w:ind w:left="0" w:right="0"/>
              <w:jc w:val="center"/>
              <w:textAlignment w:val="center"/>
              <w:rPr>
                <w:rFonts w:hint="eastAsia" w:ascii="宋体" w:cs="宋体"/>
                <w:color w:val="000000"/>
                <w:sz w:val="24"/>
                <w:szCs w:val="24"/>
              </w:rPr>
            </w:pPr>
            <w:r>
              <w:rPr>
                <w:rFonts w:hint="eastAsia" w:ascii="宋体" w:cs="宋体"/>
                <w:color w:val="000000"/>
                <w:kern w:val="0"/>
                <w:sz w:val="24"/>
                <w:szCs w:val="24"/>
                <w:lang w:bidi="ar"/>
              </w:rPr>
              <w:t>指标</w:t>
            </w:r>
          </w:p>
        </w:tc>
        <w:tc>
          <w:tcPr>
            <w:tcW w:w="1250" w:type="dxa"/>
            <w:tcBorders>
              <w:top w:val="single" w:color="auto" w:sz="4" w:space="0"/>
              <w:left w:val="single" w:color="auto" w:sz="4" w:space="0"/>
              <w:bottom w:val="single" w:color="auto" w:sz="4" w:space="0"/>
              <w:right w:val="single" w:color="auto" w:sz="4" w:space="0"/>
            </w:tcBorders>
            <w:noWrap w:val="0"/>
            <w:vAlign w:val="center"/>
          </w:tcPr>
          <w:p w14:paraId="00A0687A">
            <w:pPr>
              <w:keepNext w:val="0"/>
              <w:keepLines w:val="0"/>
              <w:widowControl/>
              <w:suppressLineNumbers w:val="0"/>
              <w:spacing w:before="0" w:beforeAutospacing="0" w:after="0" w:afterAutospacing="0" w:line="320" w:lineRule="exact"/>
              <w:ind w:left="0" w:right="0"/>
              <w:textAlignment w:val="center"/>
              <w:rPr>
                <w:rFonts w:hint="eastAsia" w:ascii="宋体" w:cs="宋体"/>
                <w:color w:val="000000"/>
                <w:sz w:val="24"/>
                <w:szCs w:val="24"/>
              </w:rPr>
            </w:pPr>
            <w:r>
              <w:rPr>
                <w:rFonts w:hint="eastAsia" w:ascii="宋体" w:cs="宋体"/>
                <w:color w:val="000000"/>
                <w:kern w:val="0"/>
                <w:sz w:val="24"/>
                <w:szCs w:val="24"/>
                <w:lang w:bidi="ar"/>
              </w:rPr>
              <w:t>满意度指标</w:t>
            </w:r>
          </w:p>
        </w:tc>
        <w:tc>
          <w:tcPr>
            <w:tcW w:w="1312" w:type="dxa"/>
            <w:tcBorders>
              <w:top w:val="single" w:color="auto" w:sz="4" w:space="0"/>
              <w:left w:val="single" w:color="auto" w:sz="4" w:space="0"/>
              <w:bottom w:val="single" w:color="auto" w:sz="4" w:space="0"/>
              <w:right w:val="single" w:color="auto" w:sz="4" w:space="0"/>
            </w:tcBorders>
            <w:noWrap w:val="0"/>
            <w:vAlign w:val="center"/>
          </w:tcPr>
          <w:p w14:paraId="78804DD0">
            <w:pPr>
              <w:keepNext w:val="0"/>
              <w:keepLines w:val="0"/>
              <w:suppressLineNumbers w:val="0"/>
              <w:spacing w:before="0" w:beforeAutospacing="0" w:after="0" w:afterAutospacing="0" w:line="320" w:lineRule="exact"/>
              <w:ind w:left="0" w:right="0"/>
              <w:jc w:val="center"/>
              <w:rPr>
                <w:rFonts w:hint="eastAsia" w:ascii="宋体" w:cs="宋体"/>
                <w:color w:val="000000"/>
                <w:sz w:val="24"/>
                <w:szCs w:val="24"/>
              </w:rPr>
            </w:pPr>
            <w:r>
              <w:rPr>
                <w:rFonts w:hint="eastAsia" w:ascii="宋体" w:cs="宋体"/>
                <w:color w:val="000000"/>
                <w:sz w:val="24"/>
                <w:szCs w:val="24"/>
              </w:rPr>
              <w:t>满足人民群众对基础设施、公共服务和经济社会发展等方面的需求。</w:t>
            </w:r>
          </w:p>
        </w:tc>
        <w:tc>
          <w:tcPr>
            <w:tcW w:w="1127" w:type="dxa"/>
            <w:tcBorders>
              <w:top w:val="single" w:color="auto" w:sz="4" w:space="0"/>
              <w:left w:val="single" w:color="auto" w:sz="4" w:space="0"/>
              <w:bottom w:val="single" w:color="auto" w:sz="4" w:space="0"/>
              <w:right w:val="single" w:color="auto" w:sz="4" w:space="0"/>
            </w:tcBorders>
            <w:noWrap w:val="0"/>
            <w:vAlign w:val="center"/>
          </w:tcPr>
          <w:p w14:paraId="539C2E74">
            <w:pPr>
              <w:keepNext w:val="0"/>
              <w:keepLines w:val="0"/>
              <w:suppressLineNumbers w:val="0"/>
              <w:spacing w:before="0" w:beforeAutospacing="0" w:after="0" w:afterAutospacing="0" w:line="320" w:lineRule="exact"/>
              <w:ind w:left="0" w:right="0"/>
              <w:jc w:val="center"/>
              <w:rPr>
                <w:rFonts w:hint="eastAsia" w:ascii="宋体" w:cs="宋体"/>
                <w:color w:val="000000"/>
                <w:sz w:val="24"/>
                <w:szCs w:val="24"/>
              </w:rPr>
            </w:pPr>
            <w:r>
              <w:rPr>
                <w:rFonts w:hint="eastAsia" w:ascii="宋体" w:cs="宋体"/>
                <w:color w:val="000000"/>
                <w:sz w:val="24"/>
                <w:szCs w:val="24"/>
              </w:rPr>
              <w:t>满意度</w:t>
            </w:r>
          </w:p>
        </w:tc>
        <w:tc>
          <w:tcPr>
            <w:tcW w:w="971" w:type="dxa"/>
            <w:tcBorders>
              <w:top w:val="single" w:color="auto" w:sz="4" w:space="0"/>
              <w:left w:val="single" w:color="auto" w:sz="4" w:space="0"/>
              <w:bottom w:val="single" w:color="auto" w:sz="4" w:space="0"/>
              <w:right w:val="single" w:color="auto" w:sz="4" w:space="0"/>
            </w:tcBorders>
            <w:noWrap w:val="0"/>
            <w:vAlign w:val="center"/>
          </w:tcPr>
          <w:p w14:paraId="23E17274">
            <w:pPr>
              <w:keepNext w:val="0"/>
              <w:keepLines w:val="0"/>
              <w:suppressLineNumbers w:val="0"/>
              <w:spacing w:before="0" w:beforeAutospacing="0" w:after="0" w:afterAutospacing="0" w:line="320" w:lineRule="exact"/>
              <w:ind w:left="0" w:right="0"/>
              <w:jc w:val="center"/>
              <w:rPr>
                <w:rFonts w:hint="eastAsia" w:ascii="宋体" w:cs="宋体"/>
                <w:color w:val="000000"/>
                <w:sz w:val="24"/>
                <w:szCs w:val="24"/>
              </w:rPr>
            </w:pPr>
            <w:r>
              <w:rPr>
                <w:rFonts w:hint="eastAsia" w:ascii="宋体" w:cs="宋体"/>
                <w:color w:val="000000"/>
                <w:sz w:val="24"/>
                <w:szCs w:val="24"/>
              </w:rPr>
              <w:t>满意</w:t>
            </w:r>
          </w:p>
        </w:tc>
        <w:tc>
          <w:tcPr>
            <w:tcW w:w="1061" w:type="dxa"/>
            <w:tcBorders>
              <w:top w:val="single" w:color="auto" w:sz="4" w:space="0"/>
              <w:left w:val="single" w:color="auto" w:sz="4" w:space="0"/>
              <w:bottom w:val="single" w:color="auto" w:sz="4" w:space="0"/>
              <w:right w:val="single" w:color="auto" w:sz="4" w:space="0"/>
            </w:tcBorders>
            <w:noWrap w:val="0"/>
            <w:vAlign w:val="center"/>
          </w:tcPr>
          <w:p w14:paraId="366D7DBC">
            <w:pPr>
              <w:keepNext w:val="0"/>
              <w:keepLines w:val="0"/>
              <w:suppressLineNumbers w:val="0"/>
              <w:spacing w:before="0" w:beforeAutospacing="0" w:after="0" w:afterAutospacing="0" w:line="320" w:lineRule="exact"/>
              <w:ind w:left="0" w:right="0"/>
              <w:jc w:val="center"/>
              <w:rPr>
                <w:rFonts w:hint="eastAsia" w:ascii="宋体" w:cs="宋体"/>
                <w:color w:val="000000"/>
                <w:sz w:val="24"/>
                <w:szCs w:val="24"/>
              </w:rPr>
            </w:pPr>
            <w:r>
              <w:rPr>
                <w:rFonts w:hint="eastAsia" w:ascii="宋体" w:cs="宋体"/>
                <w:color w:val="000000"/>
                <w:sz w:val="24"/>
                <w:szCs w:val="24"/>
              </w:rPr>
              <w:t>无</w:t>
            </w:r>
          </w:p>
        </w:tc>
        <w:tc>
          <w:tcPr>
            <w:tcW w:w="938" w:type="dxa"/>
            <w:tcBorders>
              <w:top w:val="single" w:color="auto" w:sz="4" w:space="0"/>
              <w:left w:val="single" w:color="auto" w:sz="4" w:space="0"/>
              <w:bottom w:val="single" w:color="auto" w:sz="4" w:space="0"/>
              <w:right w:val="single" w:color="auto" w:sz="4" w:space="0"/>
            </w:tcBorders>
            <w:noWrap w:val="0"/>
            <w:vAlign w:val="center"/>
          </w:tcPr>
          <w:p w14:paraId="3D969BD3">
            <w:pPr>
              <w:keepNext w:val="0"/>
              <w:keepLines w:val="0"/>
              <w:suppressLineNumbers w:val="0"/>
              <w:spacing w:before="0" w:beforeAutospacing="0" w:after="0" w:afterAutospacing="0" w:line="320" w:lineRule="exact"/>
              <w:ind w:left="0" w:right="0"/>
              <w:jc w:val="center"/>
              <w:rPr>
                <w:rFonts w:hint="eastAsia" w:ascii="宋体" w:cs="宋体"/>
                <w:color w:val="000000"/>
                <w:sz w:val="24"/>
                <w:szCs w:val="24"/>
              </w:rPr>
            </w:pPr>
            <w:r>
              <w:rPr>
                <w:rFonts w:hint="eastAsia" w:ascii="宋体" w:cs="宋体"/>
                <w:color w:val="000000"/>
                <w:sz w:val="24"/>
                <w:szCs w:val="24"/>
              </w:rPr>
              <w:t>20</w:t>
            </w:r>
          </w:p>
        </w:tc>
        <w:tc>
          <w:tcPr>
            <w:tcW w:w="1841" w:type="dxa"/>
            <w:tcBorders>
              <w:top w:val="single" w:color="auto" w:sz="4" w:space="0"/>
              <w:left w:val="single" w:color="auto" w:sz="4" w:space="0"/>
              <w:bottom w:val="single" w:color="auto" w:sz="4" w:space="0"/>
              <w:right w:val="single" w:color="auto" w:sz="4" w:space="0"/>
            </w:tcBorders>
            <w:noWrap w:val="0"/>
            <w:vAlign w:val="center"/>
          </w:tcPr>
          <w:p w14:paraId="1B983A71">
            <w:pPr>
              <w:keepNext w:val="0"/>
              <w:keepLines w:val="0"/>
              <w:suppressLineNumbers w:val="0"/>
              <w:spacing w:before="0" w:beforeAutospacing="0" w:after="0" w:afterAutospacing="0" w:line="320" w:lineRule="exact"/>
              <w:ind w:left="0" w:right="0"/>
              <w:jc w:val="center"/>
              <w:rPr>
                <w:rFonts w:hint="eastAsia" w:ascii="宋体" w:cs="宋体"/>
                <w:color w:val="000000"/>
                <w:sz w:val="24"/>
                <w:szCs w:val="24"/>
              </w:rPr>
            </w:pPr>
            <w:r>
              <w:rPr>
                <w:rFonts w:hint="eastAsia" w:ascii="宋体" w:cs="宋体"/>
                <w:color w:val="000000"/>
                <w:sz w:val="24"/>
                <w:szCs w:val="24"/>
              </w:rPr>
              <w:t>满意</w:t>
            </w:r>
          </w:p>
        </w:tc>
      </w:tr>
    </w:tbl>
    <w:p w14:paraId="529809B4">
      <w:pPr>
        <w:pStyle w:val="19"/>
        <w:rPr>
          <w:rFonts w:hint="eastAsia" w:ascii="黑体" w:hAnsi="黑体" w:eastAsia="黑体"/>
          <w:b/>
          <w:bCs/>
          <w:color w:val="auto"/>
          <w:sz w:val="44"/>
          <w:szCs w:val="44"/>
          <w:highlight w:val="none"/>
        </w:rPr>
      </w:pPr>
    </w:p>
    <w:p w14:paraId="6C4279E3">
      <w:pPr>
        <w:pStyle w:val="41"/>
        <w:keepNext w:val="0"/>
        <w:keepLines w:val="0"/>
        <w:pageBreakBefore w:val="0"/>
        <w:widowControl w:val="0"/>
        <w:kinsoku/>
        <w:wordWrap/>
        <w:overflowPunct/>
        <w:topLinePunct w:val="0"/>
        <w:autoSpaceDE/>
        <w:autoSpaceDN/>
        <w:bidi w:val="0"/>
        <w:spacing w:line="578" w:lineRule="exact"/>
        <w:ind w:left="0" w:leftChars="0"/>
        <w:jc w:val="both"/>
        <w:textAlignment w:val="auto"/>
        <w:rPr>
          <w:rFonts w:hint="eastAsia" w:ascii="方正小标宋简体" w:hAnsi="方正小标宋简体" w:eastAsia="方正小标宋简体" w:cs="方正小标宋简体"/>
          <w:color w:val="auto"/>
          <w:kern w:val="2"/>
          <w:sz w:val="44"/>
          <w:szCs w:val="44"/>
          <w:highlight w:val="none"/>
          <w:lang w:val="en-US" w:eastAsia="zh-CN"/>
        </w:rPr>
      </w:pPr>
    </w:p>
    <w:p w14:paraId="5EDCB831">
      <w:pPr>
        <w:pStyle w:val="41"/>
        <w:keepNext w:val="0"/>
        <w:keepLines w:val="0"/>
        <w:pageBreakBefore w:val="0"/>
        <w:widowControl w:val="0"/>
        <w:kinsoku/>
        <w:wordWrap/>
        <w:overflowPunct/>
        <w:topLinePunct w:val="0"/>
        <w:autoSpaceDE/>
        <w:autoSpaceDN/>
        <w:bidi w:val="0"/>
        <w:spacing w:line="578" w:lineRule="exact"/>
        <w:ind w:left="0" w:leftChars="0"/>
        <w:jc w:val="center"/>
        <w:textAlignment w:val="auto"/>
        <w:rPr>
          <w:rFonts w:hint="eastAsia" w:ascii="方正小标宋简体" w:hAnsi="方正小标宋简体" w:eastAsia="方正小标宋简体" w:cs="方正小标宋简体"/>
          <w:color w:val="auto"/>
          <w:kern w:val="2"/>
          <w:sz w:val="44"/>
          <w:szCs w:val="44"/>
          <w:highlight w:val="none"/>
          <w:lang w:val="en-US" w:eastAsia="zh-CN"/>
        </w:rPr>
      </w:pPr>
      <w:r>
        <w:rPr>
          <w:rFonts w:hint="eastAsia" w:ascii="方正小标宋简体" w:hAnsi="方正小标宋简体" w:eastAsia="方正小标宋简体" w:cs="方正小标宋简体"/>
          <w:color w:val="auto"/>
          <w:kern w:val="2"/>
          <w:sz w:val="44"/>
          <w:szCs w:val="44"/>
          <w:highlight w:val="none"/>
          <w:lang w:val="en-US" w:eastAsia="zh-CN"/>
        </w:rPr>
        <w:t>县域经济学会年度会费、服务费</w:t>
      </w:r>
    </w:p>
    <w:p w14:paraId="5F25914E">
      <w:pPr>
        <w:pStyle w:val="41"/>
        <w:keepNext w:val="0"/>
        <w:keepLines w:val="0"/>
        <w:pageBreakBefore w:val="0"/>
        <w:widowControl w:val="0"/>
        <w:kinsoku/>
        <w:wordWrap/>
        <w:overflowPunct/>
        <w:topLinePunct w:val="0"/>
        <w:autoSpaceDE/>
        <w:autoSpaceDN/>
        <w:bidi w:val="0"/>
        <w:spacing w:line="578" w:lineRule="exact"/>
        <w:ind w:left="0" w:leftChars="0"/>
        <w:jc w:val="center"/>
        <w:textAlignment w:val="auto"/>
        <w:rPr>
          <w:rFonts w:hint="eastAsia" w:ascii="方正小标宋简体" w:hAnsi="方正小标宋简体" w:eastAsia="方正小标宋简体" w:cs="方正小标宋简体"/>
          <w:color w:val="auto"/>
          <w:kern w:val="2"/>
          <w:sz w:val="44"/>
          <w:szCs w:val="44"/>
          <w:highlight w:val="none"/>
          <w:lang w:val="en-US" w:eastAsia="zh-CN"/>
        </w:rPr>
      </w:pPr>
      <w:r>
        <w:rPr>
          <w:rFonts w:hint="eastAsia" w:ascii="方正小标宋简体" w:hAnsi="方正小标宋简体" w:eastAsia="方正小标宋简体" w:cs="方正小标宋简体"/>
          <w:color w:val="auto"/>
          <w:kern w:val="2"/>
          <w:sz w:val="44"/>
          <w:szCs w:val="44"/>
          <w:highlight w:val="none"/>
          <w:lang w:val="en-US" w:eastAsia="zh-CN"/>
        </w:rPr>
        <w:t>专项预算项目绩效评价报告</w:t>
      </w:r>
    </w:p>
    <w:p w14:paraId="77392CBF">
      <w:pPr>
        <w:pStyle w:val="41"/>
        <w:keepNext w:val="0"/>
        <w:keepLines w:val="0"/>
        <w:pageBreakBefore w:val="0"/>
        <w:widowControl w:val="0"/>
        <w:kinsoku/>
        <w:wordWrap/>
        <w:overflowPunct/>
        <w:topLinePunct w:val="0"/>
        <w:autoSpaceDE/>
        <w:autoSpaceDN/>
        <w:bidi w:val="0"/>
        <w:spacing w:line="578" w:lineRule="exact"/>
        <w:ind w:left="0" w:leftChars="0" w:firstLine="640"/>
        <w:jc w:val="center"/>
        <w:textAlignment w:val="auto"/>
        <w:rPr>
          <w:rFonts w:ascii="宋体" w:hAnsi="宋体"/>
          <w:color w:val="auto"/>
          <w:kern w:val="2"/>
          <w:sz w:val="32"/>
          <w:szCs w:val="32"/>
          <w:highlight w:val="none"/>
        </w:rPr>
      </w:pPr>
    </w:p>
    <w:p w14:paraId="4DCC37D0">
      <w:pPr>
        <w:keepNext w:val="0"/>
        <w:keepLines w:val="0"/>
        <w:pageBreakBefore w:val="0"/>
        <w:widowControl w:val="0"/>
        <w:kinsoku/>
        <w:wordWrap/>
        <w:overflowPunct/>
        <w:topLinePunct w:val="0"/>
        <w:autoSpaceDE/>
        <w:autoSpaceDN/>
        <w:bidi w:val="0"/>
        <w:adjustRightInd w:val="0"/>
        <w:snapToGrid w:val="0"/>
        <w:spacing w:line="578" w:lineRule="exact"/>
        <w:ind w:firstLine="420" w:firstLineChars="200"/>
        <w:textAlignment w:val="auto"/>
        <w:rPr>
          <w:rFonts w:ascii="黑体" w:hAnsi="宋体" w:eastAsia="黑体"/>
          <w:highlight w:val="none"/>
          <w:lang w:val="zh-CN"/>
        </w:rPr>
      </w:pPr>
      <w:r>
        <w:rPr>
          <w:rFonts w:hint="eastAsia" w:ascii="黑体" w:hAnsi="宋体" w:eastAsia="黑体"/>
          <w:highlight w:val="none"/>
        </w:rPr>
        <w:t>一、</w:t>
      </w:r>
      <w:r>
        <w:rPr>
          <w:rFonts w:hint="eastAsia" w:ascii="黑体" w:hAnsi="宋体" w:eastAsia="黑体"/>
          <w:highlight w:val="none"/>
          <w:lang w:val="zh-CN"/>
        </w:rPr>
        <w:t>项目概况</w:t>
      </w:r>
    </w:p>
    <w:p w14:paraId="7DAE512E">
      <w:pPr>
        <w:keepNext w:val="0"/>
        <w:keepLines w:val="0"/>
        <w:pageBreakBefore w:val="0"/>
        <w:widowControl w:val="0"/>
        <w:suppressLineNumbers w:val="0"/>
        <w:suppressAutoHyphens w:val="0"/>
        <w:kinsoku/>
        <w:wordWrap/>
        <w:overflowPunct/>
        <w:topLinePunct/>
        <w:autoSpaceDE/>
        <w:autoSpaceDN w:val="0"/>
        <w:bidi w:val="0"/>
        <w:adjustRightInd w:val="0"/>
        <w:snapToGrid w:val="0"/>
        <w:spacing w:before="0" w:beforeAutospacing="0" w:after="0" w:afterAutospacing="0" w:line="576" w:lineRule="exact"/>
        <w:ind w:left="0" w:right="0" w:firstLine="643" w:firstLineChars="200"/>
        <w:jc w:val="both"/>
        <w:outlineLvl w:val="9"/>
        <w:rPr>
          <w:rFonts w:hint="eastAsia" w:ascii="仿宋_GB2312" w:hAnsi="仿宋_GB2312" w:eastAsia="仿宋_GB2312" w:cs="仿宋_GB2312"/>
          <w:color w:val="FF0000"/>
          <w:kern w:val="0"/>
          <w:sz w:val="32"/>
          <w:szCs w:val="32"/>
          <w:highlight w:val="none"/>
          <w:u w:val="none"/>
          <w:shd w:val="clear" w:color="auto" w:fill="FFFFFF"/>
          <w:lang w:val="zh-CN"/>
        </w:rPr>
      </w:pPr>
      <w:r>
        <w:rPr>
          <w:rFonts w:hint="eastAsia" w:ascii="楷体_GB2312" w:hAnsi="宋体" w:eastAsia="楷体_GB2312"/>
          <w:b/>
          <w:color w:val="auto"/>
          <w:sz w:val="32"/>
          <w:szCs w:val="32"/>
          <w:highlight w:val="none"/>
          <w:u w:val="none"/>
          <w:lang w:val="zh-CN"/>
        </w:rPr>
        <w:t>（一）设立背景及基本情况。</w:t>
      </w:r>
      <w:r>
        <w:rPr>
          <w:rFonts w:hint="eastAsia" w:ascii="仿宋_GB2312" w:hAnsi="仿宋_GB2312" w:eastAsia="仿宋_GB2312" w:cs="仿宋_GB2312"/>
          <w:color w:val="auto"/>
          <w:kern w:val="0"/>
          <w:sz w:val="32"/>
          <w:szCs w:val="32"/>
          <w:highlight w:val="none"/>
          <w:u w:val="none"/>
          <w:shd w:val="clear" w:color="auto" w:fill="FFFFFF"/>
          <w:lang w:val="en-US" w:eastAsia="zh-CN"/>
        </w:rPr>
        <w:t>我市与四川省县域经济学会建立了长期合作关系，</w:t>
      </w:r>
      <w:r>
        <w:rPr>
          <w:rFonts w:hint="eastAsia" w:ascii="仿宋_GB2312" w:hAnsi="仿宋_GB2312" w:cs="仿宋_GB2312"/>
          <w:color w:val="auto"/>
          <w:kern w:val="0"/>
          <w:sz w:val="32"/>
          <w:szCs w:val="32"/>
          <w:highlight w:val="none"/>
          <w:u w:val="none"/>
          <w:shd w:val="clear" w:color="auto" w:fill="FFFFFF"/>
          <w:lang w:val="en-US" w:eastAsia="zh-CN"/>
        </w:rPr>
        <w:t>并</w:t>
      </w:r>
      <w:r>
        <w:rPr>
          <w:rFonts w:hint="eastAsia" w:ascii="仿宋_GB2312" w:hAnsi="仿宋_GB2312" w:eastAsia="仿宋_GB2312" w:cs="仿宋_GB2312"/>
          <w:color w:val="auto"/>
          <w:kern w:val="0"/>
          <w:sz w:val="32"/>
          <w:szCs w:val="32"/>
          <w:highlight w:val="none"/>
          <w:u w:val="none"/>
          <w:shd w:val="clear" w:color="auto" w:fill="FFFFFF"/>
          <w:lang w:val="en-US" w:eastAsia="zh-CN"/>
        </w:rPr>
        <w:t>担任省县域经济学会常务理事单位</w:t>
      </w:r>
      <w:r>
        <w:rPr>
          <w:rFonts w:hint="eastAsia" w:ascii="仿宋_GB2312" w:hAnsi="仿宋_GB2312" w:cs="仿宋_GB2312"/>
          <w:color w:val="auto"/>
          <w:kern w:val="0"/>
          <w:sz w:val="32"/>
          <w:szCs w:val="32"/>
          <w:highlight w:val="none"/>
          <w:u w:val="none"/>
          <w:shd w:val="clear" w:color="auto" w:fill="FFFFFF"/>
          <w:lang w:val="en-US" w:eastAsia="zh-CN"/>
        </w:rPr>
        <w:t>。其主办杂志</w:t>
      </w:r>
      <w:r>
        <w:rPr>
          <w:rFonts w:hint="eastAsia" w:ascii="仿宋_GB2312" w:eastAsia="仿宋_GB2312" w:cs="仿宋_GB2312"/>
          <w:sz w:val="32"/>
          <w:szCs w:val="32"/>
          <w:lang w:bidi="ar-SA"/>
        </w:rPr>
        <w:t>《当代县域经济》是全国公开发行的唯一专注于深度研究和宣传县域经济的高端专业期刊</w:t>
      </w:r>
      <w:r>
        <w:rPr>
          <w:rFonts w:hint="eastAsia" w:ascii="仿宋_GB2312" w:eastAsia="仿宋_GB2312" w:cs="仿宋_GB2312"/>
          <w:sz w:val="32"/>
          <w:szCs w:val="32"/>
          <w:lang w:eastAsia="zh-CN" w:bidi="ar-SA"/>
        </w:rPr>
        <w:t>，</w:t>
      </w:r>
      <w:r>
        <w:rPr>
          <w:rFonts w:hint="eastAsia" w:ascii="仿宋_GB2312" w:eastAsia="仿宋_GB2312" w:cs="仿宋_GB2312"/>
          <w:sz w:val="32"/>
          <w:szCs w:val="32"/>
          <w:lang w:bidi="ar-SA"/>
        </w:rPr>
        <w:t>以宣传政策、探讨理论、推广经验、引导发展为办刊宗旨，致力于打造学术交流园地、最权威的政策解读窗口、最有效的宣传展示平台。2018以来，连续5年被国家哲学社会科学文献中心评为全国最受欢迎经济期刊。</w:t>
      </w:r>
    </w:p>
    <w:p w14:paraId="6B9E1661">
      <w:pPr>
        <w:adjustRightInd w:val="0"/>
        <w:snapToGrid w:val="0"/>
        <w:spacing w:line="578" w:lineRule="exact"/>
        <w:ind w:firstLine="643" w:firstLineChars="200"/>
        <w:rPr>
          <w:rFonts w:ascii="楷体_GB2312" w:hAnsi="宋体" w:eastAsia="楷体_GB2312"/>
          <w:b/>
          <w:color w:val="FF0000"/>
          <w:sz w:val="32"/>
          <w:szCs w:val="32"/>
          <w:highlight w:val="none"/>
          <w:u w:val="none"/>
          <w:lang w:val="zh-CN"/>
        </w:rPr>
      </w:pPr>
      <w:r>
        <w:rPr>
          <w:rFonts w:hint="eastAsia" w:ascii="楷体_GB2312" w:hAnsi="宋体" w:eastAsia="楷体_GB2312"/>
          <w:b/>
          <w:color w:val="auto"/>
          <w:sz w:val="32"/>
          <w:szCs w:val="32"/>
          <w:highlight w:val="none"/>
          <w:u w:val="none"/>
          <w:lang w:val="zh-CN"/>
        </w:rPr>
        <w:t>（</w:t>
      </w:r>
      <w:r>
        <w:rPr>
          <w:rFonts w:hint="eastAsia" w:ascii="楷体_GB2312" w:hAnsi="宋体" w:eastAsia="楷体_GB2312" w:cs="Times New Roman"/>
          <w:b/>
          <w:color w:val="auto"/>
          <w:sz w:val="32"/>
          <w:szCs w:val="32"/>
          <w:highlight w:val="none"/>
          <w:u w:val="none"/>
          <w:lang w:val="zh-CN"/>
        </w:rPr>
        <w:t>二）</w:t>
      </w:r>
      <w:r>
        <w:rPr>
          <w:rFonts w:hint="default" w:ascii="楷体_GB2312" w:hAnsi="宋体" w:eastAsia="楷体_GB2312" w:cs="Times New Roman"/>
          <w:b/>
          <w:color w:val="auto"/>
          <w:sz w:val="32"/>
          <w:szCs w:val="32"/>
          <w:highlight w:val="none"/>
          <w:u w:val="none"/>
          <w:lang w:val="en-US" w:eastAsia="zh-CN"/>
        </w:rPr>
        <w:t>实施目的及支持方向</w:t>
      </w:r>
      <w:r>
        <w:rPr>
          <w:rFonts w:hint="eastAsia" w:ascii="楷体_GB2312" w:hAnsi="宋体" w:eastAsia="楷体_GB2312" w:cs="Times New Roman"/>
          <w:b/>
          <w:color w:val="auto"/>
          <w:sz w:val="32"/>
          <w:szCs w:val="32"/>
          <w:highlight w:val="none"/>
          <w:u w:val="none"/>
          <w:lang w:val="en-US" w:eastAsia="zh-CN"/>
        </w:rPr>
        <w:t>。</w:t>
      </w:r>
      <w:r>
        <w:rPr>
          <w:rFonts w:hint="eastAsia" w:ascii="仿宋_GB2312" w:hAnsi="仿宋_GB2312" w:eastAsia="仿宋_GB2312" w:cs="仿宋_GB2312"/>
          <w:color w:val="auto"/>
          <w:kern w:val="0"/>
          <w:sz w:val="32"/>
          <w:szCs w:val="32"/>
          <w:highlight w:val="none"/>
          <w:u w:val="none"/>
          <w:shd w:val="clear" w:color="auto" w:fill="FFFFFF"/>
          <w:lang w:val="en-US" w:eastAsia="zh-CN"/>
        </w:rPr>
        <w:t>为推动县域经济高质量发展，</w:t>
      </w:r>
      <w:r>
        <w:rPr>
          <w:rFonts w:hint="eastAsia" w:ascii="仿宋_GB2312" w:hAnsi="仿宋_GB2312" w:cs="仿宋_GB2312"/>
          <w:color w:val="auto"/>
          <w:kern w:val="0"/>
          <w:sz w:val="32"/>
          <w:szCs w:val="32"/>
          <w:highlight w:val="none"/>
          <w:u w:val="none"/>
          <w:shd w:val="clear" w:color="auto" w:fill="FFFFFF"/>
          <w:lang w:val="en-US" w:eastAsia="zh-CN"/>
        </w:rPr>
        <w:t>加大我市县域发展宣传力度，</w:t>
      </w:r>
      <w:r>
        <w:rPr>
          <w:rFonts w:hint="eastAsia" w:ascii="仿宋_GB2312" w:hAnsi="仿宋_GB2312" w:eastAsia="仿宋_GB2312" w:cs="仿宋_GB2312"/>
          <w:color w:val="auto"/>
          <w:kern w:val="0"/>
          <w:sz w:val="32"/>
          <w:szCs w:val="32"/>
          <w:highlight w:val="none"/>
          <w:u w:val="none"/>
          <w:shd w:val="clear" w:color="auto" w:fill="FFFFFF"/>
          <w:lang w:val="en-US" w:eastAsia="zh-CN"/>
        </w:rPr>
        <w:t>我市与四川省县域经济学会签订服务协议，为我市在其主办的《当代县域经济》《县域经济》杂志上刊发我市城市形象广告，宣传报道我市县域经济发展，</w:t>
      </w:r>
      <w:r>
        <w:rPr>
          <w:rFonts w:hint="eastAsia" w:ascii="仿宋_GB2312" w:hAnsi="仿宋_GB2312" w:cs="仿宋_GB2312"/>
          <w:color w:val="auto"/>
          <w:kern w:val="0"/>
          <w:sz w:val="32"/>
          <w:szCs w:val="32"/>
          <w:highlight w:val="none"/>
          <w:u w:val="none"/>
          <w:shd w:val="clear" w:color="auto" w:fill="FFFFFF"/>
          <w:lang w:val="en-US" w:eastAsia="zh-CN"/>
        </w:rPr>
        <w:t>并</w:t>
      </w:r>
      <w:r>
        <w:rPr>
          <w:rFonts w:hint="eastAsia" w:ascii="仿宋_GB2312" w:hAnsi="仿宋_GB2312" w:eastAsia="仿宋_GB2312" w:cs="仿宋_GB2312"/>
          <w:color w:val="auto"/>
          <w:kern w:val="0"/>
          <w:sz w:val="32"/>
          <w:szCs w:val="32"/>
          <w:highlight w:val="none"/>
          <w:u w:val="none"/>
          <w:shd w:val="clear" w:color="auto" w:fill="FFFFFF"/>
          <w:lang w:val="en-US" w:eastAsia="zh-CN"/>
        </w:rPr>
        <w:t>提供专家咨询调研等服务。</w:t>
      </w:r>
    </w:p>
    <w:p w14:paraId="07F4AD13">
      <w:pPr>
        <w:adjustRightInd w:val="0"/>
        <w:snapToGrid w:val="0"/>
        <w:spacing w:line="576" w:lineRule="exact"/>
        <w:ind w:firstLine="720"/>
        <w:rPr>
          <w:rFonts w:hint="default" w:ascii="仿宋_GB2312" w:hAnsi="仿宋_GB2312" w:cs="仿宋_GB2312"/>
          <w:color w:val="FF0000"/>
          <w:kern w:val="0"/>
          <w:sz w:val="32"/>
          <w:szCs w:val="32"/>
          <w:highlight w:val="none"/>
          <w:u w:val="none"/>
          <w:shd w:val="clear" w:color="auto" w:fill="FFFFFF"/>
          <w:lang w:val="en-US"/>
        </w:rPr>
      </w:pPr>
      <w:r>
        <w:rPr>
          <w:rFonts w:hint="eastAsia" w:ascii="楷体_GB2312" w:hAnsi="宋体" w:eastAsia="楷体_GB2312" w:cs="Times New Roman"/>
          <w:b/>
          <w:color w:val="auto"/>
          <w:sz w:val="32"/>
          <w:szCs w:val="32"/>
          <w:highlight w:val="none"/>
          <w:u w:val="none"/>
          <w:lang w:val="zh-CN" w:eastAsia="zh-CN"/>
        </w:rPr>
        <w:t>（三）</w:t>
      </w:r>
      <w:r>
        <w:rPr>
          <w:rFonts w:hint="default" w:ascii="楷体_GB2312" w:hAnsi="宋体" w:eastAsia="楷体_GB2312" w:cs="Times New Roman"/>
          <w:b/>
          <w:color w:val="auto"/>
          <w:sz w:val="32"/>
          <w:szCs w:val="32"/>
          <w:highlight w:val="none"/>
          <w:u w:val="none"/>
          <w:lang w:val="en-US" w:eastAsia="zh-CN"/>
        </w:rPr>
        <w:t>预算安排及分配管理</w:t>
      </w:r>
      <w:r>
        <w:rPr>
          <w:rFonts w:hint="eastAsia" w:ascii="楷体_GB2312" w:hAnsi="宋体" w:eastAsia="楷体_GB2312" w:cs="Times New Roman"/>
          <w:b/>
          <w:color w:val="auto"/>
          <w:sz w:val="32"/>
          <w:szCs w:val="32"/>
          <w:highlight w:val="none"/>
          <w:u w:val="none"/>
          <w:lang w:val="zh-CN" w:eastAsia="zh-CN"/>
        </w:rPr>
        <w:t>。</w:t>
      </w:r>
      <w:r>
        <w:rPr>
          <w:rFonts w:hint="eastAsia" w:ascii="仿宋_GB2312" w:eastAsia="仿宋_GB2312" w:cs="仿宋_GB2312"/>
          <w:sz w:val="32"/>
          <w:szCs w:val="32"/>
          <w:lang w:bidi="ar-SA"/>
        </w:rPr>
        <w:t>市政府为省县域经济学会常务理事单位，</w:t>
      </w:r>
      <w:r>
        <w:rPr>
          <w:rFonts w:hint="eastAsia" w:ascii="仿宋_GB2312" w:eastAsia="仿宋_GB2312" w:cs="仿宋_GB2312"/>
          <w:sz w:val="32"/>
          <w:szCs w:val="32"/>
          <w:lang w:eastAsia="zh-CN" w:bidi="ar-SA"/>
        </w:rPr>
        <w:t>需</w:t>
      </w:r>
      <w:r>
        <w:rPr>
          <w:rFonts w:hint="eastAsia" w:ascii="仿宋_GB2312" w:eastAsia="仿宋_GB2312" w:cs="仿宋_GB2312"/>
          <w:sz w:val="32"/>
          <w:szCs w:val="32"/>
          <w:lang w:bidi="ar-SA"/>
        </w:rPr>
        <w:t>每年</w:t>
      </w:r>
      <w:r>
        <w:rPr>
          <w:rFonts w:hint="eastAsia" w:ascii="仿宋_GB2312" w:eastAsia="仿宋_GB2312" w:cs="仿宋_GB2312"/>
          <w:sz w:val="32"/>
          <w:szCs w:val="32"/>
          <w:lang w:eastAsia="zh-CN" w:bidi="ar-SA"/>
        </w:rPr>
        <w:t>缴纳</w:t>
      </w:r>
      <w:r>
        <w:rPr>
          <w:rFonts w:hint="eastAsia" w:ascii="仿宋_GB2312" w:eastAsia="仿宋_GB2312" w:cs="仿宋_GB2312"/>
          <w:sz w:val="32"/>
          <w:szCs w:val="32"/>
          <w:lang w:bidi="ar-SA"/>
        </w:rPr>
        <w:t>会费1.5万元，</w:t>
      </w:r>
      <w:r>
        <w:rPr>
          <w:rFonts w:hint="eastAsia" w:ascii="仿宋_GB2312" w:eastAsia="仿宋_GB2312" w:cs="仿宋_GB2312"/>
          <w:sz w:val="32"/>
          <w:szCs w:val="32"/>
          <w:lang w:eastAsia="zh-CN" w:bidi="ar-SA"/>
        </w:rPr>
        <w:t>市政府有关领导要求我委支付。</w:t>
      </w:r>
      <w:r>
        <w:rPr>
          <w:rFonts w:hint="eastAsia" w:ascii="仿宋_GB2312" w:eastAsia="仿宋_GB2312" w:cs="仿宋_GB2312"/>
          <w:sz w:val="32"/>
          <w:szCs w:val="32"/>
          <w:lang w:bidi="ar-SA"/>
        </w:rPr>
        <w:t>根据省县域经济学会《</w:t>
      </w:r>
      <w:r>
        <w:rPr>
          <w:rFonts w:hint="eastAsia" w:ascii="仿宋_GB2312" w:eastAsia="仿宋_GB2312"/>
          <w:sz w:val="32"/>
          <w:szCs w:val="32"/>
        </w:rPr>
        <w:t>关于将广元市确定为四川省县域经济学会调研基地的函</w:t>
      </w:r>
      <w:r>
        <w:rPr>
          <w:rFonts w:hint="eastAsia" w:ascii="仿宋_GB2312" w:eastAsia="仿宋_GB2312" w:cs="仿宋_GB2312"/>
          <w:sz w:val="32"/>
          <w:szCs w:val="32"/>
          <w:lang w:bidi="ar-SA"/>
        </w:rPr>
        <w:t>》，我市从2023年起连续3年被确定为省县域经济学会调研基地，并协办《当代县域经济》《县域经济》杂志，年服务费10万元，</w:t>
      </w:r>
      <w:r>
        <w:rPr>
          <w:rFonts w:hint="eastAsia" w:ascii="仿宋_GB2312" w:eastAsia="仿宋_GB2312" w:cs="仿宋_GB2312"/>
          <w:sz w:val="32"/>
          <w:szCs w:val="32"/>
          <w:lang w:eastAsia="zh-CN" w:bidi="ar-SA"/>
        </w:rPr>
        <w:t>需支付</w:t>
      </w:r>
      <w:r>
        <w:rPr>
          <w:rFonts w:hint="eastAsia" w:ascii="仿宋_GB2312" w:eastAsia="仿宋_GB2312"/>
          <w:sz w:val="32"/>
          <w:szCs w:val="32"/>
        </w:rPr>
        <w:t>2022年10月至2023年9月服务费10万元。</w:t>
      </w:r>
      <w:r>
        <w:rPr>
          <w:rFonts w:hint="eastAsia" w:ascii="仿宋_GB2312" w:eastAsia="仿宋_GB2312" w:cs="仿宋_GB2312"/>
          <w:sz w:val="32"/>
          <w:szCs w:val="32"/>
          <w:lang w:eastAsia="zh-CN" w:bidi="ar-SA"/>
        </w:rPr>
        <w:t>以上两笔费用，需向</w:t>
      </w:r>
      <w:r>
        <w:rPr>
          <w:rFonts w:hint="eastAsia" w:ascii="仿宋_GB2312" w:eastAsia="仿宋_GB2312" w:cs="仿宋_GB2312"/>
          <w:sz w:val="32"/>
          <w:szCs w:val="32"/>
          <w:lang w:bidi="ar-SA"/>
        </w:rPr>
        <w:t>省县域经济学会</w:t>
      </w:r>
      <w:r>
        <w:rPr>
          <w:rFonts w:hint="eastAsia" w:ascii="仿宋_GB2312" w:eastAsia="仿宋_GB2312" w:cs="仿宋_GB2312"/>
          <w:sz w:val="32"/>
          <w:szCs w:val="32"/>
          <w:lang w:eastAsia="zh-CN" w:bidi="ar-SA"/>
        </w:rPr>
        <w:t>缴纳</w:t>
      </w:r>
      <w:r>
        <w:rPr>
          <w:rFonts w:hint="eastAsia" w:ascii="仿宋_GB2312" w:eastAsia="仿宋_GB2312"/>
          <w:sz w:val="32"/>
          <w:szCs w:val="32"/>
        </w:rPr>
        <w:t>合计11.5万元。</w:t>
      </w:r>
      <w:r>
        <w:rPr>
          <w:rFonts w:hint="eastAsia" w:ascii="仿宋_GB2312" w:hAnsi="仿宋_GB2312" w:cs="仿宋_GB2312"/>
          <w:kern w:val="2"/>
          <w:position w:val="0"/>
          <w:sz w:val="32"/>
          <w:szCs w:val="32"/>
          <w:lang w:val="en-US" w:eastAsia="zh-CN" w:bidi="ar-SA"/>
        </w:rPr>
        <w:t>截止2023年12月完成11.5万元费用支付。</w:t>
      </w:r>
    </w:p>
    <w:p w14:paraId="489621ED">
      <w:pPr>
        <w:numPr>
          <w:ilvl w:val="0"/>
          <w:numId w:val="0"/>
        </w:numPr>
        <w:adjustRightInd w:val="0"/>
        <w:snapToGrid w:val="0"/>
        <w:spacing w:line="578" w:lineRule="exact"/>
        <w:ind w:firstLine="643" w:firstLineChars="200"/>
        <w:rPr>
          <w:rFonts w:hint="default" w:ascii="仿宋_GB2312" w:hAnsi="仿宋_GB2312" w:cs="仿宋_GB2312"/>
          <w:color w:val="auto"/>
          <w:kern w:val="0"/>
          <w:sz w:val="32"/>
          <w:szCs w:val="32"/>
          <w:highlight w:val="none"/>
          <w:u w:val="none"/>
          <w:shd w:val="clear" w:color="auto" w:fill="FFFFFF"/>
          <w:lang w:val="zh-CN" w:eastAsia="zh-CN"/>
        </w:rPr>
      </w:pPr>
      <w:r>
        <w:rPr>
          <w:rFonts w:hint="eastAsia" w:ascii="楷体_GB2312" w:hAnsi="宋体" w:eastAsia="楷体_GB2312" w:cs="Times New Roman"/>
          <w:b/>
          <w:color w:val="auto"/>
          <w:sz w:val="32"/>
          <w:szCs w:val="32"/>
          <w:highlight w:val="none"/>
          <w:u w:val="none"/>
          <w:lang w:val="zh-CN" w:eastAsia="zh-CN"/>
        </w:rPr>
        <w:t>（四）项目绩效目标设置。</w:t>
      </w:r>
      <w:r>
        <w:rPr>
          <w:rFonts w:hint="eastAsia" w:ascii="仿宋_GB2312" w:hAnsi="仿宋_GB2312" w:cs="仿宋_GB2312"/>
          <w:color w:val="auto"/>
          <w:kern w:val="0"/>
          <w:sz w:val="32"/>
          <w:szCs w:val="32"/>
          <w:highlight w:val="none"/>
          <w:u w:val="none"/>
          <w:shd w:val="clear" w:color="auto" w:fill="FFFFFF"/>
          <w:lang w:val="zh-CN" w:eastAsia="zh-CN"/>
        </w:rPr>
        <w:t>从质量、数量、效益、满意度和成本方面共设置</w:t>
      </w:r>
      <w:r>
        <w:rPr>
          <w:rFonts w:hint="eastAsia" w:ascii="仿宋_GB2312" w:hAnsi="仿宋_GB2312" w:cs="仿宋_GB2312"/>
          <w:color w:val="auto"/>
          <w:kern w:val="0"/>
          <w:sz w:val="32"/>
          <w:szCs w:val="32"/>
          <w:highlight w:val="none"/>
          <w:u w:val="none"/>
          <w:shd w:val="clear" w:color="auto" w:fill="FFFFFF"/>
          <w:lang w:val="en-US" w:eastAsia="zh-CN"/>
        </w:rPr>
        <w:t>8个三级指标</w:t>
      </w:r>
      <w:r>
        <w:rPr>
          <w:rFonts w:hint="eastAsia" w:ascii="仿宋_GB2312" w:hAnsi="仿宋_GB2312" w:cs="仿宋_GB2312"/>
          <w:color w:val="auto"/>
          <w:kern w:val="0"/>
          <w:sz w:val="32"/>
          <w:szCs w:val="32"/>
          <w:highlight w:val="none"/>
          <w:u w:val="none"/>
          <w:shd w:val="clear" w:color="auto" w:fill="FFFFFF"/>
          <w:lang w:val="zh-CN" w:eastAsia="zh-CN"/>
        </w:rPr>
        <w:t>，包含刊登城市形象、专题采访宣传、宣传质量、完成时间、提升我市县域经济影响力、为我市县域经济高质量发展出谋划策、社会公众满意度和年度会费、服务费用。定期统计县域经济学会来我市调研采访、建言献策以及宣传工作等事项开展情况。</w:t>
      </w:r>
    </w:p>
    <w:p w14:paraId="7E4A2FDB">
      <w:pPr>
        <w:keepNext w:val="0"/>
        <w:keepLines w:val="0"/>
        <w:pageBreakBefore w:val="0"/>
        <w:widowControl w:val="0"/>
        <w:kinsoku/>
        <w:wordWrap/>
        <w:overflowPunct/>
        <w:topLinePunct w:val="0"/>
        <w:autoSpaceDE/>
        <w:autoSpaceDN/>
        <w:bidi w:val="0"/>
        <w:adjustRightInd w:val="0"/>
        <w:snapToGrid w:val="0"/>
        <w:spacing w:line="578" w:lineRule="exact"/>
        <w:ind w:firstLine="420" w:firstLineChars="200"/>
        <w:textAlignment w:val="auto"/>
        <w:outlineLvl w:val="9"/>
        <w:rPr>
          <w:rFonts w:hint="eastAsia" w:ascii="黑体" w:hAnsi="宋体" w:eastAsia="黑体"/>
          <w:highlight w:val="none"/>
          <w:lang w:eastAsia="zh-CN"/>
        </w:rPr>
      </w:pPr>
      <w:r>
        <w:rPr>
          <w:rFonts w:hint="eastAsia" w:ascii="黑体" w:hAnsi="宋体" w:eastAsia="黑体"/>
          <w:highlight w:val="none"/>
        </w:rPr>
        <w:t>二、</w:t>
      </w:r>
      <w:r>
        <w:rPr>
          <w:rFonts w:hint="eastAsia" w:ascii="黑体" w:hAnsi="宋体" w:eastAsia="黑体"/>
          <w:highlight w:val="none"/>
          <w:lang w:eastAsia="zh-CN"/>
        </w:rPr>
        <w:t>评价实施</w:t>
      </w:r>
    </w:p>
    <w:p w14:paraId="558028E3">
      <w:pPr>
        <w:snapToGrid w:val="0"/>
        <w:spacing w:line="600" w:lineRule="exact"/>
        <w:ind w:firstLine="643" w:firstLineChars="200"/>
        <w:jc w:val="left"/>
        <w:rPr>
          <w:rFonts w:hint="eastAsia" w:ascii="仿宋_GB2312" w:hAnsi="仿宋_GB2312" w:eastAsia="宋体" w:cs="仿宋_GB2312"/>
          <w:color w:val="auto"/>
          <w:kern w:val="0"/>
          <w:sz w:val="32"/>
          <w:szCs w:val="32"/>
          <w:highlight w:val="none"/>
          <w:u w:val="none"/>
          <w:shd w:val="clear" w:color="auto" w:fill="FFFFFF"/>
          <w:lang w:val="zh-CN" w:eastAsia="zh-CN"/>
        </w:rPr>
      </w:pPr>
      <w:r>
        <w:rPr>
          <w:rFonts w:hint="eastAsia" w:ascii="楷体_GB2312" w:hAnsi="宋体" w:eastAsia="楷体_GB2312"/>
          <w:b/>
          <w:color w:val="auto"/>
          <w:sz w:val="32"/>
          <w:szCs w:val="32"/>
          <w:highlight w:val="none"/>
          <w:u w:val="none"/>
          <w:lang w:val="zh-CN"/>
        </w:rPr>
        <w:t>（一）评价目的。</w:t>
      </w:r>
      <w:r>
        <w:rPr>
          <w:rFonts w:hint="eastAsia" w:ascii="仿宋_GB2312" w:hAnsi="仿宋_GB2312" w:eastAsia="宋体" w:cs="仿宋_GB2312"/>
          <w:color w:val="auto"/>
          <w:kern w:val="0"/>
          <w:sz w:val="32"/>
          <w:szCs w:val="32"/>
          <w:highlight w:val="none"/>
          <w:u w:val="none"/>
          <w:shd w:val="clear" w:color="auto" w:fill="FFFFFF"/>
          <w:lang w:val="zh-CN" w:eastAsia="zh-CN"/>
        </w:rPr>
        <w:t>通过绩效评估将绩效管理关口前移，为项目设立和预算安排提供重要参考依据，提高预算编制科学性、合理性，优化财政支出结构，从源头上防控财政资源配置的低效无效，提高财政资源配置效率和财政资金使用效益。</w:t>
      </w:r>
    </w:p>
    <w:p w14:paraId="1E212E17">
      <w:pPr>
        <w:keepNext w:val="0"/>
        <w:keepLines w:val="0"/>
        <w:pageBreakBefore w:val="0"/>
        <w:widowControl w:val="0"/>
        <w:kinsoku/>
        <w:wordWrap/>
        <w:overflowPunct/>
        <w:topLinePunct w:val="0"/>
        <w:autoSpaceDE/>
        <w:autoSpaceDN/>
        <w:bidi w:val="0"/>
        <w:adjustRightInd w:val="0"/>
        <w:snapToGrid w:val="0"/>
        <w:spacing w:line="578" w:lineRule="exact"/>
        <w:ind w:left="0" w:leftChars="0" w:firstLine="643" w:firstLineChars="200"/>
        <w:textAlignment w:val="auto"/>
        <w:outlineLvl w:val="9"/>
        <w:rPr>
          <w:rFonts w:hint="eastAsia" w:ascii="仿宋_GB2312" w:hAnsi="仿宋_GB2312" w:eastAsia="宋体" w:cs="仿宋_GB2312"/>
          <w:color w:val="auto"/>
          <w:kern w:val="0"/>
          <w:sz w:val="32"/>
          <w:szCs w:val="32"/>
          <w:highlight w:val="none"/>
          <w:u w:val="none"/>
          <w:shd w:val="clear" w:color="auto" w:fill="FFFFFF"/>
          <w:lang w:val="en-US" w:eastAsia="zh-CN"/>
        </w:rPr>
      </w:pPr>
      <w:r>
        <w:rPr>
          <w:rFonts w:hint="eastAsia" w:ascii="楷体_GB2312" w:hAnsi="宋体" w:eastAsia="楷体_GB2312"/>
          <w:b/>
          <w:color w:val="auto"/>
          <w:sz w:val="32"/>
          <w:szCs w:val="32"/>
          <w:highlight w:val="none"/>
          <w:u w:val="none"/>
          <w:lang w:val="zh-CN"/>
        </w:rPr>
        <w:t>（二）预设问题及评价重点。</w:t>
      </w:r>
      <w:r>
        <w:rPr>
          <w:rFonts w:hint="eastAsia" w:ascii="仿宋_GB2312" w:hAnsi="仿宋_GB2312" w:eastAsia="宋体" w:cs="仿宋_GB2312"/>
          <w:color w:val="auto"/>
          <w:kern w:val="0"/>
          <w:sz w:val="32"/>
          <w:szCs w:val="32"/>
          <w:highlight w:val="none"/>
          <w:u w:val="none"/>
          <w:shd w:val="clear" w:color="auto" w:fill="FFFFFF"/>
          <w:lang w:val="zh-CN" w:eastAsia="zh-CN"/>
        </w:rPr>
        <w:t>按照绩效评价指标体系，对资金支出使用全过程及其实施效果进行综合评价和判断。</w:t>
      </w:r>
    </w:p>
    <w:p w14:paraId="42637F0C">
      <w:pPr>
        <w:keepNext w:val="0"/>
        <w:keepLines w:val="0"/>
        <w:pageBreakBefore w:val="0"/>
        <w:widowControl w:val="0"/>
        <w:kinsoku/>
        <w:wordWrap/>
        <w:overflowPunct/>
        <w:topLinePunct w:val="0"/>
        <w:autoSpaceDE/>
        <w:autoSpaceDN/>
        <w:bidi w:val="0"/>
        <w:adjustRightInd w:val="0"/>
        <w:snapToGrid w:val="0"/>
        <w:spacing w:line="578" w:lineRule="exact"/>
        <w:ind w:left="0" w:leftChars="0" w:firstLine="643" w:firstLineChars="200"/>
        <w:textAlignment w:val="auto"/>
        <w:outlineLvl w:val="9"/>
        <w:rPr>
          <w:rFonts w:hint="eastAsia" w:ascii="仿宋_GB2312" w:hAnsi="仿宋_GB2312" w:eastAsia="宋体" w:cs="仿宋_GB2312"/>
          <w:color w:val="auto"/>
          <w:kern w:val="0"/>
          <w:sz w:val="32"/>
          <w:szCs w:val="32"/>
          <w:highlight w:val="none"/>
          <w:u w:val="none"/>
          <w:shd w:val="clear" w:color="auto" w:fill="FFFFFF"/>
          <w:lang w:val="zh-CN" w:eastAsia="zh-CN"/>
        </w:rPr>
      </w:pPr>
      <w:r>
        <w:rPr>
          <w:rFonts w:hint="eastAsia" w:ascii="楷体_GB2312" w:hAnsi="宋体" w:eastAsia="楷体_GB2312"/>
          <w:b/>
          <w:color w:val="auto"/>
          <w:sz w:val="32"/>
          <w:szCs w:val="32"/>
          <w:highlight w:val="none"/>
          <w:u w:val="none"/>
          <w:lang w:val="en-US" w:eastAsia="zh-CN"/>
        </w:rPr>
        <w:t>（三）</w:t>
      </w:r>
      <w:r>
        <w:rPr>
          <w:rFonts w:hint="eastAsia" w:ascii="楷体_GB2312" w:hAnsi="宋体" w:eastAsia="楷体_GB2312"/>
          <w:b/>
          <w:color w:val="auto"/>
          <w:sz w:val="32"/>
          <w:szCs w:val="32"/>
          <w:highlight w:val="none"/>
          <w:u w:val="none"/>
          <w:lang w:val="zh-CN"/>
        </w:rPr>
        <w:t>评价选点。</w:t>
      </w:r>
      <w:r>
        <w:rPr>
          <w:rFonts w:hint="eastAsia" w:ascii="仿宋_GB2312" w:hAnsi="仿宋_GB2312" w:eastAsia="宋体" w:cs="仿宋_GB2312"/>
          <w:color w:val="auto"/>
          <w:kern w:val="0"/>
          <w:sz w:val="32"/>
          <w:szCs w:val="32"/>
          <w:highlight w:val="none"/>
          <w:u w:val="none"/>
          <w:shd w:val="clear" w:color="auto" w:fill="FFFFFF"/>
          <w:lang w:val="zh-CN" w:eastAsia="zh-CN"/>
        </w:rPr>
        <w:t>项目绩效自评所抽样点位情况。</w:t>
      </w:r>
    </w:p>
    <w:p w14:paraId="39FCD2AE">
      <w:pPr>
        <w:keepNext w:val="0"/>
        <w:keepLines w:val="0"/>
        <w:pageBreakBefore w:val="0"/>
        <w:widowControl w:val="0"/>
        <w:kinsoku/>
        <w:wordWrap/>
        <w:overflowPunct/>
        <w:topLinePunct w:val="0"/>
        <w:autoSpaceDE/>
        <w:autoSpaceDN/>
        <w:bidi w:val="0"/>
        <w:spacing w:line="578" w:lineRule="exact"/>
        <w:ind w:firstLine="640"/>
        <w:textAlignment w:val="auto"/>
        <w:outlineLvl w:val="9"/>
        <w:rPr>
          <w:rFonts w:hint="eastAsia" w:ascii="仿宋_GB2312" w:hAnsi="仿宋_GB2312" w:eastAsia="宋体" w:cs="仿宋_GB2312"/>
          <w:color w:val="auto"/>
          <w:kern w:val="0"/>
          <w:sz w:val="32"/>
          <w:szCs w:val="32"/>
          <w:highlight w:val="none"/>
          <w:u w:val="none"/>
          <w:shd w:val="clear" w:color="auto" w:fill="FFFFFF"/>
          <w:lang w:val="zh-CN" w:eastAsia="zh-CN"/>
        </w:rPr>
      </w:pPr>
      <w:r>
        <w:rPr>
          <w:rFonts w:hint="eastAsia" w:ascii="楷体_GB2312" w:hAnsi="宋体" w:eastAsia="楷体_GB2312"/>
          <w:b/>
          <w:color w:val="auto"/>
          <w:sz w:val="32"/>
          <w:szCs w:val="32"/>
          <w:highlight w:val="none"/>
          <w:u w:val="none"/>
          <w:lang w:val="zh-CN"/>
        </w:rPr>
        <w:t>（四）评价方法。</w:t>
      </w:r>
      <w:r>
        <w:rPr>
          <w:rFonts w:hint="eastAsia" w:ascii="仿宋_GB2312" w:hAnsi="仿宋_GB2312" w:eastAsia="宋体" w:cs="仿宋_GB2312"/>
          <w:color w:val="auto"/>
          <w:kern w:val="0"/>
          <w:sz w:val="32"/>
          <w:szCs w:val="32"/>
          <w:highlight w:val="none"/>
          <w:u w:val="none"/>
          <w:shd w:val="clear" w:color="auto" w:fill="FFFFFF"/>
          <w:lang w:val="zh-CN" w:eastAsia="zh-CN"/>
        </w:rPr>
        <w:t>按照有关规定和工作安排，通过与项目相关人员座谈、讨论、市场调研等方法了解项目情况，收集相关资料，综合分析相关情况后，对项目的立项必要性、投入经济性、目标合理性、方案可行性以及筹资合规性实施评估。</w:t>
      </w:r>
    </w:p>
    <w:p w14:paraId="13FFDFDD">
      <w:pPr>
        <w:keepNext w:val="0"/>
        <w:keepLines w:val="0"/>
        <w:pageBreakBefore w:val="0"/>
        <w:widowControl w:val="0"/>
        <w:kinsoku/>
        <w:wordWrap/>
        <w:overflowPunct/>
        <w:topLinePunct w:val="0"/>
        <w:autoSpaceDE/>
        <w:autoSpaceDN/>
        <w:bidi w:val="0"/>
        <w:spacing w:line="578" w:lineRule="exact"/>
        <w:ind w:firstLine="640"/>
        <w:textAlignment w:val="auto"/>
        <w:outlineLvl w:val="9"/>
        <w:rPr>
          <w:rFonts w:hint="default" w:ascii="仿宋_GB2312" w:hAnsi="仿宋_GB2312" w:eastAsia="宋体" w:cs="仿宋_GB2312"/>
          <w:color w:val="auto"/>
          <w:kern w:val="0"/>
          <w:sz w:val="32"/>
          <w:szCs w:val="32"/>
          <w:highlight w:val="none"/>
          <w:u w:val="none"/>
          <w:shd w:val="clear" w:color="auto" w:fill="FFFFFF"/>
          <w:lang w:val="en-US" w:eastAsia="zh-CN"/>
        </w:rPr>
      </w:pPr>
      <w:r>
        <w:rPr>
          <w:rFonts w:hint="eastAsia" w:ascii="仿宋_GB2312" w:hAnsi="仿宋_GB2312" w:eastAsia="宋体" w:cs="仿宋_GB2312"/>
          <w:color w:val="auto"/>
          <w:kern w:val="0"/>
          <w:sz w:val="32"/>
          <w:szCs w:val="32"/>
          <w:highlight w:val="none"/>
          <w:u w:val="none"/>
          <w:shd w:val="clear" w:color="auto" w:fill="FFFFFF"/>
          <w:lang w:val="en-US" w:eastAsia="zh-CN"/>
        </w:rPr>
        <w:t>2023年</w:t>
      </w:r>
      <w:r>
        <w:rPr>
          <w:rFonts w:hint="eastAsia" w:ascii="仿宋_GB2312" w:hAnsi="仿宋_GB2312" w:eastAsia="宋体" w:cs="仿宋_GB2312"/>
          <w:color w:val="auto"/>
          <w:kern w:val="0"/>
          <w:sz w:val="32"/>
          <w:szCs w:val="32"/>
          <w:highlight w:val="none"/>
          <w:u w:val="none"/>
          <w:shd w:val="clear" w:color="auto" w:fill="FFFFFF"/>
          <w:lang w:val="zh-CN" w:eastAsia="zh-CN"/>
        </w:rPr>
        <w:t>9月26日，我委向市财政局提交了《关于解决省县域经济学会年度会费、服务费的函》。</w:t>
      </w:r>
      <w:r>
        <w:rPr>
          <w:rFonts w:hint="eastAsia" w:ascii="仿宋_GB2312" w:hAnsi="仿宋_GB2312" w:eastAsia="宋体" w:cs="仿宋_GB2312"/>
          <w:color w:val="auto"/>
          <w:kern w:val="0"/>
          <w:sz w:val="32"/>
          <w:szCs w:val="32"/>
          <w:highlight w:val="none"/>
          <w:u w:val="none"/>
          <w:shd w:val="clear" w:color="auto" w:fill="FFFFFF"/>
          <w:lang w:val="en-US" w:eastAsia="zh-CN"/>
        </w:rPr>
        <w:t>2023年11月14日，董里市长对市财政局提交的</w:t>
      </w:r>
      <w:r>
        <w:rPr>
          <w:rFonts w:hint="eastAsia" w:ascii="仿宋_GB2312" w:hAnsi="仿宋_GB2312" w:eastAsia="宋体" w:cs="仿宋_GB2312"/>
          <w:color w:val="auto"/>
          <w:kern w:val="0"/>
          <w:sz w:val="32"/>
          <w:szCs w:val="32"/>
          <w:highlight w:val="none"/>
          <w:u w:val="none"/>
          <w:shd w:val="clear" w:color="auto" w:fill="FFFFFF"/>
          <w:lang w:val="zh-CN" w:eastAsia="zh-CN"/>
        </w:rPr>
        <w:t>解决省县域经济学会年度会费、服务费的事宜签批同意。</w:t>
      </w:r>
      <w:r>
        <w:rPr>
          <w:rFonts w:hint="eastAsia" w:ascii="仿宋_GB2312" w:hAnsi="仿宋_GB2312" w:eastAsia="宋体" w:cs="仿宋_GB2312"/>
          <w:color w:val="auto"/>
          <w:kern w:val="0"/>
          <w:sz w:val="32"/>
          <w:szCs w:val="32"/>
          <w:highlight w:val="none"/>
          <w:u w:val="none"/>
          <w:shd w:val="clear" w:color="auto" w:fill="FFFFFF"/>
          <w:lang w:val="en-US" w:eastAsia="zh-CN"/>
        </w:rPr>
        <w:t>2023年12月，经委党组会议审定后支付。</w:t>
      </w:r>
    </w:p>
    <w:p w14:paraId="03EB037E">
      <w:pPr>
        <w:adjustRightInd w:val="0"/>
        <w:snapToGrid w:val="0"/>
        <w:spacing w:line="520" w:lineRule="exact"/>
        <w:ind w:firstLine="643" w:firstLineChars="200"/>
        <w:rPr>
          <w:rFonts w:hint="default" w:ascii="仿宋_GB2312" w:hAnsi="仿宋_GB2312" w:eastAsia="宋体" w:cs="仿宋_GB2312"/>
          <w:color w:val="auto"/>
          <w:kern w:val="0"/>
          <w:sz w:val="32"/>
          <w:szCs w:val="32"/>
          <w:highlight w:val="none"/>
          <w:u w:val="none"/>
          <w:shd w:val="clear" w:color="auto" w:fill="FFFFFF"/>
          <w:lang w:val="en-US" w:eastAsia="zh-CN"/>
        </w:rPr>
      </w:pPr>
      <w:r>
        <w:rPr>
          <w:rFonts w:hint="eastAsia" w:ascii="楷体_GB2312" w:hAnsi="宋体" w:eastAsia="楷体_GB2312"/>
          <w:b/>
          <w:color w:val="auto"/>
          <w:sz w:val="32"/>
          <w:szCs w:val="32"/>
          <w:highlight w:val="none"/>
          <w:u w:val="none"/>
          <w:lang w:val="zh-CN"/>
        </w:rPr>
        <w:t>（五）评价组织。</w:t>
      </w:r>
      <w:r>
        <w:rPr>
          <w:rFonts w:hint="eastAsia" w:ascii="仿宋_GB2312" w:hAnsi="仿宋_GB2312" w:eastAsia="宋体" w:cs="仿宋_GB2312"/>
          <w:color w:val="auto"/>
          <w:kern w:val="0"/>
          <w:sz w:val="32"/>
          <w:szCs w:val="32"/>
          <w:highlight w:val="none"/>
          <w:u w:val="none"/>
          <w:shd w:val="clear" w:color="auto" w:fill="FFFFFF"/>
          <w:lang w:val="zh-CN" w:eastAsia="zh-CN"/>
        </w:rPr>
        <w:t>县域经济发展与开发区科牵头加强与县域经济学会对接联系，确保项目有序开展。</w:t>
      </w:r>
    </w:p>
    <w:p w14:paraId="3425E468">
      <w:pPr>
        <w:keepNext w:val="0"/>
        <w:keepLines w:val="0"/>
        <w:pageBreakBefore w:val="0"/>
        <w:kinsoku/>
        <w:wordWrap/>
        <w:overflowPunct/>
        <w:topLinePunct w:val="0"/>
        <w:autoSpaceDE/>
        <w:autoSpaceDN/>
        <w:bidi w:val="0"/>
        <w:adjustRightInd w:val="0"/>
        <w:snapToGrid w:val="0"/>
        <w:spacing w:line="578" w:lineRule="exact"/>
        <w:ind w:firstLine="640" w:firstLineChars="200"/>
        <w:textAlignment w:val="auto"/>
        <w:rPr>
          <w:rFonts w:ascii="仿宋_GB2312" w:hAnsi="宋体"/>
          <w:color w:val="auto"/>
          <w:sz w:val="32"/>
          <w:szCs w:val="32"/>
          <w:highlight w:val="none"/>
          <w:u w:val="none"/>
          <w:lang w:val="zh-CN"/>
        </w:rPr>
      </w:pPr>
      <w:r>
        <w:rPr>
          <w:rFonts w:hint="eastAsia" w:ascii="黑体" w:hAnsi="宋体" w:eastAsia="黑体"/>
          <w:color w:val="auto"/>
          <w:sz w:val="32"/>
          <w:szCs w:val="32"/>
          <w:highlight w:val="none"/>
          <w:u w:val="none"/>
        </w:rPr>
        <w:t>三、</w:t>
      </w:r>
      <w:r>
        <w:rPr>
          <w:rFonts w:hint="eastAsia" w:ascii="黑体" w:hAnsi="宋体" w:eastAsia="黑体"/>
          <w:color w:val="auto"/>
          <w:sz w:val="32"/>
          <w:szCs w:val="32"/>
          <w:highlight w:val="none"/>
          <w:u w:val="none"/>
          <w:lang w:eastAsia="zh-CN"/>
        </w:rPr>
        <w:t>绩效分析</w:t>
      </w:r>
      <w:r>
        <w:rPr>
          <w:rFonts w:hint="eastAsia" w:ascii="仿宋_GB2312" w:hAnsi="宋体"/>
          <w:color w:val="auto"/>
          <w:sz w:val="32"/>
          <w:szCs w:val="32"/>
          <w:highlight w:val="none"/>
          <w:u w:val="none"/>
          <w:lang w:val="zh-CN"/>
        </w:rPr>
        <w:tab/>
      </w:r>
    </w:p>
    <w:p w14:paraId="3CD5379D">
      <w:pPr>
        <w:adjustRightInd w:val="0"/>
        <w:snapToGrid w:val="0"/>
        <w:spacing w:line="520" w:lineRule="exact"/>
        <w:ind w:firstLine="640" w:firstLineChars="200"/>
        <w:rPr>
          <w:rFonts w:hint="eastAsia" w:ascii="仿宋_GB2312" w:hAnsi="仿宋_GB2312" w:eastAsia="宋体" w:cs="仿宋_GB2312"/>
          <w:color w:val="auto"/>
          <w:kern w:val="0"/>
          <w:sz w:val="32"/>
          <w:szCs w:val="32"/>
          <w:highlight w:val="none"/>
          <w:u w:val="none"/>
          <w:shd w:val="clear" w:color="auto" w:fill="FFFFFF"/>
          <w:lang w:val="en-US" w:eastAsia="zh-CN"/>
        </w:rPr>
      </w:pPr>
      <w:r>
        <w:rPr>
          <w:rFonts w:hint="default" w:ascii="仿宋_GB2312" w:hAnsi="仿宋_GB2312" w:eastAsia="宋体" w:cs="仿宋_GB2312"/>
          <w:color w:val="auto"/>
          <w:kern w:val="0"/>
          <w:sz w:val="32"/>
          <w:szCs w:val="32"/>
          <w:highlight w:val="none"/>
          <w:u w:val="none"/>
          <w:shd w:val="clear" w:color="auto" w:fill="FFFFFF"/>
          <w:lang w:val="zh-CN" w:eastAsia="zh-CN"/>
        </w:rPr>
        <w:t>根据</w:t>
      </w:r>
      <w:r>
        <w:rPr>
          <w:rFonts w:hint="eastAsia" w:ascii="仿宋_GB2312" w:hAnsi="仿宋_GB2312" w:eastAsia="宋体" w:cs="仿宋_GB2312"/>
          <w:color w:val="auto"/>
          <w:kern w:val="0"/>
          <w:sz w:val="32"/>
          <w:szCs w:val="32"/>
          <w:highlight w:val="none"/>
          <w:u w:val="none"/>
          <w:shd w:val="clear" w:color="auto" w:fill="FFFFFF"/>
          <w:lang w:val="zh-CN" w:eastAsia="zh-CN"/>
        </w:rPr>
        <w:t>项目</w:t>
      </w:r>
      <w:r>
        <w:rPr>
          <w:rFonts w:hint="default" w:ascii="仿宋_GB2312" w:hAnsi="仿宋_GB2312" w:eastAsia="宋体" w:cs="仿宋_GB2312"/>
          <w:color w:val="auto"/>
          <w:kern w:val="0"/>
          <w:sz w:val="32"/>
          <w:szCs w:val="32"/>
          <w:highlight w:val="none"/>
          <w:u w:val="none"/>
          <w:shd w:val="clear" w:color="auto" w:fill="FFFFFF"/>
          <w:lang w:val="zh-CN" w:eastAsia="zh-CN"/>
        </w:rPr>
        <w:t>预算绩效评价指标体系“</w:t>
      </w:r>
      <w:r>
        <w:rPr>
          <w:rFonts w:hint="eastAsia" w:ascii="仿宋_GB2312" w:hAnsi="仿宋_GB2312" w:eastAsia="宋体" w:cs="仿宋_GB2312"/>
          <w:color w:val="auto"/>
          <w:kern w:val="0"/>
          <w:sz w:val="32"/>
          <w:szCs w:val="32"/>
          <w:highlight w:val="none"/>
          <w:u w:val="none"/>
          <w:shd w:val="clear" w:color="auto" w:fill="FFFFFF"/>
          <w:lang w:val="zh-CN" w:eastAsia="zh-CN"/>
        </w:rPr>
        <w:t>通用指标</w:t>
      </w:r>
      <w:r>
        <w:rPr>
          <w:rFonts w:hint="default" w:ascii="仿宋_GB2312" w:hAnsi="仿宋_GB2312" w:eastAsia="宋体" w:cs="仿宋_GB2312"/>
          <w:color w:val="auto"/>
          <w:kern w:val="0"/>
          <w:sz w:val="32"/>
          <w:szCs w:val="32"/>
          <w:highlight w:val="none"/>
          <w:u w:val="none"/>
          <w:shd w:val="clear" w:color="auto" w:fill="FFFFFF"/>
          <w:lang w:val="zh-CN" w:eastAsia="zh-CN"/>
        </w:rPr>
        <w:t>”</w:t>
      </w:r>
      <w:r>
        <w:rPr>
          <w:rFonts w:hint="eastAsia" w:ascii="仿宋_GB2312" w:hAnsi="仿宋_GB2312" w:eastAsia="宋体" w:cs="仿宋_GB2312"/>
          <w:color w:val="auto"/>
          <w:kern w:val="0"/>
          <w:sz w:val="32"/>
          <w:szCs w:val="32"/>
          <w:highlight w:val="none"/>
          <w:u w:val="none"/>
          <w:shd w:val="clear" w:color="auto" w:fill="FFFFFF"/>
          <w:lang w:val="zh-CN" w:eastAsia="zh-CN"/>
        </w:rPr>
        <w:t>“专用指标”“个性指标”</w:t>
      </w:r>
      <w:r>
        <w:rPr>
          <w:rFonts w:hint="default" w:ascii="仿宋_GB2312" w:hAnsi="仿宋_GB2312" w:eastAsia="宋体" w:cs="仿宋_GB2312"/>
          <w:color w:val="auto"/>
          <w:kern w:val="0"/>
          <w:sz w:val="32"/>
          <w:szCs w:val="32"/>
          <w:highlight w:val="none"/>
          <w:u w:val="none"/>
          <w:shd w:val="clear" w:color="auto" w:fill="FFFFFF"/>
          <w:lang w:val="zh-CN" w:eastAsia="zh-CN"/>
        </w:rPr>
        <w:t>涉及</w:t>
      </w:r>
      <w:r>
        <w:rPr>
          <w:rFonts w:hint="eastAsia" w:ascii="仿宋_GB2312" w:hAnsi="仿宋_GB2312" w:eastAsia="宋体" w:cs="仿宋_GB2312"/>
          <w:color w:val="auto"/>
          <w:kern w:val="0"/>
          <w:sz w:val="32"/>
          <w:szCs w:val="32"/>
          <w:highlight w:val="none"/>
          <w:u w:val="none"/>
          <w:shd w:val="clear" w:color="auto" w:fill="FFFFFF"/>
          <w:lang w:val="zh-CN" w:eastAsia="zh-CN"/>
        </w:rPr>
        <w:t>二、三级</w:t>
      </w:r>
      <w:r>
        <w:rPr>
          <w:rFonts w:hint="default" w:ascii="仿宋_GB2312" w:hAnsi="仿宋_GB2312" w:eastAsia="宋体" w:cs="仿宋_GB2312"/>
          <w:color w:val="auto"/>
          <w:kern w:val="0"/>
          <w:sz w:val="32"/>
          <w:szCs w:val="32"/>
          <w:highlight w:val="none"/>
          <w:u w:val="none"/>
          <w:shd w:val="clear" w:color="auto" w:fill="FFFFFF"/>
          <w:lang w:val="zh-CN" w:eastAsia="zh-CN"/>
        </w:rPr>
        <w:t>指标进行</w:t>
      </w:r>
      <w:r>
        <w:rPr>
          <w:rFonts w:hint="eastAsia" w:ascii="仿宋_GB2312" w:hAnsi="仿宋_GB2312" w:eastAsia="宋体" w:cs="仿宋_GB2312"/>
          <w:color w:val="auto"/>
          <w:kern w:val="0"/>
          <w:sz w:val="32"/>
          <w:szCs w:val="32"/>
          <w:highlight w:val="none"/>
          <w:u w:val="none"/>
          <w:shd w:val="clear" w:color="auto" w:fill="FFFFFF"/>
          <w:lang w:val="zh-CN" w:eastAsia="zh-CN"/>
        </w:rPr>
        <w:t>逐项</w:t>
      </w:r>
      <w:r>
        <w:rPr>
          <w:rFonts w:hint="default" w:ascii="仿宋_GB2312" w:hAnsi="仿宋_GB2312" w:eastAsia="宋体" w:cs="仿宋_GB2312"/>
          <w:color w:val="auto"/>
          <w:kern w:val="0"/>
          <w:sz w:val="32"/>
          <w:szCs w:val="32"/>
          <w:highlight w:val="none"/>
          <w:u w:val="none"/>
          <w:shd w:val="clear" w:color="auto" w:fill="FFFFFF"/>
          <w:lang w:val="zh-CN" w:eastAsia="zh-CN"/>
        </w:rPr>
        <w:t>绩效分析</w:t>
      </w:r>
      <w:r>
        <w:rPr>
          <w:rFonts w:hint="eastAsia" w:ascii="仿宋_GB2312" w:hAnsi="仿宋_GB2312" w:eastAsia="宋体" w:cs="仿宋_GB2312"/>
          <w:color w:val="auto"/>
          <w:kern w:val="0"/>
          <w:sz w:val="32"/>
          <w:szCs w:val="32"/>
          <w:highlight w:val="none"/>
          <w:u w:val="none"/>
          <w:shd w:val="clear" w:color="auto" w:fill="FFFFFF"/>
          <w:lang w:val="zh-CN" w:eastAsia="zh-CN"/>
        </w:rPr>
        <w:t>并评分</w:t>
      </w:r>
      <w:r>
        <w:rPr>
          <w:rFonts w:hint="eastAsia" w:ascii="仿宋_GB2312" w:hAnsi="仿宋_GB2312" w:eastAsia="宋体" w:cs="仿宋_GB2312"/>
          <w:color w:val="auto"/>
          <w:kern w:val="0"/>
          <w:sz w:val="32"/>
          <w:szCs w:val="32"/>
          <w:highlight w:val="none"/>
          <w:u w:val="none"/>
          <w:shd w:val="clear" w:color="auto" w:fill="FFFFFF"/>
          <w:lang w:val="en-US" w:eastAsia="zh-CN"/>
        </w:rPr>
        <w:t>。</w:t>
      </w:r>
    </w:p>
    <w:p w14:paraId="1474A39C">
      <w:pPr>
        <w:spacing w:line="578" w:lineRule="exact"/>
        <w:ind w:firstLine="643" w:firstLineChars="200"/>
        <w:rPr>
          <w:rFonts w:hint="eastAsia" w:ascii="楷体_GB2312" w:hAnsi="宋体" w:eastAsia="楷体_GB2312" w:cs="Times New Roman"/>
          <w:b/>
          <w:sz w:val="32"/>
          <w:szCs w:val="32"/>
          <w:lang w:val="en-US" w:eastAsia="zh-CN"/>
        </w:rPr>
      </w:pPr>
      <w:r>
        <w:rPr>
          <w:rFonts w:hint="eastAsia" w:ascii="楷体_GB2312" w:hAnsi="宋体" w:eastAsia="楷体_GB2312" w:cs="Times New Roman"/>
          <w:b/>
          <w:sz w:val="32"/>
          <w:szCs w:val="32"/>
          <w:lang w:val="zh-CN"/>
        </w:rPr>
        <w:t>（一）</w:t>
      </w:r>
      <w:r>
        <w:rPr>
          <w:rFonts w:hint="eastAsia" w:ascii="楷体_GB2312" w:hAnsi="宋体" w:eastAsia="楷体_GB2312" w:cs="Times New Roman"/>
          <w:b/>
          <w:sz w:val="32"/>
          <w:szCs w:val="32"/>
          <w:lang w:val="en-US" w:eastAsia="zh-CN"/>
        </w:rPr>
        <w:t>通用指标</w:t>
      </w:r>
      <w:r>
        <w:rPr>
          <w:rFonts w:hint="default" w:ascii="楷体_GB2312" w:hAnsi="宋体" w:eastAsia="楷体_GB2312" w:cs="Times New Roman"/>
          <w:b/>
          <w:sz w:val="32"/>
          <w:szCs w:val="32"/>
          <w:lang w:val="zh-CN"/>
        </w:rPr>
        <w:t>绩效分析。</w:t>
      </w:r>
    </w:p>
    <w:p w14:paraId="27288F6F">
      <w:pPr>
        <w:spacing w:line="578" w:lineRule="exact"/>
        <w:ind w:firstLine="643" w:firstLineChars="200"/>
        <w:rPr>
          <w:rFonts w:hint="eastAsia" w:ascii="仿宋_GB2312" w:hAnsi="仿宋_GB2312" w:eastAsia="宋体" w:cs="仿宋_GB2312"/>
          <w:color w:val="auto"/>
          <w:kern w:val="0"/>
          <w:sz w:val="32"/>
          <w:szCs w:val="32"/>
          <w:highlight w:val="none"/>
          <w:u w:val="none"/>
          <w:shd w:val="clear" w:color="auto" w:fill="FFFFFF"/>
          <w:lang w:val="zh-CN" w:eastAsia="zh-CN"/>
        </w:rPr>
      </w:pPr>
      <w:r>
        <w:rPr>
          <w:rFonts w:hint="eastAsia" w:ascii="仿宋" w:hAnsi="仿宋" w:eastAsia="仿宋" w:cs="Times New Roman"/>
          <w:b/>
          <w:sz w:val="32"/>
          <w:szCs w:val="32"/>
        </w:rPr>
        <w:t>1.项目决策。</w:t>
      </w:r>
      <w:r>
        <w:rPr>
          <w:rFonts w:hint="eastAsia" w:ascii="仿宋_GB2312" w:hAnsi="仿宋_GB2312" w:eastAsia="宋体" w:cs="仿宋_GB2312"/>
          <w:color w:val="auto"/>
          <w:kern w:val="0"/>
          <w:sz w:val="32"/>
          <w:szCs w:val="32"/>
          <w:highlight w:val="none"/>
          <w:u w:val="none"/>
          <w:shd w:val="clear" w:color="auto" w:fill="FFFFFF"/>
          <w:lang w:val="zh-CN" w:eastAsia="zh-CN"/>
        </w:rPr>
        <w:t>为推动县域经济高质量发展，我市与四川省县域经济学会建立了长期合作关系，我市担任省县域经济学会常务理事单位，每年与其签订服务协议，为我市在其主办的《当代县域经济》《县域经济》杂志上刊发我市城市形象广告，宣传报道我市县域经济发展，为我市提供专家咨询调研等服务。</w:t>
      </w:r>
      <w:r>
        <w:rPr>
          <w:rFonts w:hint="eastAsia" w:ascii="仿宋_GB2312" w:hAnsi="仿宋_GB2312" w:eastAsia="宋体" w:cs="仿宋_GB2312"/>
          <w:color w:val="auto"/>
          <w:kern w:val="0"/>
          <w:sz w:val="32"/>
          <w:szCs w:val="32"/>
          <w:highlight w:val="none"/>
          <w:u w:val="none"/>
          <w:shd w:val="clear" w:color="auto" w:fill="FFFFFF"/>
          <w:lang w:val="en-US" w:eastAsia="zh-CN"/>
        </w:rPr>
        <w:t>本项目</w:t>
      </w:r>
      <w:r>
        <w:rPr>
          <w:rFonts w:hint="eastAsia" w:ascii="仿宋_GB2312" w:hAnsi="仿宋_GB2312" w:eastAsia="宋体" w:cs="仿宋_GB2312"/>
          <w:color w:val="auto"/>
          <w:kern w:val="0"/>
          <w:sz w:val="32"/>
          <w:szCs w:val="32"/>
          <w:highlight w:val="none"/>
          <w:u w:val="none"/>
          <w:shd w:val="clear" w:color="auto" w:fill="FFFFFF"/>
          <w:lang w:val="zh-CN" w:eastAsia="zh-CN"/>
        </w:rPr>
        <w:t>决策程序</w:t>
      </w:r>
      <w:r>
        <w:rPr>
          <w:rFonts w:hint="eastAsia" w:ascii="仿宋_GB2312" w:hAnsi="仿宋_GB2312" w:eastAsia="宋体" w:cs="仿宋_GB2312"/>
          <w:color w:val="auto"/>
          <w:kern w:val="0"/>
          <w:sz w:val="32"/>
          <w:szCs w:val="32"/>
          <w:highlight w:val="none"/>
          <w:u w:val="none"/>
          <w:shd w:val="clear" w:color="auto" w:fill="FFFFFF"/>
          <w:lang w:val="en-US" w:eastAsia="zh-CN"/>
        </w:rPr>
        <w:t>完备，符合资金管理基本规范和决策程序要求。本项目属于政府支持范围，未与其他同类项目或部门内部相关项目交叉重复。</w:t>
      </w:r>
      <w:r>
        <w:rPr>
          <w:rFonts w:hint="eastAsia" w:ascii="仿宋_GB2312" w:hAnsi="仿宋_GB2312" w:eastAsia="宋体" w:cs="仿宋_GB2312"/>
          <w:color w:val="auto"/>
          <w:kern w:val="0"/>
          <w:sz w:val="32"/>
          <w:szCs w:val="32"/>
          <w:highlight w:val="none"/>
          <w:u w:val="none"/>
          <w:shd w:val="clear" w:color="auto" w:fill="FFFFFF"/>
          <w:lang w:val="zh-CN" w:eastAsia="zh-CN"/>
        </w:rPr>
        <w:t>绩效分析得分18分。</w:t>
      </w:r>
    </w:p>
    <w:p w14:paraId="75B4D92B">
      <w:pPr>
        <w:adjustRightInd w:val="0"/>
        <w:snapToGrid w:val="0"/>
        <w:spacing w:line="578" w:lineRule="exact"/>
        <w:ind w:firstLine="643" w:firstLineChars="200"/>
        <w:rPr>
          <w:rFonts w:hint="eastAsia" w:ascii="仿宋_GB2312" w:hAnsi="仿宋_GB2312" w:eastAsia="宋体" w:cs="仿宋_GB2312"/>
          <w:color w:val="auto"/>
          <w:kern w:val="0"/>
          <w:sz w:val="32"/>
          <w:szCs w:val="32"/>
          <w:highlight w:val="none"/>
          <w:u w:val="none"/>
          <w:shd w:val="clear" w:color="auto" w:fill="FFFFFF"/>
          <w:lang w:val="en-US" w:eastAsia="zh-CN"/>
        </w:rPr>
      </w:pPr>
      <w:r>
        <w:rPr>
          <w:rFonts w:hint="eastAsia" w:ascii="仿宋" w:hAnsi="仿宋" w:eastAsia="仿宋" w:cs="Times New Roman"/>
          <w:b/>
          <w:sz w:val="32"/>
          <w:szCs w:val="32"/>
          <w:lang w:val="en-US" w:eastAsia="zh-CN"/>
        </w:rPr>
        <w:t>2.</w:t>
      </w:r>
      <w:r>
        <w:rPr>
          <w:rFonts w:hint="eastAsia" w:ascii="仿宋" w:hAnsi="仿宋" w:eastAsia="仿宋" w:cs="Times New Roman"/>
          <w:b/>
          <w:sz w:val="32"/>
          <w:szCs w:val="32"/>
          <w:lang w:eastAsia="zh-CN"/>
        </w:rPr>
        <w:t>项目管理。</w:t>
      </w:r>
      <w:r>
        <w:rPr>
          <w:rFonts w:hint="eastAsia" w:ascii="仿宋_GB2312" w:hAnsi="仿宋_GB2312" w:eastAsia="宋体" w:cs="仿宋_GB2312"/>
          <w:color w:val="auto"/>
          <w:kern w:val="0"/>
          <w:sz w:val="32"/>
          <w:szCs w:val="32"/>
          <w:highlight w:val="none"/>
          <w:u w:val="none"/>
          <w:shd w:val="clear" w:color="auto" w:fill="FFFFFF"/>
          <w:lang w:val="en-US" w:eastAsia="zh-CN"/>
        </w:rPr>
        <w:t>本项目资金管理办法等管理制度体系健全完善，不存在管理制度缺失和管理制度过期等情况。按照中省要求全面完成了绩效目标（含事前评估）</w:t>
      </w:r>
      <w:r>
        <w:rPr>
          <w:rFonts w:hint="eastAsia" w:ascii="仿宋_GB2312" w:hAnsi="仿宋_GB2312" w:eastAsia="宋体" w:cs="仿宋_GB2312"/>
          <w:color w:val="auto"/>
          <w:kern w:val="0"/>
          <w:sz w:val="32"/>
          <w:szCs w:val="32"/>
          <w:highlight w:val="none"/>
          <w:u w:val="none"/>
          <w:shd w:val="clear" w:color="auto" w:fill="FFFFFF"/>
          <w:lang w:val="zh-CN" w:eastAsia="zh-CN"/>
        </w:rPr>
        <w:t>、</w:t>
      </w:r>
      <w:r>
        <w:rPr>
          <w:rFonts w:hint="eastAsia" w:ascii="仿宋_GB2312" w:hAnsi="仿宋_GB2312" w:eastAsia="宋体" w:cs="仿宋_GB2312"/>
          <w:color w:val="auto"/>
          <w:kern w:val="0"/>
          <w:sz w:val="32"/>
          <w:szCs w:val="32"/>
          <w:highlight w:val="none"/>
          <w:u w:val="none"/>
          <w:shd w:val="clear" w:color="auto" w:fill="FFFFFF"/>
          <w:lang w:val="en-US" w:eastAsia="zh-CN"/>
        </w:rPr>
        <w:t>绩效评价等。绩效分析得分18分。</w:t>
      </w:r>
    </w:p>
    <w:p w14:paraId="7E9F9073">
      <w:pPr>
        <w:adjustRightInd w:val="0"/>
        <w:snapToGrid w:val="0"/>
        <w:spacing w:line="578" w:lineRule="exact"/>
        <w:ind w:firstLine="643" w:firstLineChars="200"/>
        <w:rPr>
          <w:rFonts w:hint="eastAsia" w:ascii="仿宋_GB2312" w:hAnsi="仿宋_GB2312" w:eastAsia="宋体" w:cs="仿宋_GB2312"/>
          <w:color w:val="auto"/>
          <w:kern w:val="0"/>
          <w:sz w:val="32"/>
          <w:szCs w:val="32"/>
          <w:highlight w:val="none"/>
          <w:u w:val="none"/>
          <w:shd w:val="clear" w:color="auto" w:fill="FFFFFF"/>
          <w:lang w:val="en-US" w:eastAsia="zh-CN"/>
        </w:rPr>
      </w:pPr>
      <w:r>
        <w:rPr>
          <w:rFonts w:hint="eastAsia" w:ascii="仿宋" w:hAnsi="仿宋" w:eastAsia="仿宋" w:cs="Times New Roman"/>
          <w:b/>
          <w:sz w:val="32"/>
          <w:szCs w:val="32"/>
          <w:lang w:val="en-US" w:eastAsia="zh-CN"/>
        </w:rPr>
        <w:t>3.项目实施。</w:t>
      </w:r>
      <w:r>
        <w:rPr>
          <w:rFonts w:hint="eastAsia" w:ascii="仿宋_GB2312" w:hAnsi="仿宋_GB2312" w:eastAsia="宋体" w:cs="仿宋_GB2312"/>
          <w:color w:val="auto"/>
          <w:kern w:val="0"/>
          <w:sz w:val="32"/>
          <w:szCs w:val="32"/>
          <w:highlight w:val="none"/>
          <w:u w:val="none"/>
          <w:shd w:val="clear" w:color="auto" w:fill="FFFFFF"/>
          <w:lang w:val="en-US" w:eastAsia="zh-CN"/>
        </w:rPr>
        <w:t>一是开展调研活动。2023年2月28日至3月1日，四川省县域经济学会会长、省委省政府决咨委副主任唐利民和学会名誉会长张成明率队来我市调研，并召开盆周山区县域经济高质量发展和国家森林步道建设剑阁峰会筹备情况座谈会。市委书记何树平参加相关活动。二是跟进对接我市及各县（区）宣传工作，对全市经济社会发展及其工作举措进行常态化宣传。三是将我市城市名片每期固定刊发在《当代县域经济》《县域经济》杂志重点调研基地栏目内12次。四是在《当代县域经济》《县域经济》杂志刊登我市形象宣传共2次。五是《当代县域经济》《县域经济》杂志刊登记者采写的广元市深度专题图文报道2次。六是在当代县域经济杂志官方网站首页，全年固定发布我市及各县（区）形象宣传片。七是在四川县域经济网、当代县域经济杂志官方网站、微信、微博及时发布我市图文报道稿件52件。八是省县域经济学会会同有关省厅主办产业园区建设等经济发展有关论坛讲座，助推县域经济发展。九是组织权威专家开展有针对性的经济社会发展课题研究1次。绩效分析得分9分。</w:t>
      </w:r>
    </w:p>
    <w:p w14:paraId="4CD3D790">
      <w:pPr>
        <w:pStyle w:val="19"/>
        <w:spacing w:after="0" w:line="600" w:lineRule="exact"/>
        <w:ind w:left="0" w:leftChars="0"/>
        <w:rPr>
          <w:rFonts w:hint="eastAsia" w:ascii="仿宋_GB2312" w:hAnsi="仿宋_GB2312" w:eastAsia="宋体" w:cs="仿宋_GB2312"/>
          <w:color w:val="auto"/>
          <w:kern w:val="0"/>
          <w:sz w:val="32"/>
          <w:szCs w:val="32"/>
          <w:highlight w:val="none"/>
          <w:u w:val="none"/>
          <w:shd w:val="clear" w:color="auto" w:fill="FFFFFF"/>
          <w:lang w:val="en-US" w:eastAsia="zh-CN" w:bidi="ar-SA"/>
        </w:rPr>
      </w:pPr>
      <w:r>
        <w:rPr>
          <w:rFonts w:hint="eastAsia" w:ascii="仿宋" w:hAnsi="仿宋" w:eastAsia="仿宋" w:cs="Times New Roman"/>
          <w:b/>
          <w:kern w:val="2"/>
          <w:sz w:val="32"/>
          <w:szCs w:val="32"/>
          <w:lang w:val="en-US" w:eastAsia="zh-CN" w:bidi="ar-SA"/>
        </w:rPr>
        <w:t>4.项目结果。</w:t>
      </w:r>
      <w:r>
        <w:rPr>
          <w:rFonts w:hint="eastAsia" w:ascii="仿宋_GB2312" w:hAnsi="仿宋_GB2312" w:eastAsia="宋体" w:cs="仿宋_GB2312"/>
          <w:color w:val="auto"/>
          <w:kern w:val="0"/>
          <w:sz w:val="32"/>
          <w:szCs w:val="32"/>
          <w:highlight w:val="none"/>
          <w:u w:val="none"/>
          <w:shd w:val="clear" w:color="auto" w:fill="FFFFFF"/>
          <w:lang w:val="en-US" w:eastAsia="zh-CN" w:bidi="ar-SA"/>
        </w:rPr>
        <w:t>一年来，协办杂志充分发挥组织优势、智库优势，聚合优势、资政优势，利用专家资源和两刊平台，深入一线开展专题调研，积极为我市高质量发展出谋划策，宣传了我市在高质量发展方面的重要成就，达到了预期效果。绩效分析得分9分。</w:t>
      </w:r>
    </w:p>
    <w:p w14:paraId="19E0EDF9">
      <w:pPr>
        <w:adjustRightInd w:val="0"/>
        <w:snapToGrid w:val="0"/>
        <w:spacing w:line="578" w:lineRule="exact"/>
        <w:ind w:firstLine="643" w:firstLineChars="200"/>
        <w:rPr>
          <w:rFonts w:hint="eastAsia" w:ascii="仿宋_GB2312" w:hAnsi="仿宋_GB2312" w:eastAsia="宋体" w:cs="仿宋_GB2312"/>
          <w:color w:val="auto"/>
          <w:kern w:val="0"/>
          <w:sz w:val="32"/>
          <w:szCs w:val="32"/>
          <w:highlight w:val="none"/>
          <w:u w:val="none"/>
          <w:shd w:val="clear" w:color="auto" w:fill="FFFFFF"/>
          <w:lang w:val="en-US" w:eastAsia="zh-CN" w:bidi="ar-SA"/>
        </w:rPr>
      </w:pPr>
      <w:r>
        <w:rPr>
          <w:rFonts w:hint="eastAsia" w:ascii="楷体_GB2312" w:hAnsi="宋体" w:eastAsia="楷体_GB2312" w:cs="Times New Roman"/>
          <w:b/>
          <w:sz w:val="32"/>
          <w:szCs w:val="32"/>
          <w:lang w:val="zh-CN"/>
        </w:rPr>
        <w:t>（二）</w:t>
      </w:r>
      <w:r>
        <w:rPr>
          <w:rFonts w:hint="eastAsia" w:ascii="楷体_GB2312" w:hAnsi="宋体" w:eastAsia="楷体_GB2312" w:cs="Times New Roman"/>
          <w:b/>
          <w:sz w:val="32"/>
          <w:szCs w:val="32"/>
          <w:lang w:val="en-US" w:eastAsia="zh-CN"/>
        </w:rPr>
        <w:t>专用指标</w:t>
      </w:r>
      <w:r>
        <w:rPr>
          <w:rFonts w:hint="default" w:ascii="楷体_GB2312" w:hAnsi="宋体" w:eastAsia="楷体_GB2312" w:cs="Times New Roman"/>
          <w:b/>
          <w:sz w:val="32"/>
          <w:szCs w:val="32"/>
          <w:lang w:val="zh-CN"/>
        </w:rPr>
        <w:t>绩效分析。</w:t>
      </w:r>
      <w:r>
        <w:rPr>
          <w:rFonts w:hint="eastAsia" w:ascii="仿宋_GB2312" w:hAnsi="仿宋_GB2312" w:eastAsia="宋体" w:cs="仿宋_GB2312"/>
          <w:color w:val="auto"/>
          <w:kern w:val="0"/>
          <w:sz w:val="32"/>
          <w:szCs w:val="32"/>
          <w:highlight w:val="none"/>
          <w:u w:val="none"/>
          <w:shd w:val="clear" w:color="auto" w:fill="FFFFFF"/>
          <w:lang w:val="en-US" w:eastAsia="zh-CN" w:bidi="ar-SA"/>
        </w:rPr>
        <w:t>我市大力推进县域经济高质量发展，推动特色产业集群集聚，积极培育县域百亿主导产业，全力争创全省县域经济发展先进县，县域经济综合实力不断提升。</w:t>
      </w:r>
      <w:r>
        <w:rPr>
          <w:rFonts w:hint="eastAsia" w:ascii="仿宋_GB2312" w:hAnsi="仿宋_GB2312" w:eastAsia="宋体" w:cs="仿宋_GB2312"/>
          <w:color w:val="auto"/>
          <w:kern w:val="0"/>
          <w:sz w:val="32"/>
          <w:szCs w:val="32"/>
          <w:highlight w:val="none"/>
          <w:u w:val="none"/>
          <w:shd w:val="clear" w:color="auto" w:fill="FFFFFF"/>
          <w:lang w:val="zh-CN" w:eastAsia="zh-CN" w:bidi="ar-SA"/>
        </w:rPr>
        <w:t>20</w:t>
      </w:r>
      <w:r>
        <w:rPr>
          <w:rFonts w:hint="eastAsia" w:ascii="仿宋_GB2312" w:hAnsi="仿宋_GB2312" w:eastAsia="宋体" w:cs="仿宋_GB2312"/>
          <w:color w:val="auto"/>
          <w:kern w:val="0"/>
          <w:sz w:val="32"/>
          <w:szCs w:val="32"/>
          <w:highlight w:val="none"/>
          <w:u w:val="none"/>
          <w:shd w:val="clear" w:color="auto" w:fill="FFFFFF"/>
          <w:lang w:val="en-US" w:eastAsia="zh-CN" w:bidi="ar-SA"/>
        </w:rPr>
        <w:t>23</w:t>
      </w:r>
      <w:r>
        <w:rPr>
          <w:rFonts w:hint="eastAsia" w:ascii="仿宋_GB2312" w:hAnsi="仿宋_GB2312" w:eastAsia="宋体" w:cs="仿宋_GB2312"/>
          <w:color w:val="auto"/>
          <w:kern w:val="0"/>
          <w:sz w:val="32"/>
          <w:szCs w:val="32"/>
          <w:highlight w:val="none"/>
          <w:u w:val="none"/>
          <w:shd w:val="clear" w:color="auto" w:fill="FFFFFF"/>
          <w:lang w:val="zh-CN" w:eastAsia="zh-CN" w:bidi="ar-SA"/>
        </w:rPr>
        <w:t>年全市实现地区生产总值</w:t>
      </w:r>
      <w:r>
        <w:rPr>
          <w:rFonts w:hint="eastAsia" w:ascii="仿宋_GB2312" w:hAnsi="仿宋_GB2312" w:eastAsia="宋体" w:cs="仿宋_GB2312"/>
          <w:color w:val="auto"/>
          <w:kern w:val="0"/>
          <w:sz w:val="32"/>
          <w:szCs w:val="32"/>
          <w:highlight w:val="none"/>
          <w:u w:val="none"/>
          <w:shd w:val="clear" w:color="auto" w:fill="FFFFFF"/>
          <w:lang w:val="en-US" w:eastAsia="zh-CN" w:bidi="ar-SA"/>
        </w:rPr>
        <w:t>1179.82</w:t>
      </w:r>
      <w:r>
        <w:rPr>
          <w:rFonts w:hint="eastAsia" w:ascii="仿宋_GB2312" w:hAnsi="仿宋_GB2312" w:eastAsia="宋体" w:cs="仿宋_GB2312"/>
          <w:color w:val="auto"/>
          <w:kern w:val="0"/>
          <w:sz w:val="32"/>
          <w:szCs w:val="32"/>
          <w:highlight w:val="none"/>
          <w:u w:val="none"/>
          <w:shd w:val="clear" w:color="auto" w:fill="FFFFFF"/>
          <w:lang w:val="zh-CN" w:eastAsia="zh-CN" w:bidi="ar-SA"/>
        </w:rPr>
        <w:t>亿元，</w:t>
      </w:r>
      <w:r>
        <w:rPr>
          <w:rFonts w:hint="eastAsia" w:ascii="仿宋_GB2312" w:hAnsi="仿宋_GB2312" w:eastAsia="宋体" w:cs="仿宋_GB2312"/>
          <w:color w:val="auto"/>
          <w:kern w:val="0"/>
          <w:sz w:val="32"/>
          <w:szCs w:val="32"/>
          <w:highlight w:val="none"/>
          <w:u w:val="none"/>
          <w:shd w:val="clear" w:color="auto" w:fill="FFFFFF"/>
          <w:lang w:val="en-US" w:eastAsia="en-US" w:bidi="ar-SA"/>
        </w:rPr>
        <w:t>经济总量超百亿县区</w:t>
      </w:r>
      <w:r>
        <w:rPr>
          <w:rFonts w:hint="eastAsia" w:ascii="仿宋_GB2312" w:hAnsi="仿宋_GB2312" w:eastAsia="宋体" w:cs="仿宋_GB2312"/>
          <w:color w:val="auto"/>
          <w:kern w:val="0"/>
          <w:sz w:val="32"/>
          <w:szCs w:val="32"/>
          <w:highlight w:val="none"/>
          <w:u w:val="none"/>
          <w:shd w:val="clear" w:color="auto" w:fill="FFFFFF"/>
          <w:lang w:val="zh-CN" w:eastAsia="zh-CN" w:bidi="ar-SA"/>
        </w:rPr>
        <w:t>数量达到4个，其中利州区达</w:t>
      </w:r>
      <w:r>
        <w:rPr>
          <w:rFonts w:hint="eastAsia" w:ascii="仿宋_GB2312" w:hAnsi="仿宋_GB2312" w:eastAsia="宋体" w:cs="仿宋_GB2312"/>
          <w:color w:val="auto"/>
          <w:kern w:val="0"/>
          <w:sz w:val="32"/>
          <w:szCs w:val="32"/>
          <w:highlight w:val="none"/>
          <w:u w:val="none"/>
          <w:shd w:val="clear" w:color="auto" w:fill="FFFFFF"/>
          <w:lang w:val="en-US" w:eastAsia="zh-CN" w:bidi="ar-SA"/>
        </w:rPr>
        <w:t>407.09</w:t>
      </w:r>
      <w:r>
        <w:rPr>
          <w:rFonts w:hint="eastAsia" w:ascii="仿宋_GB2312" w:hAnsi="仿宋_GB2312" w:eastAsia="宋体" w:cs="仿宋_GB2312"/>
          <w:color w:val="auto"/>
          <w:kern w:val="0"/>
          <w:sz w:val="32"/>
          <w:szCs w:val="32"/>
          <w:highlight w:val="none"/>
          <w:u w:val="none"/>
          <w:shd w:val="clear" w:color="auto" w:fill="FFFFFF"/>
          <w:lang w:val="zh-CN" w:eastAsia="zh-CN" w:bidi="ar-SA"/>
        </w:rPr>
        <w:t>亿元、苍溪县达</w:t>
      </w:r>
      <w:r>
        <w:rPr>
          <w:rFonts w:hint="eastAsia" w:ascii="仿宋_GB2312" w:hAnsi="仿宋_GB2312" w:eastAsia="宋体" w:cs="仿宋_GB2312"/>
          <w:color w:val="auto"/>
          <w:kern w:val="0"/>
          <w:sz w:val="32"/>
          <w:szCs w:val="32"/>
          <w:highlight w:val="none"/>
          <w:u w:val="none"/>
          <w:shd w:val="clear" w:color="auto" w:fill="FFFFFF"/>
          <w:lang w:val="en-US" w:eastAsia="zh-CN" w:bidi="ar-SA"/>
        </w:rPr>
        <w:t>211.91</w:t>
      </w:r>
      <w:r>
        <w:rPr>
          <w:rFonts w:hint="eastAsia" w:ascii="仿宋_GB2312" w:hAnsi="仿宋_GB2312" w:eastAsia="宋体" w:cs="仿宋_GB2312"/>
          <w:color w:val="auto"/>
          <w:kern w:val="0"/>
          <w:sz w:val="32"/>
          <w:szCs w:val="32"/>
          <w:highlight w:val="none"/>
          <w:u w:val="none"/>
          <w:shd w:val="clear" w:color="auto" w:fill="FFFFFF"/>
          <w:lang w:val="zh-CN" w:eastAsia="zh-CN" w:bidi="ar-SA"/>
        </w:rPr>
        <w:t>亿元、旺苍县达</w:t>
      </w:r>
      <w:r>
        <w:rPr>
          <w:rFonts w:hint="eastAsia" w:ascii="仿宋_GB2312" w:hAnsi="仿宋_GB2312" w:eastAsia="宋体" w:cs="仿宋_GB2312"/>
          <w:color w:val="auto"/>
          <w:kern w:val="0"/>
          <w:sz w:val="32"/>
          <w:szCs w:val="32"/>
          <w:highlight w:val="none"/>
          <w:u w:val="none"/>
          <w:shd w:val="clear" w:color="auto" w:fill="FFFFFF"/>
          <w:lang w:val="en-US" w:eastAsia="zh-CN" w:bidi="ar-SA"/>
        </w:rPr>
        <w:t>164.21</w:t>
      </w:r>
      <w:r>
        <w:rPr>
          <w:rFonts w:hint="eastAsia" w:ascii="仿宋_GB2312" w:hAnsi="仿宋_GB2312" w:eastAsia="宋体" w:cs="仿宋_GB2312"/>
          <w:color w:val="auto"/>
          <w:kern w:val="0"/>
          <w:sz w:val="32"/>
          <w:szCs w:val="32"/>
          <w:highlight w:val="none"/>
          <w:u w:val="none"/>
          <w:shd w:val="clear" w:color="auto" w:fill="FFFFFF"/>
          <w:lang w:val="zh-CN" w:eastAsia="zh-CN" w:bidi="ar-SA"/>
        </w:rPr>
        <w:t>亿元、剑阁县达</w:t>
      </w:r>
      <w:r>
        <w:rPr>
          <w:rFonts w:hint="eastAsia" w:ascii="仿宋_GB2312" w:hAnsi="仿宋_GB2312" w:eastAsia="宋体" w:cs="仿宋_GB2312"/>
          <w:color w:val="auto"/>
          <w:kern w:val="0"/>
          <w:sz w:val="32"/>
          <w:szCs w:val="32"/>
          <w:highlight w:val="none"/>
          <w:u w:val="none"/>
          <w:shd w:val="clear" w:color="auto" w:fill="FFFFFF"/>
          <w:lang w:val="en-US" w:eastAsia="zh-CN" w:bidi="ar-SA"/>
        </w:rPr>
        <w:t>168.85</w:t>
      </w:r>
      <w:r>
        <w:rPr>
          <w:rFonts w:hint="eastAsia" w:ascii="仿宋_GB2312" w:hAnsi="仿宋_GB2312" w:eastAsia="宋体" w:cs="仿宋_GB2312"/>
          <w:color w:val="auto"/>
          <w:kern w:val="0"/>
          <w:sz w:val="32"/>
          <w:szCs w:val="32"/>
          <w:highlight w:val="none"/>
          <w:u w:val="none"/>
          <w:shd w:val="clear" w:color="auto" w:fill="FFFFFF"/>
          <w:lang w:val="zh-CN" w:eastAsia="zh-CN" w:bidi="ar-SA"/>
        </w:rPr>
        <w:t>亿元。</w:t>
      </w:r>
      <w:r>
        <w:rPr>
          <w:rFonts w:hint="eastAsia" w:ascii="仿宋_GB2312" w:hAnsi="仿宋_GB2312" w:eastAsia="宋体" w:cs="仿宋_GB2312"/>
          <w:color w:val="auto"/>
          <w:kern w:val="0"/>
          <w:sz w:val="32"/>
          <w:szCs w:val="32"/>
          <w:highlight w:val="none"/>
          <w:u w:val="none"/>
          <w:shd w:val="clear" w:color="auto" w:fill="FFFFFF"/>
          <w:lang w:val="en-US" w:eastAsia="zh-CN" w:bidi="ar-SA"/>
        </w:rPr>
        <w:t>全省2022年县域经济先进县考评中，利州区、旺苍县、青川县分类排名比上年度分别提升6位、3位、1位，特别是旺苍县</w:t>
      </w:r>
      <w:r>
        <w:rPr>
          <w:rFonts w:hint="eastAsia" w:ascii="仿宋_GB2312" w:hAnsi="仿宋_GB2312" w:eastAsia="宋体" w:cs="仿宋_GB2312"/>
          <w:color w:val="auto"/>
          <w:kern w:val="0"/>
          <w:sz w:val="32"/>
          <w:szCs w:val="32"/>
          <w:highlight w:val="none"/>
          <w:u w:val="none"/>
          <w:shd w:val="clear" w:color="auto" w:fill="FFFFFF"/>
          <w:lang w:val="zh-CN" w:eastAsia="zh-CN" w:bidi="ar-SA"/>
        </w:rPr>
        <w:t>在重点生态功能区县排第</w:t>
      </w:r>
      <w:r>
        <w:rPr>
          <w:rFonts w:hint="eastAsia" w:ascii="仿宋_GB2312" w:hAnsi="仿宋_GB2312" w:eastAsia="宋体" w:cs="仿宋_GB2312"/>
          <w:color w:val="auto"/>
          <w:kern w:val="0"/>
          <w:sz w:val="32"/>
          <w:szCs w:val="32"/>
          <w:highlight w:val="none"/>
          <w:u w:val="none"/>
          <w:shd w:val="clear" w:color="auto" w:fill="FFFFFF"/>
          <w:lang w:val="en-US" w:eastAsia="zh-CN" w:bidi="ar-SA"/>
        </w:rPr>
        <w:t>3</w:t>
      </w:r>
      <w:r>
        <w:rPr>
          <w:rFonts w:hint="eastAsia" w:ascii="仿宋_GB2312" w:hAnsi="仿宋_GB2312" w:eastAsia="宋体" w:cs="仿宋_GB2312"/>
          <w:color w:val="auto"/>
          <w:kern w:val="0"/>
          <w:sz w:val="32"/>
          <w:szCs w:val="32"/>
          <w:highlight w:val="none"/>
          <w:u w:val="none"/>
          <w:shd w:val="clear" w:color="auto" w:fill="FFFFFF"/>
          <w:lang w:val="zh-CN" w:eastAsia="zh-CN" w:bidi="ar-SA"/>
        </w:rPr>
        <w:t>名，</w:t>
      </w:r>
      <w:r>
        <w:rPr>
          <w:rFonts w:hint="eastAsia" w:ascii="仿宋_GB2312" w:hAnsi="仿宋_GB2312" w:eastAsia="宋体" w:cs="仿宋_GB2312"/>
          <w:color w:val="auto"/>
          <w:kern w:val="0"/>
          <w:sz w:val="32"/>
          <w:szCs w:val="32"/>
          <w:highlight w:val="none"/>
          <w:u w:val="none"/>
          <w:shd w:val="clear" w:color="auto" w:fill="FFFFFF"/>
          <w:lang w:val="en-US" w:eastAsia="zh-CN" w:bidi="ar-SA"/>
        </w:rPr>
        <w:t>获评全省先进县。绩效分析得分30分。</w:t>
      </w:r>
    </w:p>
    <w:p w14:paraId="5201F29F">
      <w:pPr>
        <w:keepNext w:val="0"/>
        <w:keepLines w:val="0"/>
        <w:pageBreakBefore w:val="0"/>
        <w:widowControl w:val="0"/>
        <w:kinsoku/>
        <w:wordWrap/>
        <w:overflowPunct/>
        <w:topLinePunct w:val="0"/>
        <w:autoSpaceDE/>
        <w:autoSpaceDN/>
        <w:bidi w:val="0"/>
        <w:adjustRightInd/>
        <w:snapToGrid/>
        <w:spacing w:line="578" w:lineRule="exact"/>
        <w:ind w:firstLine="640"/>
        <w:textAlignment w:val="auto"/>
        <w:outlineLvl w:val="9"/>
        <w:rPr>
          <w:rFonts w:hint="eastAsia" w:ascii="仿宋_GB2312" w:hAnsi="仿宋_GB2312" w:eastAsia="宋体" w:cs="仿宋_GB2312"/>
          <w:color w:val="auto"/>
          <w:kern w:val="0"/>
          <w:sz w:val="32"/>
          <w:szCs w:val="32"/>
          <w:highlight w:val="none"/>
          <w:u w:val="none"/>
          <w:shd w:val="clear" w:color="auto" w:fill="FFFFFF"/>
          <w:lang w:val="zh-CN" w:eastAsia="zh-CN" w:bidi="ar-SA"/>
        </w:rPr>
      </w:pPr>
      <w:r>
        <w:rPr>
          <w:rFonts w:hint="eastAsia" w:ascii="楷体_GB2312" w:hAnsi="宋体" w:eastAsia="楷体_GB2312" w:cs="Times New Roman"/>
          <w:b/>
          <w:sz w:val="32"/>
          <w:szCs w:val="32"/>
          <w:lang w:val="zh-CN"/>
        </w:rPr>
        <w:t>（三）</w:t>
      </w:r>
      <w:r>
        <w:rPr>
          <w:rFonts w:hint="eastAsia" w:ascii="楷体_GB2312" w:hAnsi="宋体" w:eastAsia="楷体_GB2312" w:cs="Times New Roman"/>
          <w:b/>
          <w:sz w:val="32"/>
          <w:szCs w:val="32"/>
          <w:lang w:val="en-US" w:eastAsia="zh-CN"/>
        </w:rPr>
        <w:t>个性指标</w:t>
      </w:r>
      <w:r>
        <w:rPr>
          <w:rFonts w:hint="default" w:ascii="楷体_GB2312" w:hAnsi="宋体" w:eastAsia="楷体_GB2312" w:cs="Times New Roman"/>
          <w:b/>
          <w:sz w:val="32"/>
          <w:szCs w:val="32"/>
          <w:lang w:val="zh-CN"/>
        </w:rPr>
        <w:t>绩效分析。</w:t>
      </w:r>
      <w:r>
        <w:rPr>
          <w:rFonts w:hint="eastAsia" w:ascii="仿宋_GB2312" w:hAnsi="仿宋_GB2312" w:eastAsia="宋体" w:cs="仿宋_GB2312"/>
          <w:color w:val="auto"/>
          <w:kern w:val="0"/>
          <w:sz w:val="32"/>
          <w:szCs w:val="32"/>
          <w:highlight w:val="none"/>
          <w:u w:val="none"/>
          <w:shd w:val="clear" w:color="auto" w:fill="FFFFFF"/>
          <w:lang w:val="zh-CN" w:eastAsia="zh-CN" w:bidi="ar-SA"/>
        </w:rPr>
        <w:t>推进县域产业振兴发展。打造工业经济强县，围绕铝基材料、食品饮料、绿色家居、清洁能源及生物医药、硅基新材料等重点产业，培育县域百亿特色优势主导产业，挂牌运营中国西部（广元）铝锭贸易中心，铝基新材料产业纳入川渝两地铝产业链协同发展布局，实现产值290亿元、增长30%。能源化工、食品饮料、硅基新材料产业实现量质双提升，广元荣获“中国食品产业名城”“中国特色天然饮用水之乡”称号。打造特色农产品强县，坚持全生命周期、全产业链条、全方位协同推进农业特色产业发展，旺苍县高阳镇、朝天区曾家镇、利州区白朝乡、青川县蒿溪回族乡成功认定为首批国家农业产业强镇，苍溪县、剑阁县和昭化区成功入选四川省现代农业园区建设工作推进典型县。打造服务业强县，构建“一核三带”服务业空间格局，提升中心城区极核功能，打造大蜀道文旅融合发展带、北部山区生态康养休闲度假高品质发展带、嘉陵江流域商贸物流发展带，健全县域商贸流通网络，完善县城消费基础设施。利州区入选省级服务业强县。坚持文旅兴县战略，加昭化区入选省级文化产业赋能乡村振兴试点单位，青川县、昭化区、朝天区纳入省级文化产业和旅游产业融合发展示范区创建单位，利州区月坝花前月下、青川县青溪古城纳入2023年“蜀里安逸”消费新场景支持名单，高质量举办了2023中国（广元）女儿节、第十三届大蜀道国际文化旅游节、陕甘川宁毗邻地区文化旅游博览会等活动和中国（广元）物流产业发展大会。</w:t>
      </w:r>
      <w:r>
        <w:rPr>
          <w:rFonts w:hint="eastAsia" w:ascii="仿宋_GB2312" w:hAnsi="仿宋_GB2312" w:eastAsia="宋体" w:cs="仿宋_GB2312"/>
          <w:color w:val="auto"/>
          <w:kern w:val="0"/>
          <w:sz w:val="32"/>
          <w:szCs w:val="32"/>
          <w:highlight w:val="none"/>
          <w:u w:val="none"/>
          <w:shd w:val="clear" w:color="auto" w:fill="FFFFFF"/>
          <w:lang w:val="en-US" w:eastAsia="en-US" w:bidi="ar-SA"/>
        </w:rPr>
        <w:t>绩效分析得分</w:t>
      </w:r>
      <w:r>
        <w:rPr>
          <w:rFonts w:hint="eastAsia" w:ascii="仿宋_GB2312" w:hAnsi="仿宋_GB2312" w:eastAsia="宋体" w:cs="仿宋_GB2312"/>
          <w:color w:val="auto"/>
          <w:kern w:val="0"/>
          <w:sz w:val="32"/>
          <w:szCs w:val="32"/>
          <w:highlight w:val="none"/>
          <w:u w:val="none"/>
          <w:shd w:val="clear" w:color="auto" w:fill="FFFFFF"/>
          <w:lang w:val="en-US" w:eastAsia="zh-CN" w:bidi="ar-SA"/>
        </w:rPr>
        <w:t>16</w:t>
      </w:r>
      <w:r>
        <w:rPr>
          <w:rFonts w:hint="eastAsia" w:ascii="仿宋_GB2312" w:hAnsi="仿宋_GB2312" w:eastAsia="宋体" w:cs="仿宋_GB2312"/>
          <w:color w:val="auto"/>
          <w:kern w:val="0"/>
          <w:sz w:val="32"/>
          <w:szCs w:val="32"/>
          <w:highlight w:val="none"/>
          <w:u w:val="none"/>
          <w:shd w:val="clear" w:color="auto" w:fill="FFFFFF"/>
          <w:lang w:val="en-US" w:eastAsia="en-US" w:bidi="ar-SA"/>
        </w:rPr>
        <w:t>分。</w:t>
      </w:r>
    </w:p>
    <w:p w14:paraId="489692F9">
      <w:pPr>
        <w:pStyle w:val="8"/>
        <w:pageBreakBefore w:val="0"/>
        <w:numPr>
          <w:ilvl w:val="0"/>
          <w:numId w:val="0"/>
        </w:numPr>
        <w:tabs>
          <w:tab w:val="left" w:pos="2160"/>
        </w:tabs>
        <w:kinsoku/>
        <w:wordWrap/>
        <w:overflowPunct/>
        <w:topLinePunct w:val="0"/>
        <w:autoSpaceDE/>
        <w:autoSpaceDN/>
        <w:bidi w:val="0"/>
        <w:adjustRightInd/>
        <w:spacing w:line="600" w:lineRule="exact"/>
        <w:ind w:firstLine="640" w:firstLineChars="200"/>
        <w:textAlignment w:val="auto"/>
        <w:rPr>
          <w:rFonts w:hint="eastAsia" w:ascii="黑体" w:hAnsi="宋体" w:eastAsia="黑体"/>
          <w:color w:val="auto"/>
          <w:sz w:val="32"/>
          <w:szCs w:val="32"/>
          <w:highlight w:val="none"/>
          <w:u w:val="none"/>
        </w:rPr>
      </w:pPr>
      <w:r>
        <w:rPr>
          <w:rFonts w:hint="eastAsia" w:ascii="黑体" w:hAnsi="宋体" w:eastAsia="黑体"/>
          <w:color w:val="auto"/>
          <w:sz w:val="32"/>
          <w:szCs w:val="32"/>
          <w:highlight w:val="none"/>
          <w:u w:val="none"/>
          <w:lang w:eastAsia="zh-CN"/>
        </w:rPr>
        <w:t>四</w:t>
      </w:r>
      <w:r>
        <w:rPr>
          <w:rFonts w:hint="eastAsia" w:ascii="黑体" w:hAnsi="宋体" w:eastAsia="黑体"/>
          <w:color w:val="auto"/>
          <w:sz w:val="32"/>
          <w:szCs w:val="32"/>
          <w:highlight w:val="none"/>
          <w:u w:val="none"/>
        </w:rPr>
        <w:t>、评价结论</w:t>
      </w:r>
    </w:p>
    <w:p w14:paraId="1C48BAC9">
      <w:pPr>
        <w:adjustRightInd w:val="0"/>
        <w:snapToGrid w:val="0"/>
        <w:spacing w:line="576" w:lineRule="exact"/>
        <w:ind w:firstLine="720"/>
        <w:rPr>
          <w:rFonts w:hint="eastAsia" w:ascii="仿宋_GB2312" w:eastAsia="仿宋_GB2312" w:cs="仿宋_GB2312"/>
          <w:sz w:val="32"/>
          <w:szCs w:val="32"/>
          <w:lang w:bidi="ar-SA"/>
        </w:rPr>
      </w:pPr>
      <w:r>
        <w:rPr>
          <w:rFonts w:hint="eastAsia" w:ascii="仿宋_GB2312" w:eastAsia="仿宋_GB2312" w:cs="仿宋_GB2312"/>
          <w:sz w:val="32"/>
          <w:szCs w:val="32"/>
          <w:lang w:bidi="ar-SA"/>
        </w:rPr>
        <w:t>省</w:t>
      </w:r>
      <w:r>
        <w:rPr>
          <w:rFonts w:hint="eastAsia" w:ascii="仿宋_GB2312" w:eastAsia="仿宋_GB2312" w:cs="仿宋_GB2312"/>
          <w:spacing w:val="-4"/>
          <w:sz w:val="32"/>
          <w:szCs w:val="32"/>
          <w:lang w:bidi="ar-SA"/>
        </w:rPr>
        <w:t>县域经济学会在其主办的《当代县域经济》《县域经济》杂志上刊发我市城市形象广告，宣传报道我市县域经济发展，为我市提供专家咨询调研等服务，进一步深化了我市与省县域经济学会建立的长期合作关系，有助于推动我市县域经济高质量发展</w:t>
      </w:r>
      <w:r>
        <w:rPr>
          <w:rFonts w:hint="eastAsia" w:ascii="仿宋_GB2312" w:eastAsia="仿宋_GB2312" w:cs="仿宋_GB2312"/>
          <w:sz w:val="32"/>
          <w:szCs w:val="32"/>
          <w:lang w:bidi="ar-SA"/>
        </w:rPr>
        <w:t>。</w:t>
      </w:r>
      <w:r>
        <w:rPr>
          <w:rFonts w:hint="eastAsia" w:ascii="仿宋_GB2312" w:hAnsi="仿宋_GB2312" w:eastAsia="仿宋_GB2312" w:cs="仿宋_GB2312"/>
        </w:rPr>
        <w:t>绩效分析评分100分。</w:t>
      </w:r>
    </w:p>
    <w:p w14:paraId="03721105">
      <w:pPr>
        <w:pStyle w:val="8"/>
        <w:pageBreakBefore w:val="0"/>
        <w:numPr>
          <w:ilvl w:val="0"/>
          <w:numId w:val="0"/>
        </w:numPr>
        <w:tabs>
          <w:tab w:val="left" w:pos="2160"/>
        </w:tabs>
        <w:kinsoku/>
        <w:wordWrap/>
        <w:overflowPunct/>
        <w:topLinePunct w:val="0"/>
        <w:autoSpaceDE/>
        <w:autoSpaceDN/>
        <w:bidi w:val="0"/>
        <w:adjustRightInd/>
        <w:spacing w:line="600" w:lineRule="exact"/>
        <w:ind w:firstLine="640" w:firstLineChars="200"/>
        <w:textAlignment w:val="auto"/>
        <w:rPr>
          <w:rFonts w:hint="eastAsia" w:ascii="黑体" w:hAnsi="宋体" w:eastAsia="黑体" w:cs="Times New Roman"/>
          <w:color w:val="auto"/>
          <w:sz w:val="32"/>
          <w:szCs w:val="32"/>
          <w:highlight w:val="none"/>
          <w:u w:val="none"/>
          <w:lang w:eastAsia="zh-CN"/>
        </w:rPr>
      </w:pPr>
      <w:r>
        <w:rPr>
          <w:rFonts w:hint="eastAsia" w:ascii="黑体" w:hAnsi="宋体" w:cs="Times New Roman"/>
          <w:color w:val="auto"/>
          <w:sz w:val="32"/>
          <w:szCs w:val="32"/>
          <w:highlight w:val="none"/>
          <w:u w:val="none"/>
          <w:lang w:eastAsia="zh-CN"/>
        </w:rPr>
        <w:t>五、</w:t>
      </w:r>
      <w:r>
        <w:rPr>
          <w:rFonts w:hint="eastAsia" w:ascii="黑体" w:hAnsi="宋体" w:eastAsia="黑体" w:cs="Times New Roman"/>
          <w:color w:val="auto"/>
          <w:sz w:val="32"/>
          <w:szCs w:val="32"/>
          <w:highlight w:val="none"/>
          <w:u w:val="none"/>
          <w:lang w:eastAsia="zh-CN"/>
        </w:rPr>
        <w:t>存在主要问题</w:t>
      </w:r>
    </w:p>
    <w:p w14:paraId="102FA935">
      <w:pPr>
        <w:spacing w:line="578" w:lineRule="exact"/>
        <w:ind w:firstLine="640"/>
        <w:rPr>
          <w:rFonts w:hint="eastAsia"/>
          <w:color w:val="auto"/>
          <w:lang w:val="zh-CN" w:eastAsia="zh-CN"/>
        </w:rPr>
      </w:pPr>
      <w:r>
        <w:rPr>
          <w:rFonts w:hint="eastAsia"/>
          <w:color w:val="auto"/>
          <w:lang w:val="zh-CN" w:eastAsia="zh-CN"/>
        </w:rPr>
        <w:t>无。</w:t>
      </w:r>
    </w:p>
    <w:p w14:paraId="1745503D">
      <w:pPr>
        <w:pStyle w:val="8"/>
        <w:pageBreakBefore w:val="0"/>
        <w:numPr>
          <w:ilvl w:val="0"/>
          <w:numId w:val="0"/>
        </w:numPr>
        <w:tabs>
          <w:tab w:val="left" w:pos="2160"/>
        </w:tabs>
        <w:kinsoku/>
        <w:wordWrap/>
        <w:overflowPunct/>
        <w:topLinePunct w:val="0"/>
        <w:autoSpaceDE/>
        <w:autoSpaceDN/>
        <w:bidi w:val="0"/>
        <w:adjustRightInd/>
        <w:spacing w:line="600" w:lineRule="exact"/>
        <w:ind w:firstLine="640" w:firstLineChars="200"/>
        <w:textAlignment w:val="auto"/>
        <w:rPr>
          <w:rFonts w:hint="eastAsia" w:ascii="黑体" w:hAnsi="宋体" w:eastAsia="黑体" w:cs="Times New Roman"/>
          <w:color w:val="auto"/>
          <w:kern w:val="0"/>
          <w:position w:val="3"/>
          <w:sz w:val="32"/>
          <w:szCs w:val="32"/>
          <w:highlight w:val="none"/>
          <w:u w:val="none"/>
          <w:lang w:val="zh-CN" w:eastAsia="zh-CN" w:bidi="ar-SA"/>
        </w:rPr>
      </w:pPr>
      <w:r>
        <w:rPr>
          <w:rFonts w:hint="eastAsia" w:ascii="黑体" w:hAnsi="宋体" w:eastAsia="黑体" w:cs="Times New Roman"/>
          <w:color w:val="auto"/>
          <w:kern w:val="0"/>
          <w:position w:val="3"/>
          <w:sz w:val="32"/>
          <w:szCs w:val="32"/>
          <w:highlight w:val="none"/>
          <w:u w:val="none"/>
          <w:lang w:val="zh-CN" w:eastAsia="zh-CN" w:bidi="ar-SA"/>
        </w:rPr>
        <w:t>六、改进建议</w:t>
      </w:r>
    </w:p>
    <w:p w14:paraId="4F0224C0">
      <w:pPr>
        <w:overflowPunct w:val="0"/>
        <w:adjustRightInd w:val="0"/>
        <w:snapToGrid w:val="0"/>
        <w:spacing w:line="600" w:lineRule="exact"/>
        <w:ind w:firstLine="640" w:firstLineChars="200"/>
        <w:textAlignment w:val="bottom"/>
        <w:rPr>
          <w:rFonts w:hint="eastAsia" w:ascii="仿宋_GB2312" w:eastAsia="仿宋_GB2312" w:cs="仿宋_GB2312"/>
          <w:sz w:val="32"/>
          <w:szCs w:val="32"/>
          <w:lang w:bidi="ar-SA"/>
        </w:rPr>
      </w:pPr>
      <w:r>
        <w:rPr>
          <w:rFonts w:hint="eastAsia" w:ascii="仿宋_GB2312"/>
          <w:sz w:val="32"/>
          <w:szCs w:val="32"/>
          <w:lang w:eastAsia="zh-CN"/>
        </w:rPr>
        <w:t>无</w:t>
      </w:r>
      <w:r>
        <w:rPr>
          <w:rFonts w:hint="eastAsia" w:ascii="仿宋_GB2312" w:eastAsia="仿宋_GB2312"/>
          <w:sz w:val="32"/>
          <w:szCs w:val="32"/>
        </w:rPr>
        <w:t>。</w:t>
      </w:r>
    </w:p>
    <w:p w14:paraId="05584667">
      <w:pPr>
        <w:tabs>
          <w:tab w:val="left" w:pos="1911"/>
        </w:tabs>
        <w:jc w:val="left"/>
        <w:rPr>
          <w:rFonts w:hint="eastAsia" w:ascii="仿宋_GB2312" w:hAnsi="仿宋_GB2312" w:eastAsia="仿宋_GB2312" w:cs="仿宋_GB2312"/>
          <w:b w:val="0"/>
          <w:bCs w:val="0"/>
          <w:kern w:val="0"/>
          <w:position w:val="0"/>
          <w:sz w:val="32"/>
          <w:szCs w:val="32"/>
          <w:highlight w:val="none"/>
          <w:lang w:val="en" w:eastAsia="zh-CN" w:bidi="ar-SA"/>
        </w:rPr>
      </w:pPr>
    </w:p>
    <w:p w14:paraId="04C89F8D">
      <w:pPr>
        <w:keepNext w:val="0"/>
        <w:keepLines w:val="0"/>
        <w:pageBreakBefore w:val="0"/>
        <w:kinsoku/>
        <w:wordWrap/>
        <w:overflowPunct/>
        <w:topLinePunct w:val="0"/>
        <w:autoSpaceDE/>
        <w:autoSpaceDN/>
        <w:bidi w:val="0"/>
        <w:adjustRightInd/>
        <w:snapToGrid w:val="0"/>
        <w:spacing w:line="578" w:lineRule="exact"/>
        <w:ind w:left="0" w:leftChars="0" w:firstLine="420" w:firstLineChars="200"/>
        <w:textAlignment w:val="auto"/>
        <w:outlineLvl w:val="9"/>
        <w:rPr>
          <w:rFonts w:hint="eastAsia" w:ascii="Times New Roman" w:hAnsi="Times New Roman" w:cs="Times New Roman"/>
          <w:color w:val="000000"/>
          <w:kern w:val="0"/>
          <w:szCs w:val="32"/>
          <w:highlight w:val="none"/>
          <w:shd w:val="clear" w:color="auto" w:fill="FFFFFF"/>
          <w:lang w:val="zh-CN" w:eastAsia="zh-CN"/>
        </w:rPr>
      </w:pPr>
    </w:p>
    <w:p w14:paraId="5919466B">
      <w:pPr>
        <w:snapToGrid w:val="0"/>
        <w:spacing w:line="578" w:lineRule="exact"/>
        <w:ind w:firstLine="1280" w:firstLineChars="400"/>
        <w:rPr>
          <w:rFonts w:hint="eastAsia" w:ascii="仿宋" w:hAnsi="仿宋" w:eastAsia="仿宋" w:cs="Times New Roman"/>
          <w:sz w:val="32"/>
          <w:szCs w:val="32"/>
          <w:lang w:val="en-US" w:eastAsia="zh-CN"/>
        </w:rPr>
      </w:pPr>
      <w:r>
        <w:rPr>
          <w:rFonts w:hint="eastAsia" w:ascii="仿宋" w:hAnsi="仿宋" w:eastAsia="仿宋" w:cs="Times New Roman"/>
          <w:sz w:val="32"/>
          <w:szCs w:val="32"/>
          <w:lang w:val="en-US" w:eastAsia="zh-CN"/>
        </w:rPr>
        <w:t>附表：1.项目资金分配涉及所有点位自评得分情况表</w:t>
      </w:r>
    </w:p>
    <w:p w14:paraId="5C05546E">
      <w:pPr>
        <w:snapToGrid w:val="0"/>
        <w:spacing w:line="578" w:lineRule="exact"/>
        <w:ind w:firstLine="2240" w:firstLineChars="700"/>
        <w:rPr>
          <w:rFonts w:hint="default" w:ascii="仿宋" w:hAnsi="仿宋" w:eastAsia="仿宋" w:cs="Times New Roman"/>
          <w:sz w:val="32"/>
          <w:szCs w:val="32"/>
          <w:lang w:val="en-US" w:eastAsia="zh-CN"/>
        </w:rPr>
      </w:pPr>
      <w:r>
        <w:rPr>
          <w:rFonts w:hint="eastAsia" w:ascii="仿宋" w:hAnsi="仿宋" w:eastAsia="仿宋" w:cs="Times New Roman"/>
          <w:sz w:val="32"/>
          <w:szCs w:val="32"/>
          <w:lang w:val="en-US" w:eastAsia="zh-CN"/>
        </w:rPr>
        <w:t>2.专项预算项目绩效目标完成情况自评表</w:t>
      </w:r>
    </w:p>
    <w:p w14:paraId="465482B9">
      <w:pPr>
        <w:keepNext w:val="0"/>
        <w:keepLines w:val="0"/>
        <w:pageBreakBefore w:val="0"/>
        <w:kinsoku/>
        <w:wordWrap/>
        <w:overflowPunct/>
        <w:topLinePunct w:val="0"/>
        <w:autoSpaceDE/>
        <w:autoSpaceDN/>
        <w:bidi w:val="0"/>
        <w:adjustRightInd/>
        <w:snapToGrid w:val="0"/>
        <w:spacing w:line="578" w:lineRule="exact"/>
        <w:textAlignment w:val="auto"/>
        <w:outlineLvl w:val="9"/>
        <w:rPr>
          <w:rFonts w:hint="eastAsia" w:ascii="黑体" w:hAnsi="黑体" w:eastAsia="黑体" w:cs="黑体"/>
          <w:b w:val="0"/>
          <w:bCs w:val="0"/>
          <w:color w:val="auto"/>
          <w:kern w:val="0"/>
          <w:sz w:val="32"/>
          <w:szCs w:val="32"/>
          <w:highlight w:val="none"/>
          <w:u w:val="none"/>
          <w:shd w:val="clear" w:color="auto" w:fill="FFFFFF"/>
          <w:lang w:val="zh-CN" w:eastAsia="zh-CN"/>
        </w:rPr>
      </w:pPr>
      <w:r>
        <w:rPr>
          <w:rFonts w:hint="eastAsia" w:ascii="黑体" w:hAnsi="黑体" w:eastAsia="黑体" w:cs="黑体"/>
          <w:b w:val="0"/>
          <w:bCs w:val="0"/>
          <w:color w:val="auto"/>
          <w:kern w:val="0"/>
          <w:sz w:val="32"/>
          <w:szCs w:val="32"/>
          <w:highlight w:val="none"/>
          <w:u w:val="none"/>
          <w:shd w:val="clear" w:color="auto" w:fill="FFFFFF"/>
          <w:lang w:val="zh-CN" w:eastAsia="zh-CN"/>
        </w:rPr>
        <w:t>附表</w:t>
      </w:r>
      <w:r>
        <w:rPr>
          <w:rFonts w:hint="eastAsia" w:ascii="黑体" w:hAnsi="黑体" w:eastAsia="黑体" w:cs="黑体"/>
          <w:b w:val="0"/>
          <w:bCs w:val="0"/>
          <w:color w:val="auto"/>
          <w:kern w:val="0"/>
          <w:sz w:val="32"/>
          <w:szCs w:val="32"/>
          <w:highlight w:val="none"/>
          <w:u w:val="none"/>
          <w:shd w:val="clear" w:color="auto" w:fill="FFFFFF"/>
          <w:lang w:val="en-US" w:eastAsia="zh-CN"/>
        </w:rPr>
        <w:t>1</w:t>
      </w:r>
    </w:p>
    <w:p w14:paraId="70E9E457">
      <w:pPr>
        <w:keepNext w:val="0"/>
        <w:keepLines w:val="0"/>
        <w:pageBreakBefore w:val="0"/>
        <w:kinsoku/>
        <w:wordWrap/>
        <w:overflowPunct/>
        <w:topLinePunct w:val="0"/>
        <w:autoSpaceDE/>
        <w:autoSpaceDN/>
        <w:bidi w:val="0"/>
        <w:spacing w:line="578" w:lineRule="exact"/>
        <w:ind w:left="0" w:leftChars="0"/>
        <w:jc w:val="center"/>
        <w:textAlignment w:val="auto"/>
        <w:rPr>
          <w:rFonts w:hint="eastAsia" w:ascii="方正小标宋_GBK" w:hAnsi="方正小标宋_GBK" w:eastAsia="方正小标宋_GBK" w:cs="方正小标宋_GBK"/>
          <w:b w:val="0"/>
          <w:bCs w:val="0"/>
          <w:color w:val="auto"/>
          <w:sz w:val="40"/>
          <w:szCs w:val="40"/>
          <w:highlight w:val="none"/>
          <w:u w:val="none"/>
          <w:lang w:val="en-US" w:eastAsia="zh-CN"/>
        </w:rPr>
      </w:pPr>
      <w:r>
        <w:rPr>
          <w:rFonts w:hint="eastAsia" w:ascii="方正小标宋_GBK" w:hAnsi="方正小标宋_GBK" w:eastAsia="方正小标宋_GBK" w:cs="方正小标宋_GBK"/>
          <w:b w:val="0"/>
          <w:bCs w:val="0"/>
          <w:color w:val="auto"/>
          <w:sz w:val="40"/>
          <w:szCs w:val="40"/>
          <w:highlight w:val="none"/>
          <w:u w:val="none"/>
          <w:lang w:val="en-US" w:eastAsia="zh-CN"/>
        </w:rPr>
        <w:t>项目资金分配涉及所有点位自评得分情况表</w:t>
      </w:r>
    </w:p>
    <w:tbl>
      <w:tblPr>
        <w:tblStyle w:val="21"/>
        <w:tblW w:w="88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23"/>
        <w:gridCol w:w="3291"/>
        <w:gridCol w:w="2576"/>
        <w:gridCol w:w="1830"/>
      </w:tblGrid>
      <w:tr w14:paraId="1FF8E4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5BCED3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auto"/>
              <w:outlineLvl w:val="9"/>
              <w:rPr>
                <w:rFonts w:hint="eastAsia" w:ascii="黑体" w:hAnsi="黑体" w:eastAsia="黑体" w:cs="黑体"/>
                <w:b w:val="0"/>
                <w:bCs w:val="0"/>
                <w:color w:val="auto"/>
                <w:sz w:val="24"/>
                <w:szCs w:val="24"/>
                <w:highlight w:val="none"/>
                <w:u w:val="none"/>
                <w:vertAlign w:val="baseline"/>
                <w:lang w:val="en-US" w:eastAsia="zh-CN"/>
              </w:rPr>
            </w:pPr>
            <w:r>
              <w:rPr>
                <w:rFonts w:hint="eastAsia" w:ascii="黑体" w:hAnsi="黑体" w:eastAsia="黑体" w:cs="黑体"/>
                <w:b w:val="0"/>
                <w:bCs w:val="0"/>
                <w:color w:val="auto"/>
                <w:sz w:val="24"/>
                <w:szCs w:val="24"/>
                <w:highlight w:val="none"/>
                <w:u w:val="none"/>
                <w:vertAlign w:val="baseline"/>
                <w:lang w:val="en-US" w:eastAsia="zh-CN"/>
              </w:rPr>
              <w:t>序号</w:t>
            </w:r>
          </w:p>
        </w:tc>
        <w:tc>
          <w:tcPr>
            <w:tcW w:w="3291" w:type="dxa"/>
            <w:vAlign w:val="top"/>
          </w:tcPr>
          <w:p w14:paraId="576B02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auto"/>
              <w:outlineLvl w:val="9"/>
              <w:rPr>
                <w:rFonts w:hint="eastAsia" w:ascii="黑体" w:hAnsi="黑体" w:eastAsia="黑体" w:cs="黑体"/>
                <w:b w:val="0"/>
                <w:bCs w:val="0"/>
                <w:color w:val="auto"/>
                <w:sz w:val="24"/>
                <w:szCs w:val="24"/>
                <w:highlight w:val="none"/>
                <w:u w:val="none"/>
                <w:vertAlign w:val="baseline"/>
                <w:lang w:val="en" w:eastAsia="zh-CN"/>
              </w:rPr>
            </w:pPr>
            <w:r>
              <w:rPr>
                <w:rFonts w:hint="eastAsia" w:ascii="黑体" w:hAnsi="黑体" w:eastAsia="黑体" w:cs="黑体"/>
                <w:b w:val="0"/>
                <w:bCs w:val="0"/>
                <w:color w:val="auto"/>
                <w:sz w:val="24"/>
                <w:szCs w:val="24"/>
                <w:highlight w:val="none"/>
                <w:u w:val="none"/>
                <w:vertAlign w:val="baseline"/>
                <w:lang w:val="en-US" w:eastAsia="zh-CN"/>
              </w:rPr>
              <w:t>项目资金末端分配点位</w:t>
            </w:r>
          </w:p>
        </w:tc>
        <w:tc>
          <w:tcPr>
            <w:tcW w:w="2576" w:type="dxa"/>
            <w:vAlign w:val="top"/>
          </w:tcPr>
          <w:p w14:paraId="0798A4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auto"/>
              <w:outlineLvl w:val="9"/>
              <w:rPr>
                <w:rFonts w:hint="eastAsia" w:ascii="黑体" w:hAnsi="黑体" w:eastAsia="黑体" w:cs="黑体"/>
                <w:b w:val="0"/>
                <w:bCs w:val="0"/>
                <w:color w:val="auto"/>
                <w:sz w:val="24"/>
                <w:szCs w:val="24"/>
                <w:highlight w:val="none"/>
                <w:u w:val="none"/>
                <w:vertAlign w:val="baseline"/>
                <w:lang w:val="en-US" w:eastAsia="zh-CN"/>
              </w:rPr>
            </w:pPr>
            <w:r>
              <w:rPr>
                <w:rFonts w:hint="eastAsia" w:ascii="黑体" w:hAnsi="黑体" w:eastAsia="黑体" w:cs="黑体"/>
                <w:b w:val="0"/>
                <w:bCs w:val="0"/>
                <w:color w:val="auto"/>
                <w:sz w:val="24"/>
                <w:szCs w:val="24"/>
                <w:highlight w:val="none"/>
                <w:u w:val="none"/>
                <w:vertAlign w:val="baseline"/>
                <w:lang w:val="en" w:eastAsia="zh-CN"/>
              </w:rPr>
              <w:t>自评得分（百分制）</w:t>
            </w:r>
          </w:p>
        </w:tc>
        <w:tc>
          <w:tcPr>
            <w:tcW w:w="1830" w:type="dxa"/>
            <w:vAlign w:val="top"/>
          </w:tcPr>
          <w:p w14:paraId="224A63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auto"/>
              <w:outlineLvl w:val="9"/>
              <w:rPr>
                <w:rFonts w:hint="eastAsia" w:ascii="黑体" w:hAnsi="黑体" w:eastAsia="黑体" w:cs="黑体"/>
                <w:b w:val="0"/>
                <w:bCs w:val="0"/>
                <w:color w:val="auto"/>
                <w:sz w:val="24"/>
                <w:szCs w:val="24"/>
                <w:highlight w:val="none"/>
                <w:u w:val="none"/>
                <w:vertAlign w:val="baseline"/>
                <w:lang w:val="en-US" w:eastAsia="zh-CN"/>
              </w:rPr>
            </w:pPr>
            <w:r>
              <w:rPr>
                <w:rFonts w:hint="eastAsia" w:ascii="黑体" w:hAnsi="黑体" w:eastAsia="黑体" w:cs="黑体"/>
                <w:b w:val="0"/>
                <w:bCs w:val="0"/>
                <w:color w:val="auto"/>
                <w:sz w:val="24"/>
                <w:szCs w:val="24"/>
                <w:highlight w:val="none"/>
                <w:u w:val="none"/>
                <w:vertAlign w:val="baseline"/>
                <w:lang w:val="en-US" w:eastAsia="zh-CN"/>
              </w:rPr>
              <w:t>备注</w:t>
            </w:r>
          </w:p>
        </w:tc>
      </w:tr>
      <w:tr w14:paraId="6567F7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exact"/>
          <w:jc w:val="center"/>
        </w:trPr>
        <w:tc>
          <w:tcPr>
            <w:tcW w:w="1123" w:type="dxa"/>
            <w:vAlign w:val="top"/>
          </w:tcPr>
          <w:p w14:paraId="6D4434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auto"/>
              <w:outlineLvl w:val="9"/>
              <w:rPr>
                <w:rFonts w:hint="eastAsia" w:ascii="宋体" w:hAnsi="宋体" w:eastAsia="宋体" w:cs="宋体"/>
                <w:b w:val="0"/>
                <w:bCs w:val="0"/>
                <w:color w:val="auto"/>
                <w:sz w:val="24"/>
                <w:szCs w:val="24"/>
                <w:highlight w:val="none"/>
                <w:u w:val="none"/>
                <w:lang w:val="en-US" w:eastAsia="zh-CN"/>
              </w:rPr>
            </w:pPr>
            <w:r>
              <w:rPr>
                <w:rFonts w:hint="eastAsia" w:ascii="宋体" w:hAnsi="宋体" w:eastAsia="宋体" w:cs="宋体"/>
                <w:b w:val="0"/>
                <w:bCs w:val="0"/>
                <w:color w:val="auto"/>
                <w:sz w:val="24"/>
                <w:szCs w:val="24"/>
                <w:highlight w:val="none"/>
                <w:u w:val="none"/>
                <w:lang w:val="en-US" w:eastAsia="zh-CN"/>
              </w:rPr>
              <w:t>1</w:t>
            </w:r>
          </w:p>
        </w:tc>
        <w:tc>
          <w:tcPr>
            <w:tcW w:w="3291" w:type="dxa"/>
            <w:vAlign w:val="top"/>
          </w:tcPr>
          <w:p w14:paraId="679E29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textAlignment w:val="auto"/>
              <w:outlineLvl w:val="9"/>
              <w:rPr>
                <w:rFonts w:hint="eastAsia" w:ascii="宋体" w:hAnsi="宋体" w:cs="宋体"/>
                <w:color w:val="auto"/>
                <w:sz w:val="24"/>
                <w:szCs w:val="24"/>
                <w:highlight w:val="none"/>
                <w:u w:val="none"/>
                <w:vertAlign w:val="baseline"/>
                <w:lang w:val="en" w:eastAsia="zh-CN"/>
              </w:rPr>
            </w:pPr>
          </w:p>
        </w:tc>
        <w:tc>
          <w:tcPr>
            <w:tcW w:w="2576" w:type="dxa"/>
            <w:vAlign w:val="top"/>
          </w:tcPr>
          <w:p w14:paraId="39CDDD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textAlignment w:val="auto"/>
              <w:outlineLvl w:val="9"/>
              <w:rPr>
                <w:rFonts w:hint="default" w:ascii="宋体" w:hAnsi="宋体" w:cs="宋体"/>
                <w:color w:val="auto"/>
                <w:sz w:val="24"/>
                <w:szCs w:val="24"/>
                <w:highlight w:val="none"/>
                <w:u w:val="none"/>
                <w:vertAlign w:val="baseline"/>
                <w:lang w:val="en-US" w:eastAsia="zh-CN"/>
              </w:rPr>
            </w:pPr>
          </w:p>
        </w:tc>
        <w:tc>
          <w:tcPr>
            <w:tcW w:w="1830" w:type="dxa"/>
            <w:vAlign w:val="top"/>
          </w:tcPr>
          <w:p w14:paraId="7559B0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textAlignment w:val="auto"/>
              <w:outlineLvl w:val="9"/>
              <w:rPr>
                <w:rFonts w:hint="eastAsia" w:ascii="宋体" w:hAnsi="宋体" w:cs="宋体"/>
                <w:color w:val="auto"/>
                <w:sz w:val="24"/>
                <w:szCs w:val="24"/>
                <w:highlight w:val="none"/>
                <w:u w:val="none"/>
                <w:vertAlign w:val="baseline"/>
                <w:lang w:val="en-US" w:eastAsia="zh-CN"/>
              </w:rPr>
            </w:pPr>
          </w:p>
        </w:tc>
      </w:tr>
      <w:tr w14:paraId="2469BF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750A4B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auto"/>
              <w:outlineLvl w:val="9"/>
              <w:rPr>
                <w:rFonts w:hint="eastAsia" w:ascii="宋体" w:hAnsi="宋体" w:eastAsia="宋体" w:cs="宋体"/>
                <w:b w:val="0"/>
                <w:bCs w:val="0"/>
                <w:color w:val="auto"/>
                <w:sz w:val="24"/>
                <w:szCs w:val="24"/>
                <w:highlight w:val="none"/>
                <w:u w:val="none"/>
                <w:lang w:val="en-US" w:eastAsia="zh-CN"/>
              </w:rPr>
            </w:pPr>
            <w:r>
              <w:rPr>
                <w:rFonts w:hint="eastAsia" w:ascii="宋体" w:hAnsi="宋体" w:eastAsia="宋体" w:cs="宋体"/>
                <w:b w:val="0"/>
                <w:bCs w:val="0"/>
                <w:color w:val="auto"/>
                <w:sz w:val="24"/>
                <w:szCs w:val="24"/>
                <w:highlight w:val="none"/>
                <w:u w:val="none"/>
                <w:lang w:val="en-US" w:eastAsia="zh-CN"/>
              </w:rPr>
              <w:t>2</w:t>
            </w:r>
          </w:p>
        </w:tc>
        <w:tc>
          <w:tcPr>
            <w:tcW w:w="3291" w:type="dxa"/>
            <w:vAlign w:val="top"/>
          </w:tcPr>
          <w:p w14:paraId="31D37E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textAlignment w:val="auto"/>
              <w:outlineLvl w:val="9"/>
              <w:rPr>
                <w:rFonts w:hint="eastAsia" w:ascii="宋体" w:hAnsi="宋体" w:cs="宋体"/>
                <w:color w:val="auto"/>
                <w:sz w:val="24"/>
                <w:szCs w:val="24"/>
                <w:highlight w:val="none"/>
                <w:u w:val="none"/>
                <w:vertAlign w:val="baseline"/>
                <w:lang w:val="en" w:eastAsia="zh-CN"/>
              </w:rPr>
            </w:pPr>
          </w:p>
        </w:tc>
        <w:tc>
          <w:tcPr>
            <w:tcW w:w="2576" w:type="dxa"/>
            <w:vAlign w:val="top"/>
          </w:tcPr>
          <w:p w14:paraId="6609F1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textAlignment w:val="auto"/>
              <w:outlineLvl w:val="9"/>
              <w:rPr>
                <w:rFonts w:hint="eastAsia" w:ascii="宋体" w:hAnsi="宋体" w:cs="宋体"/>
                <w:color w:val="auto"/>
                <w:sz w:val="24"/>
                <w:szCs w:val="24"/>
                <w:highlight w:val="none"/>
                <w:u w:val="none"/>
                <w:vertAlign w:val="baseline"/>
                <w:lang w:val="en" w:eastAsia="zh-CN"/>
              </w:rPr>
            </w:pPr>
          </w:p>
        </w:tc>
        <w:tc>
          <w:tcPr>
            <w:tcW w:w="1830" w:type="dxa"/>
            <w:vAlign w:val="top"/>
          </w:tcPr>
          <w:p w14:paraId="61BC46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textAlignment w:val="auto"/>
              <w:outlineLvl w:val="9"/>
              <w:rPr>
                <w:rFonts w:hint="eastAsia" w:ascii="宋体" w:hAnsi="宋体" w:cs="宋体"/>
                <w:color w:val="auto"/>
                <w:sz w:val="24"/>
                <w:szCs w:val="24"/>
                <w:highlight w:val="none"/>
                <w:u w:val="none"/>
                <w:vertAlign w:val="baseline"/>
                <w:lang w:val="en-US" w:eastAsia="zh-CN"/>
              </w:rPr>
            </w:pPr>
          </w:p>
        </w:tc>
      </w:tr>
      <w:tr w14:paraId="0D9B32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66BAA2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auto"/>
              <w:outlineLvl w:val="9"/>
              <w:rPr>
                <w:rFonts w:hint="eastAsia" w:ascii="宋体" w:hAnsi="宋体" w:eastAsia="宋体" w:cs="宋体"/>
                <w:b w:val="0"/>
                <w:bCs w:val="0"/>
                <w:color w:val="auto"/>
                <w:sz w:val="24"/>
                <w:szCs w:val="24"/>
                <w:highlight w:val="none"/>
                <w:u w:val="none"/>
                <w:lang w:val="en-US" w:eastAsia="zh-CN"/>
              </w:rPr>
            </w:pPr>
            <w:r>
              <w:rPr>
                <w:rFonts w:hint="eastAsia" w:ascii="宋体" w:hAnsi="宋体" w:eastAsia="宋体" w:cs="宋体"/>
                <w:b w:val="0"/>
                <w:bCs w:val="0"/>
                <w:color w:val="auto"/>
                <w:sz w:val="24"/>
                <w:szCs w:val="24"/>
                <w:highlight w:val="none"/>
                <w:u w:val="none"/>
                <w:lang w:val="en-US" w:eastAsia="zh-CN"/>
              </w:rPr>
              <w:t>3</w:t>
            </w:r>
          </w:p>
        </w:tc>
        <w:tc>
          <w:tcPr>
            <w:tcW w:w="3291" w:type="dxa"/>
            <w:vAlign w:val="top"/>
          </w:tcPr>
          <w:p w14:paraId="4BEEB9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textAlignment w:val="auto"/>
              <w:outlineLvl w:val="9"/>
              <w:rPr>
                <w:rFonts w:hint="eastAsia" w:ascii="宋体" w:hAnsi="宋体" w:cs="宋体"/>
                <w:color w:val="auto"/>
                <w:sz w:val="24"/>
                <w:szCs w:val="24"/>
                <w:highlight w:val="none"/>
                <w:u w:val="none"/>
                <w:vertAlign w:val="baseline"/>
                <w:lang w:val="en" w:eastAsia="zh-CN"/>
              </w:rPr>
            </w:pPr>
          </w:p>
        </w:tc>
        <w:tc>
          <w:tcPr>
            <w:tcW w:w="2576" w:type="dxa"/>
            <w:vAlign w:val="top"/>
          </w:tcPr>
          <w:p w14:paraId="613151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textAlignment w:val="auto"/>
              <w:outlineLvl w:val="9"/>
              <w:rPr>
                <w:rFonts w:hint="eastAsia" w:ascii="宋体" w:hAnsi="宋体" w:cs="宋体"/>
                <w:color w:val="auto"/>
                <w:sz w:val="24"/>
                <w:szCs w:val="24"/>
                <w:highlight w:val="none"/>
                <w:u w:val="none"/>
                <w:vertAlign w:val="baseline"/>
                <w:lang w:val="en" w:eastAsia="zh-CN"/>
              </w:rPr>
            </w:pPr>
          </w:p>
        </w:tc>
        <w:tc>
          <w:tcPr>
            <w:tcW w:w="1830" w:type="dxa"/>
            <w:vAlign w:val="top"/>
          </w:tcPr>
          <w:p w14:paraId="3191E7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textAlignment w:val="auto"/>
              <w:outlineLvl w:val="9"/>
              <w:rPr>
                <w:rFonts w:hint="eastAsia" w:ascii="宋体" w:hAnsi="宋体" w:cs="宋体"/>
                <w:color w:val="auto"/>
                <w:sz w:val="24"/>
                <w:szCs w:val="24"/>
                <w:highlight w:val="none"/>
                <w:u w:val="none"/>
                <w:vertAlign w:val="baseline"/>
                <w:lang w:val="en-US" w:eastAsia="zh-CN"/>
              </w:rPr>
            </w:pPr>
          </w:p>
        </w:tc>
      </w:tr>
      <w:tr w14:paraId="5F0DF3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53C1BF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auto"/>
              <w:outlineLvl w:val="9"/>
              <w:rPr>
                <w:rFonts w:hint="eastAsia" w:ascii="宋体" w:hAnsi="宋体" w:eastAsia="宋体" w:cs="宋体"/>
                <w:b w:val="0"/>
                <w:bCs w:val="0"/>
                <w:color w:val="auto"/>
                <w:sz w:val="24"/>
                <w:szCs w:val="24"/>
                <w:highlight w:val="none"/>
                <w:u w:val="none"/>
                <w:lang w:val="en-US" w:eastAsia="zh-CN"/>
              </w:rPr>
            </w:pPr>
            <w:r>
              <w:rPr>
                <w:rFonts w:hint="eastAsia" w:ascii="宋体" w:hAnsi="宋体" w:eastAsia="宋体" w:cs="宋体"/>
                <w:b w:val="0"/>
                <w:bCs w:val="0"/>
                <w:color w:val="auto"/>
                <w:sz w:val="24"/>
                <w:szCs w:val="24"/>
                <w:highlight w:val="none"/>
                <w:u w:val="none"/>
                <w:lang w:val="en-US" w:eastAsia="zh-CN"/>
              </w:rPr>
              <w:t>4</w:t>
            </w:r>
          </w:p>
        </w:tc>
        <w:tc>
          <w:tcPr>
            <w:tcW w:w="3291" w:type="dxa"/>
            <w:vAlign w:val="top"/>
          </w:tcPr>
          <w:p w14:paraId="62443F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textAlignment w:val="auto"/>
              <w:outlineLvl w:val="9"/>
              <w:rPr>
                <w:rFonts w:hint="eastAsia" w:ascii="宋体" w:hAnsi="宋体" w:cs="宋体"/>
                <w:color w:val="auto"/>
                <w:sz w:val="24"/>
                <w:szCs w:val="24"/>
                <w:highlight w:val="none"/>
                <w:u w:val="none"/>
                <w:vertAlign w:val="baseline"/>
                <w:lang w:val="en" w:eastAsia="zh-CN"/>
              </w:rPr>
            </w:pPr>
          </w:p>
        </w:tc>
        <w:tc>
          <w:tcPr>
            <w:tcW w:w="2576" w:type="dxa"/>
            <w:vAlign w:val="top"/>
          </w:tcPr>
          <w:p w14:paraId="7ADD21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textAlignment w:val="auto"/>
              <w:outlineLvl w:val="9"/>
              <w:rPr>
                <w:rFonts w:hint="eastAsia" w:ascii="宋体" w:hAnsi="宋体" w:cs="宋体"/>
                <w:color w:val="auto"/>
                <w:sz w:val="24"/>
                <w:szCs w:val="24"/>
                <w:highlight w:val="none"/>
                <w:u w:val="none"/>
                <w:vertAlign w:val="baseline"/>
                <w:lang w:val="en" w:eastAsia="zh-CN"/>
              </w:rPr>
            </w:pPr>
          </w:p>
        </w:tc>
        <w:tc>
          <w:tcPr>
            <w:tcW w:w="1830" w:type="dxa"/>
            <w:vAlign w:val="top"/>
          </w:tcPr>
          <w:p w14:paraId="33FDA0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textAlignment w:val="auto"/>
              <w:outlineLvl w:val="9"/>
              <w:rPr>
                <w:rFonts w:hint="eastAsia" w:ascii="宋体" w:hAnsi="宋体" w:cs="宋体"/>
                <w:color w:val="auto"/>
                <w:sz w:val="24"/>
                <w:szCs w:val="24"/>
                <w:highlight w:val="none"/>
                <w:u w:val="none"/>
                <w:vertAlign w:val="baseline"/>
                <w:lang w:val="en-US" w:eastAsia="zh-CN"/>
              </w:rPr>
            </w:pPr>
          </w:p>
        </w:tc>
      </w:tr>
      <w:tr w14:paraId="5CDDF2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5F113D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auto"/>
              <w:outlineLvl w:val="9"/>
              <w:rPr>
                <w:rFonts w:hint="eastAsia" w:ascii="宋体" w:hAnsi="宋体" w:eastAsia="宋体" w:cs="宋体"/>
                <w:b w:val="0"/>
                <w:bCs w:val="0"/>
                <w:color w:val="auto"/>
                <w:sz w:val="24"/>
                <w:szCs w:val="24"/>
                <w:highlight w:val="none"/>
                <w:u w:val="none"/>
                <w:lang w:val="en-US" w:eastAsia="zh-CN"/>
              </w:rPr>
            </w:pPr>
            <w:r>
              <w:rPr>
                <w:rFonts w:hint="eastAsia" w:ascii="宋体" w:hAnsi="宋体" w:eastAsia="宋体" w:cs="宋体"/>
                <w:b w:val="0"/>
                <w:bCs w:val="0"/>
                <w:color w:val="auto"/>
                <w:sz w:val="24"/>
                <w:szCs w:val="24"/>
                <w:highlight w:val="none"/>
                <w:u w:val="none"/>
                <w:lang w:val="en-US" w:eastAsia="zh-CN"/>
              </w:rPr>
              <w:t>5</w:t>
            </w:r>
          </w:p>
        </w:tc>
        <w:tc>
          <w:tcPr>
            <w:tcW w:w="3291" w:type="dxa"/>
            <w:vAlign w:val="top"/>
          </w:tcPr>
          <w:p w14:paraId="612D01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textAlignment w:val="auto"/>
              <w:outlineLvl w:val="9"/>
              <w:rPr>
                <w:rFonts w:hint="eastAsia" w:ascii="宋体" w:hAnsi="宋体" w:cs="宋体"/>
                <w:color w:val="auto"/>
                <w:sz w:val="24"/>
                <w:szCs w:val="24"/>
                <w:highlight w:val="none"/>
                <w:u w:val="none"/>
                <w:vertAlign w:val="baseline"/>
                <w:lang w:val="en" w:eastAsia="zh-CN"/>
              </w:rPr>
            </w:pPr>
          </w:p>
        </w:tc>
        <w:tc>
          <w:tcPr>
            <w:tcW w:w="2576" w:type="dxa"/>
            <w:vAlign w:val="top"/>
          </w:tcPr>
          <w:p w14:paraId="7C2B90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textAlignment w:val="auto"/>
              <w:outlineLvl w:val="9"/>
              <w:rPr>
                <w:rFonts w:hint="eastAsia" w:ascii="宋体" w:hAnsi="宋体" w:cs="宋体"/>
                <w:color w:val="auto"/>
                <w:sz w:val="24"/>
                <w:szCs w:val="24"/>
                <w:highlight w:val="none"/>
                <w:u w:val="none"/>
                <w:vertAlign w:val="baseline"/>
                <w:lang w:val="en" w:eastAsia="zh-CN"/>
              </w:rPr>
            </w:pPr>
          </w:p>
        </w:tc>
        <w:tc>
          <w:tcPr>
            <w:tcW w:w="1830" w:type="dxa"/>
            <w:vAlign w:val="top"/>
          </w:tcPr>
          <w:p w14:paraId="4DF59D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textAlignment w:val="auto"/>
              <w:outlineLvl w:val="9"/>
              <w:rPr>
                <w:rFonts w:hint="eastAsia" w:ascii="宋体" w:hAnsi="宋体" w:cs="宋体"/>
                <w:color w:val="auto"/>
                <w:sz w:val="24"/>
                <w:szCs w:val="24"/>
                <w:highlight w:val="none"/>
                <w:u w:val="none"/>
                <w:vertAlign w:val="baseline"/>
                <w:lang w:val="en-US" w:eastAsia="zh-CN"/>
              </w:rPr>
            </w:pPr>
          </w:p>
        </w:tc>
      </w:tr>
      <w:tr w14:paraId="46FB22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4F1066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auto"/>
              <w:outlineLvl w:val="9"/>
              <w:rPr>
                <w:rFonts w:hint="eastAsia" w:ascii="宋体" w:hAnsi="宋体" w:eastAsia="宋体" w:cs="宋体"/>
                <w:b w:val="0"/>
                <w:bCs w:val="0"/>
                <w:color w:val="auto"/>
                <w:sz w:val="24"/>
                <w:szCs w:val="24"/>
                <w:highlight w:val="none"/>
                <w:u w:val="none"/>
                <w:lang w:val="en-US" w:eastAsia="zh-CN"/>
              </w:rPr>
            </w:pPr>
            <w:r>
              <w:rPr>
                <w:rFonts w:hint="eastAsia" w:ascii="宋体" w:hAnsi="宋体" w:eastAsia="宋体" w:cs="宋体"/>
                <w:b w:val="0"/>
                <w:bCs w:val="0"/>
                <w:color w:val="auto"/>
                <w:sz w:val="24"/>
                <w:szCs w:val="24"/>
                <w:highlight w:val="none"/>
                <w:u w:val="none"/>
                <w:lang w:val="en-US" w:eastAsia="zh-CN"/>
              </w:rPr>
              <w:t>6</w:t>
            </w:r>
          </w:p>
        </w:tc>
        <w:tc>
          <w:tcPr>
            <w:tcW w:w="3291" w:type="dxa"/>
            <w:vAlign w:val="top"/>
          </w:tcPr>
          <w:p w14:paraId="281636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textAlignment w:val="auto"/>
              <w:outlineLvl w:val="9"/>
              <w:rPr>
                <w:rFonts w:hint="eastAsia" w:ascii="宋体" w:hAnsi="宋体" w:cs="宋体"/>
                <w:color w:val="auto"/>
                <w:sz w:val="24"/>
                <w:szCs w:val="24"/>
                <w:highlight w:val="none"/>
                <w:u w:val="none"/>
                <w:vertAlign w:val="baseline"/>
                <w:lang w:val="en" w:eastAsia="zh-CN"/>
              </w:rPr>
            </w:pPr>
          </w:p>
        </w:tc>
        <w:tc>
          <w:tcPr>
            <w:tcW w:w="2576" w:type="dxa"/>
            <w:vAlign w:val="top"/>
          </w:tcPr>
          <w:p w14:paraId="08E7E5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textAlignment w:val="auto"/>
              <w:outlineLvl w:val="9"/>
              <w:rPr>
                <w:rFonts w:hint="eastAsia" w:ascii="宋体" w:hAnsi="宋体" w:cs="宋体"/>
                <w:color w:val="auto"/>
                <w:sz w:val="24"/>
                <w:szCs w:val="24"/>
                <w:highlight w:val="none"/>
                <w:u w:val="none"/>
                <w:vertAlign w:val="baseline"/>
                <w:lang w:val="en" w:eastAsia="zh-CN"/>
              </w:rPr>
            </w:pPr>
          </w:p>
        </w:tc>
        <w:tc>
          <w:tcPr>
            <w:tcW w:w="1830" w:type="dxa"/>
            <w:vAlign w:val="top"/>
          </w:tcPr>
          <w:p w14:paraId="7276DD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textAlignment w:val="auto"/>
              <w:outlineLvl w:val="9"/>
              <w:rPr>
                <w:rFonts w:hint="eastAsia" w:ascii="宋体" w:hAnsi="宋体" w:cs="宋体"/>
                <w:color w:val="auto"/>
                <w:sz w:val="24"/>
                <w:szCs w:val="24"/>
                <w:highlight w:val="none"/>
                <w:u w:val="none"/>
                <w:vertAlign w:val="baseline"/>
                <w:lang w:val="en-US" w:eastAsia="zh-CN"/>
              </w:rPr>
            </w:pPr>
          </w:p>
        </w:tc>
      </w:tr>
      <w:tr w14:paraId="4606B9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0FC48A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auto"/>
              <w:outlineLvl w:val="9"/>
              <w:rPr>
                <w:rFonts w:hint="eastAsia" w:ascii="宋体" w:hAnsi="宋体" w:eastAsia="宋体" w:cs="宋体"/>
                <w:b w:val="0"/>
                <w:bCs w:val="0"/>
                <w:color w:val="auto"/>
                <w:sz w:val="24"/>
                <w:szCs w:val="24"/>
                <w:highlight w:val="none"/>
                <w:u w:val="none"/>
                <w:lang w:val="en-US" w:eastAsia="zh-CN"/>
              </w:rPr>
            </w:pPr>
            <w:r>
              <w:rPr>
                <w:rFonts w:hint="eastAsia" w:ascii="宋体" w:hAnsi="宋体" w:eastAsia="宋体" w:cs="宋体"/>
                <w:b w:val="0"/>
                <w:bCs w:val="0"/>
                <w:color w:val="auto"/>
                <w:sz w:val="24"/>
                <w:szCs w:val="24"/>
                <w:highlight w:val="none"/>
                <w:u w:val="none"/>
                <w:lang w:val="en-US" w:eastAsia="zh-CN"/>
              </w:rPr>
              <w:t>7</w:t>
            </w:r>
          </w:p>
        </w:tc>
        <w:tc>
          <w:tcPr>
            <w:tcW w:w="3291" w:type="dxa"/>
            <w:vAlign w:val="top"/>
          </w:tcPr>
          <w:p w14:paraId="6B73D0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textAlignment w:val="auto"/>
              <w:outlineLvl w:val="9"/>
              <w:rPr>
                <w:rFonts w:hint="eastAsia" w:ascii="宋体" w:hAnsi="宋体" w:cs="宋体"/>
                <w:color w:val="auto"/>
                <w:sz w:val="24"/>
                <w:szCs w:val="24"/>
                <w:highlight w:val="none"/>
                <w:u w:val="none"/>
                <w:vertAlign w:val="baseline"/>
                <w:lang w:val="en" w:eastAsia="zh-CN"/>
              </w:rPr>
            </w:pPr>
          </w:p>
        </w:tc>
        <w:tc>
          <w:tcPr>
            <w:tcW w:w="2576" w:type="dxa"/>
            <w:vAlign w:val="top"/>
          </w:tcPr>
          <w:p w14:paraId="7F4835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textAlignment w:val="auto"/>
              <w:outlineLvl w:val="9"/>
              <w:rPr>
                <w:rFonts w:hint="eastAsia" w:ascii="宋体" w:hAnsi="宋体" w:cs="宋体"/>
                <w:color w:val="auto"/>
                <w:sz w:val="24"/>
                <w:szCs w:val="24"/>
                <w:highlight w:val="none"/>
                <w:u w:val="none"/>
                <w:vertAlign w:val="baseline"/>
                <w:lang w:val="en" w:eastAsia="zh-CN"/>
              </w:rPr>
            </w:pPr>
          </w:p>
        </w:tc>
        <w:tc>
          <w:tcPr>
            <w:tcW w:w="1830" w:type="dxa"/>
            <w:vAlign w:val="top"/>
          </w:tcPr>
          <w:p w14:paraId="6DD5FB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textAlignment w:val="auto"/>
              <w:outlineLvl w:val="9"/>
              <w:rPr>
                <w:rFonts w:hint="eastAsia" w:ascii="宋体" w:hAnsi="宋体" w:cs="宋体"/>
                <w:color w:val="auto"/>
                <w:sz w:val="24"/>
                <w:szCs w:val="24"/>
                <w:highlight w:val="none"/>
                <w:u w:val="none"/>
                <w:vertAlign w:val="baseline"/>
                <w:lang w:val="en-US" w:eastAsia="zh-CN"/>
              </w:rPr>
            </w:pPr>
          </w:p>
        </w:tc>
      </w:tr>
      <w:tr w14:paraId="14085F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36F33C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auto"/>
              <w:outlineLvl w:val="9"/>
              <w:rPr>
                <w:rFonts w:hint="eastAsia" w:ascii="宋体" w:hAnsi="宋体" w:eastAsia="宋体" w:cs="宋体"/>
                <w:b w:val="0"/>
                <w:bCs w:val="0"/>
                <w:color w:val="auto"/>
                <w:sz w:val="24"/>
                <w:szCs w:val="24"/>
                <w:highlight w:val="none"/>
                <w:u w:val="none"/>
                <w:lang w:val="en-US" w:eastAsia="zh-CN"/>
              </w:rPr>
            </w:pPr>
            <w:r>
              <w:rPr>
                <w:rFonts w:hint="eastAsia" w:ascii="宋体" w:hAnsi="宋体" w:eastAsia="宋体" w:cs="宋体"/>
                <w:b w:val="0"/>
                <w:bCs w:val="0"/>
                <w:color w:val="auto"/>
                <w:sz w:val="24"/>
                <w:szCs w:val="24"/>
                <w:highlight w:val="none"/>
                <w:u w:val="none"/>
                <w:lang w:val="en-US" w:eastAsia="zh-CN"/>
              </w:rPr>
              <w:t>8</w:t>
            </w:r>
          </w:p>
        </w:tc>
        <w:tc>
          <w:tcPr>
            <w:tcW w:w="3291" w:type="dxa"/>
            <w:vAlign w:val="top"/>
          </w:tcPr>
          <w:p w14:paraId="599CA0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textAlignment w:val="auto"/>
              <w:outlineLvl w:val="9"/>
              <w:rPr>
                <w:rFonts w:hint="eastAsia" w:ascii="宋体" w:hAnsi="宋体" w:cs="宋体"/>
                <w:color w:val="auto"/>
                <w:sz w:val="24"/>
                <w:szCs w:val="24"/>
                <w:highlight w:val="none"/>
                <w:u w:val="none"/>
                <w:vertAlign w:val="baseline"/>
                <w:lang w:val="en" w:eastAsia="zh-CN"/>
              </w:rPr>
            </w:pPr>
          </w:p>
        </w:tc>
        <w:tc>
          <w:tcPr>
            <w:tcW w:w="2576" w:type="dxa"/>
            <w:vAlign w:val="top"/>
          </w:tcPr>
          <w:p w14:paraId="392434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textAlignment w:val="auto"/>
              <w:outlineLvl w:val="9"/>
              <w:rPr>
                <w:rFonts w:hint="eastAsia" w:ascii="宋体" w:hAnsi="宋体" w:cs="宋体"/>
                <w:color w:val="auto"/>
                <w:sz w:val="24"/>
                <w:szCs w:val="24"/>
                <w:highlight w:val="none"/>
                <w:u w:val="none"/>
                <w:vertAlign w:val="baseline"/>
                <w:lang w:val="en" w:eastAsia="zh-CN"/>
              </w:rPr>
            </w:pPr>
          </w:p>
        </w:tc>
        <w:tc>
          <w:tcPr>
            <w:tcW w:w="1830" w:type="dxa"/>
            <w:vAlign w:val="top"/>
          </w:tcPr>
          <w:p w14:paraId="42AE51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textAlignment w:val="auto"/>
              <w:outlineLvl w:val="9"/>
              <w:rPr>
                <w:rFonts w:hint="eastAsia" w:ascii="宋体" w:hAnsi="宋体" w:cs="宋体"/>
                <w:color w:val="auto"/>
                <w:sz w:val="24"/>
                <w:szCs w:val="24"/>
                <w:highlight w:val="none"/>
                <w:u w:val="none"/>
                <w:vertAlign w:val="baseline"/>
                <w:lang w:val="en-US" w:eastAsia="zh-CN"/>
              </w:rPr>
            </w:pPr>
          </w:p>
        </w:tc>
      </w:tr>
      <w:tr w14:paraId="4610D5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7767A3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auto"/>
              <w:outlineLvl w:val="9"/>
              <w:rPr>
                <w:rFonts w:hint="eastAsia" w:ascii="宋体" w:hAnsi="宋体" w:eastAsia="宋体" w:cs="宋体"/>
                <w:color w:val="auto"/>
                <w:sz w:val="24"/>
                <w:szCs w:val="24"/>
                <w:highlight w:val="none"/>
                <w:u w:val="none"/>
                <w:lang w:val="en-US" w:eastAsia="zh-CN"/>
              </w:rPr>
            </w:pPr>
            <w:r>
              <w:rPr>
                <w:rFonts w:hint="eastAsia" w:ascii="宋体" w:hAnsi="宋体" w:eastAsia="宋体" w:cs="宋体"/>
                <w:color w:val="auto"/>
                <w:sz w:val="24"/>
                <w:szCs w:val="24"/>
                <w:highlight w:val="none"/>
                <w:u w:val="none"/>
                <w:lang w:val="en-US" w:eastAsia="zh-CN"/>
              </w:rPr>
              <w:t>……</w:t>
            </w:r>
          </w:p>
        </w:tc>
        <w:tc>
          <w:tcPr>
            <w:tcW w:w="3291" w:type="dxa"/>
            <w:vAlign w:val="top"/>
          </w:tcPr>
          <w:p w14:paraId="1B474C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textAlignment w:val="auto"/>
              <w:outlineLvl w:val="9"/>
              <w:rPr>
                <w:rFonts w:hint="eastAsia" w:ascii="宋体" w:hAnsi="宋体" w:cs="宋体"/>
                <w:color w:val="auto"/>
                <w:sz w:val="24"/>
                <w:szCs w:val="24"/>
                <w:highlight w:val="none"/>
                <w:u w:val="none"/>
                <w:vertAlign w:val="baseline"/>
                <w:lang w:val="en" w:eastAsia="zh-CN"/>
              </w:rPr>
            </w:pPr>
          </w:p>
        </w:tc>
        <w:tc>
          <w:tcPr>
            <w:tcW w:w="2576" w:type="dxa"/>
            <w:vAlign w:val="top"/>
          </w:tcPr>
          <w:p w14:paraId="588B25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textAlignment w:val="auto"/>
              <w:outlineLvl w:val="9"/>
              <w:rPr>
                <w:rFonts w:hint="eastAsia" w:ascii="宋体" w:hAnsi="宋体" w:cs="宋体"/>
                <w:color w:val="auto"/>
                <w:sz w:val="24"/>
                <w:szCs w:val="24"/>
                <w:highlight w:val="none"/>
                <w:u w:val="none"/>
                <w:vertAlign w:val="baseline"/>
                <w:lang w:val="en" w:eastAsia="zh-CN"/>
              </w:rPr>
            </w:pPr>
          </w:p>
        </w:tc>
        <w:tc>
          <w:tcPr>
            <w:tcW w:w="1830" w:type="dxa"/>
            <w:vAlign w:val="top"/>
          </w:tcPr>
          <w:p w14:paraId="3EA3D9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textAlignment w:val="auto"/>
              <w:outlineLvl w:val="9"/>
              <w:rPr>
                <w:rFonts w:hint="eastAsia" w:ascii="宋体" w:hAnsi="宋体" w:cs="宋体"/>
                <w:color w:val="auto"/>
                <w:sz w:val="24"/>
                <w:szCs w:val="24"/>
                <w:highlight w:val="none"/>
                <w:u w:val="none"/>
                <w:vertAlign w:val="baseline"/>
                <w:lang w:val="en-US" w:eastAsia="zh-CN"/>
              </w:rPr>
            </w:pPr>
          </w:p>
        </w:tc>
      </w:tr>
    </w:tbl>
    <w:p w14:paraId="1FE3A9B7">
      <w:pPr>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备注：1.项目资金末端分配点位包括市本级、县（区）、市级部门下属单位及一次性单位等。</w:t>
      </w:r>
    </w:p>
    <w:p w14:paraId="797E5643">
      <w:pPr>
        <w:keepNext w:val="0"/>
        <w:keepLines w:val="0"/>
        <w:pageBreakBefore w:val="0"/>
        <w:widowControl w:val="0"/>
        <w:numPr>
          <w:ilvl w:val="0"/>
          <w:numId w:val="0"/>
        </w:numPr>
        <w:kinsoku/>
        <w:wordWrap/>
        <w:overflowPunct/>
        <w:topLinePunct w:val="0"/>
        <w:autoSpaceDE/>
        <w:autoSpaceDN/>
        <w:bidi w:val="0"/>
        <w:adjustRightInd/>
        <w:snapToGrid/>
        <w:spacing w:line="400" w:lineRule="exact"/>
        <w:ind w:left="0" w:leftChars="0" w:firstLine="630" w:firstLineChars="300"/>
        <w:jc w:val="left"/>
        <w:textAlignment w:val="auto"/>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2.自评得分（百分制）从高到低划分为优、良、中、差四个档次，各个档次数量占比分别为20%、20%、55%、5%，且不同档次间得分分值应体现差异化，同档次得分分值相同的比例不超过该档次总数量的10%。</w:t>
      </w:r>
    </w:p>
    <w:p w14:paraId="1CCDE277">
      <w:pPr>
        <w:rPr>
          <w:rFonts w:hint="eastAsia" w:ascii="Times New Roman" w:hAnsi="Times New Roman" w:eastAsia="仿宋_GB2312" w:cs="Times New Roman"/>
          <w:kern w:val="2"/>
          <w:sz w:val="32"/>
          <w:szCs w:val="24"/>
          <w:highlight w:val="none"/>
          <w:lang w:val="en-US" w:eastAsia="zh-CN" w:bidi="ar-SA"/>
        </w:rPr>
      </w:pPr>
      <w:r>
        <w:rPr>
          <w:rFonts w:hint="eastAsia" w:ascii="Times New Roman" w:hAnsi="Times New Roman" w:eastAsia="仿宋_GB2312" w:cs="Times New Roman"/>
          <w:kern w:val="2"/>
          <w:sz w:val="32"/>
          <w:szCs w:val="24"/>
          <w:highlight w:val="none"/>
          <w:lang w:val="en-US" w:eastAsia="zh-CN" w:bidi="ar-SA"/>
        </w:rPr>
        <w:br w:type="page"/>
      </w:r>
    </w:p>
    <w:p w14:paraId="7DCBFC6B">
      <w:pPr>
        <w:pStyle w:val="19"/>
        <w:keepNext w:val="0"/>
        <w:keepLines w:val="0"/>
        <w:pageBreakBefore w:val="0"/>
        <w:kinsoku/>
        <w:wordWrap/>
        <w:overflowPunct/>
        <w:topLinePunct w:val="0"/>
        <w:autoSpaceDE/>
        <w:autoSpaceDN/>
        <w:bidi w:val="0"/>
        <w:spacing w:after="0" w:line="578" w:lineRule="exact"/>
        <w:ind w:left="0" w:leftChars="0" w:firstLine="0" w:firstLineChars="0"/>
        <w:rPr>
          <w:rFonts w:hint="default" w:ascii="Times New Roman" w:hAnsi="Times New Roman" w:eastAsia="黑体" w:cs="Times New Roman"/>
          <w:kern w:val="2"/>
          <w:sz w:val="32"/>
          <w:szCs w:val="24"/>
          <w:highlight w:val="none"/>
          <w:lang w:val="en-US" w:eastAsia="zh-CN" w:bidi="ar-SA"/>
        </w:rPr>
      </w:pPr>
      <w:r>
        <w:rPr>
          <w:rFonts w:hint="default" w:ascii="Times New Roman" w:hAnsi="Times New Roman" w:eastAsia="黑体" w:cs="Times New Roman"/>
          <w:kern w:val="2"/>
          <w:sz w:val="32"/>
          <w:szCs w:val="24"/>
          <w:highlight w:val="none"/>
          <w:lang w:val="en-US" w:eastAsia="zh-CN" w:bidi="ar-SA"/>
        </w:rPr>
        <w:t>附表2</w:t>
      </w:r>
    </w:p>
    <w:tbl>
      <w:tblPr>
        <w:tblStyle w:val="20"/>
        <w:tblW w:w="1107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
      <w:tblGrid>
        <w:gridCol w:w="652"/>
        <w:gridCol w:w="663"/>
        <w:gridCol w:w="1363"/>
        <w:gridCol w:w="1280"/>
        <w:gridCol w:w="633"/>
        <w:gridCol w:w="2671"/>
        <w:gridCol w:w="634"/>
        <w:gridCol w:w="1197"/>
        <w:gridCol w:w="1977"/>
      </w:tblGrid>
      <w:tr w14:paraId="7A34097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576" w:hRule="atLeast"/>
          <w:jc w:val="center"/>
        </w:trPr>
        <w:tc>
          <w:tcPr>
            <w:tcW w:w="11070" w:type="dxa"/>
            <w:gridSpan w:val="9"/>
            <w:shd w:val="clear" w:color="auto" w:fill="auto"/>
            <w:vAlign w:val="center"/>
          </w:tcPr>
          <w:p w14:paraId="394E503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600" w:lineRule="exact"/>
              <w:ind w:left="0" w:leftChars="0" w:right="0"/>
              <w:jc w:val="center"/>
              <w:textAlignment w:val="center"/>
              <w:rPr>
                <w:rFonts w:hint="default" w:ascii="黑体" w:hAnsi="宋体" w:eastAsia="黑体" w:cs="黑体"/>
                <w:i w:val="0"/>
                <w:color w:val="000000"/>
                <w:sz w:val="30"/>
                <w:szCs w:val="30"/>
                <w:u w:val="none"/>
              </w:rPr>
            </w:pPr>
            <w:r>
              <w:rPr>
                <w:rFonts w:hint="eastAsia" w:ascii="方正小标宋简体" w:hAnsi="方正小标宋简体" w:eastAsia="方正小标宋简体" w:cs="方正小标宋简体"/>
                <w:i w:val="0"/>
                <w:color w:val="000000"/>
                <w:kern w:val="0"/>
                <w:sz w:val="40"/>
                <w:szCs w:val="40"/>
                <w:u w:val="none"/>
                <w:lang w:val="en-US" w:eastAsia="zh-CN" w:bidi="ar"/>
              </w:rPr>
              <w:t>专项预算项目绩效目标完成情况自评表</w:t>
            </w:r>
          </w:p>
        </w:tc>
      </w:tr>
      <w:tr w14:paraId="00AD70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3958"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08BDB6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left"/>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sz w:val="24"/>
                <w:szCs w:val="24"/>
                <w:u w:val="none"/>
                <w:lang w:val="en-US" w:eastAsia="zh-CN"/>
              </w:rPr>
              <w:t>项目名称</w:t>
            </w:r>
          </w:p>
        </w:tc>
        <w:tc>
          <w:tcPr>
            <w:tcW w:w="7112"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555629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left"/>
              <w:textAlignment w:val="center"/>
              <w:rPr>
                <w:rFonts w:hint="eastAsia" w:ascii="宋体" w:hAnsi="宋体" w:eastAsia="宋体" w:cs="宋体"/>
                <w:i w:val="0"/>
                <w:color w:val="000000"/>
                <w:sz w:val="24"/>
                <w:szCs w:val="24"/>
                <w:u w:val="none"/>
              </w:rPr>
            </w:pPr>
            <w:r>
              <w:rPr>
                <w:rFonts w:hint="eastAsia" w:ascii="宋体" w:hAnsi="宋体" w:eastAsia="宋体" w:cs="宋体"/>
                <w:i w:val="0"/>
                <w:color w:val="000000"/>
                <w:sz w:val="24"/>
                <w:szCs w:val="24"/>
                <w:u w:val="none"/>
                <w:lang w:val="en-US" w:eastAsia="zh-CN"/>
              </w:rPr>
              <w:t>县域经济学会年度会费、服务费</w:t>
            </w:r>
          </w:p>
        </w:tc>
      </w:tr>
      <w:tr w14:paraId="3FF245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3958"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693197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left"/>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sz w:val="24"/>
                <w:szCs w:val="24"/>
                <w:u w:val="none"/>
                <w:lang w:val="en-US" w:eastAsia="zh-CN"/>
              </w:rPr>
              <w:t>预算单位</w:t>
            </w:r>
          </w:p>
        </w:tc>
        <w:tc>
          <w:tcPr>
            <w:tcW w:w="7112"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751E6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left"/>
              <w:textAlignment w:val="center"/>
              <w:rPr>
                <w:rFonts w:hint="eastAsia" w:ascii="宋体" w:hAnsi="宋体" w:eastAsia="宋体" w:cs="宋体"/>
                <w:i w:val="0"/>
                <w:color w:val="000000"/>
                <w:sz w:val="24"/>
                <w:szCs w:val="24"/>
                <w:u w:val="none"/>
                <w:lang w:eastAsia="zh-CN"/>
              </w:rPr>
            </w:pPr>
            <w:r>
              <w:rPr>
                <w:rFonts w:hint="eastAsia" w:ascii="宋体" w:hAnsi="宋体" w:eastAsia="宋体" w:cs="宋体"/>
                <w:i w:val="0"/>
                <w:color w:val="000000"/>
                <w:sz w:val="24"/>
                <w:szCs w:val="24"/>
                <w:u w:val="none"/>
                <w:lang w:eastAsia="zh-CN"/>
              </w:rPr>
              <w:t>广元市发展和改革委员会</w:t>
            </w:r>
          </w:p>
        </w:tc>
      </w:tr>
      <w:tr w14:paraId="3EC07A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3958"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602362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left"/>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sz w:val="24"/>
                <w:szCs w:val="24"/>
                <w:u w:val="none"/>
                <w:lang w:val="en-US" w:eastAsia="zh-CN"/>
              </w:rPr>
              <w:t>项目类型</w:t>
            </w:r>
          </w:p>
        </w:tc>
        <w:tc>
          <w:tcPr>
            <w:tcW w:w="7112"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0BA77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left"/>
              <w:textAlignment w:val="center"/>
              <w:rPr>
                <w:rFonts w:hint="eastAsia" w:ascii="宋体" w:hAnsi="宋体" w:eastAsia="宋体" w:cs="宋体"/>
                <w:i w:val="0"/>
                <w:color w:val="000000"/>
                <w:sz w:val="24"/>
                <w:szCs w:val="24"/>
                <w:u w:val="none"/>
                <w:lang w:eastAsia="zh-CN"/>
              </w:rPr>
            </w:pPr>
            <w:r>
              <w:rPr>
                <w:rFonts w:hint="eastAsia" w:ascii="宋体" w:hAnsi="宋体" w:eastAsia="宋体" w:cs="宋体"/>
                <w:i w:val="0"/>
                <w:color w:val="000000"/>
                <w:sz w:val="24"/>
                <w:szCs w:val="24"/>
                <w:u w:val="none"/>
                <w:lang w:eastAsia="zh-CN"/>
              </w:rPr>
              <w:t>长期性项目</w:t>
            </w:r>
          </w:p>
        </w:tc>
      </w:tr>
      <w:tr w14:paraId="47913E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65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F78A7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项目 概况</w:t>
            </w:r>
          </w:p>
        </w:tc>
        <w:tc>
          <w:tcPr>
            <w:tcW w:w="3306"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7ACC8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left"/>
              <w:textAlignment w:val="center"/>
              <w:rPr>
                <w:rFonts w:hint="default" w:ascii="宋体" w:hAnsi="宋体" w:eastAsia="宋体" w:cs="宋体"/>
                <w:i w:val="0"/>
                <w:color w:val="000000"/>
                <w:kern w:val="0"/>
                <w:sz w:val="24"/>
                <w:szCs w:val="24"/>
                <w:u w:val="none"/>
                <w:lang w:val="en-US" w:eastAsia="zh-CN" w:bidi="ar"/>
              </w:rPr>
            </w:pPr>
            <w:r>
              <w:rPr>
                <w:rFonts w:hint="default" w:ascii="宋体" w:hAnsi="宋体" w:eastAsia="宋体" w:cs="宋体"/>
                <w:i w:val="0"/>
                <w:color w:val="000000"/>
                <w:kern w:val="0"/>
                <w:sz w:val="24"/>
                <w:szCs w:val="24"/>
                <w:u w:val="none"/>
                <w:lang w:val="en-US" w:eastAsia="zh-CN" w:bidi="ar"/>
              </w:rPr>
              <w:t>中长期规划（名称、文号，仅指</w:t>
            </w:r>
          </w:p>
          <w:p w14:paraId="7707C1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left"/>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常年项目）</w:t>
            </w:r>
          </w:p>
        </w:tc>
        <w:tc>
          <w:tcPr>
            <w:tcW w:w="7112"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A1E1FA8">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left"/>
              <w:rPr>
                <w:rFonts w:hint="eastAsia" w:ascii="宋体" w:hAnsi="宋体" w:eastAsia="宋体" w:cs="宋体"/>
                <w:i w:val="0"/>
                <w:color w:val="000000"/>
                <w:sz w:val="24"/>
                <w:szCs w:val="24"/>
                <w:u w:val="none"/>
              </w:rPr>
            </w:pPr>
          </w:p>
        </w:tc>
      </w:tr>
      <w:tr w14:paraId="1D0585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4D95FD8">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rPr>
                <w:rFonts w:hint="eastAsia" w:ascii="宋体" w:hAnsi="宋体" w:eastAsia="宋体" w:cs="宋体"/>
                <w:i w:val="0"/>
                <w:color w:val="000000"/>
                <w:sz w:val="24"/>
                <w:szCs w:val="24"/>
                <w:u w:val="none"/>
              </w:rPr>
            </w:pPr>
          </w:p>
        </w:tc>
        <w:tc>
          <w:tcPr>
            <w:tcW w:w="3306"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E979B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left"/>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资金管理办法（名称、文号）</w:t>
            </w:r>
          </w:p>
        </w:tc>
        <w:tc>
          <w:tcPr>
            <w:tcW w:w="7112"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09BC4402">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left"/>
              <w:rPr>
                <w:rFonts w:hint="eastAsia" w:ascii="宋体" w:hAnsi="宋体" w:eastAsia="宋体" w:cs="宋体"/>
                <w:i w:val="0"/>
                <w:color w:val="000000"/>
                <w:sz w:val="24"/>
                <w:szCs w:val="24"/>
                <w:u w:val="none"/>
              </w:rPr>
            </w:pPr>
          </w:p>
        </w:tc>
      </w:tr>
      <w:tr w14:paraId="32A7BB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DFEADB">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rPr>
                <w:rFonts w:hint="eastAsia" w:ascii="宋体" w:hAnsi="宋体" w:eastAsia="宋体" w:cs="宋体"/>
                <w:i w:val="0"/>
                <w:color w:val="000000"/>
                <w:sz w:val="24"/>
                <w:szCs w:val="24"/>
                <w:u w:val="none"/>
              </w:rPr>
            </w:pPr>
          </w:p>
        </w:tc>
        <w:tc>
          <w:tcPr>
            <w:tcW w:w="3306"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F986E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left"/>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绩效分配方式</w:t>
            </w:r>
          </w:p>
        </w:tc>
        <w:tc>
          <w:tcPr>
            <w:tcW w:w="6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AEA0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left"/>
              <w:textAlignment w:val="center"/>
              <w:rPr>
                <w:rFonts w:hint="default" w:ascii="Wingdings 2" w:hAnsi="Wingdings 2" w:eastAsia="Wingdings 2" w:cs="Wingdings 2"/>
                <w:i w:val="0"/>
                <w:color w:val="000000"/>
                <w:sz w:val="24"/>
                <w:szCs w:val="24"/>
                <w:u w:val="none"/>
              </w:rPr>
            </w:pPr>
            <w:r>
              <w:rPr>
                <w:rFonts w:hint="default" w:ascii="Wingdings 2" w:hAnsi="Wingdings 2" w:eastAsia="Wingdings 2" w:cs="Wingdings 2"/>
                <w:i w:val="0"/>
                <w:color w:val="000000"/>
                <w:kern w:val="0"/>
                <w:sz w:val="24"/>
                <w:szCs w:val="24"/>
                <w:u w:val="none"/>
                <w:lang w:val="en-US" w:eastAsia="zh-CN" w:bidi="ar"/>
              </w:rPr>
              <w:t>£</w:t>
            </w:r>
            <w:r>
              <w:rPr>
                <w:rFonts w:hint="default" w:ascii="宋体" w:hAnsi="宋体" w:eastAsia="宋体" w:cs="宋体"/>
                <w:i w:val="0"/>
                <w:color w:val="000000"/>
                <w:kern w:val="0"/>
                <w:sz w:val="24"/>
                <w:szCs w:val="24"/>
                <w:u w:val="none"/>
                <w:lang w:val="en-US" w:eastAsia="zh-CN" w:bidi="ar"/>
              </w:rPr>
              <w:t>因素法</w:t>
            </w:r>
          </w:p>
        </w:tc>
        <w:tc>
          <w:tcPr>
            <w:tcW w:w="330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EBB28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Wingdings 2" w:hAnsi="Wingdings 2" w:eastAsia="Wingdings 2" w:cs="Wingdings 2"/>
                <w:i w:val="0"/>
                <w:color w:val="000000"/>
                <w:sz w:val="24"/>
                <w:szCs w:val="24"/>
                <w:u w:val="none"/>
              </w:rPr>
            </w:pPr>
            <w:r>
              <w:rPr>
                <w:rFonts w:hint="default" w:ascii="Wingdings 2" w:hAnsi="Wingdings 2" w:eastAsia="Wingdings 2" w:cs="Wingdings 2"/>
                <w:color w:val="auto"/>
                <w:kern w:val="0"/>
                <w:sz w:val="24"/>
                <w:szCs w:val="24"/>
              </w:rPr>
              <w:sym w:font="Wingdings 2" w:char="00A3"/>
            </w:r>
            <w:r>
              <w:rPr>
                <w:rFonts w:hint="default" w:ascii="Wingdings 2" w:hAnsi="Wingdings 2" w:eastAsia="Wingdings 2" w:cs="Wingdings 2"/>
                <w:i w:val="0"/>
                <w:color w:val="000000"/>
                <w:kern w:val="0"/>
                <w:sz w:val="24"/>
                <w:szCs w:val="24"/>
                <w:u w:val="none"/>
                <w:lang w:val="en-US" w:eastAsia="zh-CN" w:bidi="ar"/>
              </w:rPr>
              <w:t>项目法</w:t>
            </w:r>
          </w:p>
        </w:tc>
        <w:tc>
          <w:tcPr>
            <w:tcW w:w="11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A0A1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Wingdings 2" w:hAnsi="Wingdings 2" w:eastAsia="Wingdings 2" w:cs="Wingdings 2"/>
                <w:i w:val="0"/>
                <w:color w:val="000000"/>
                <w:sz w:val="24"/>
                <w:szCs w:val="24"/>
                <w:u w:val="none"/>
              </w:rPr>
            </w:pPr>
            <w:r>
              <w:rPr>
                <w:rFonts w:hint="default" w:ascii="Wingdings 2" w:hAnsi="Wingdings 2" w:eastAsia="Wingdings 2" w:cs="Wingdings 2"/>
                <w:i w:val="0"/>
                <w:color w:val="000000"/>
                <w:kern w:val="0"/>
                <w:sz w:val="24"/>
                <w:szCs w:val="24"/>
                <w:u w:val="none"/>
                <w:lang w:val="en-US" w:eastAsia="zh-CN" w:bidi="ar"/>
              </w:rPr>
              <w:t>£</w:t>
            </w:r>
            <w:r>
              <w:rPr>
                <w:rFonts w:hint="default" w:ascii="宋体" w:hAnsi="宋体" w:eastAsia="宋体" w:cs="宋体"/>
                <w:i w:val="0"/>
                <w:color w:val="000000"/>
                <w:kern w:val="0"/>
                <w:sz w:val="24"/>
                <w:szCs w:val="24"/>
                <w:u w:val="none"/>
                <w:lang w:val="en-US" w:eastAsia="zh-CN" w:bidi="ar"/>
              </w:rPr>
              <w:t>据实据效</w:t>
            </w:r>
          </w:p>
        </w:tc>
        <w:tc>
          <w:tcPr>
            <w:tcW w:w="19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E776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Wingdings 2" w:hAnsi="Wingdings 2" w:eastAsia="Wingdings 2" w:cs="Wingdings 2"/>
                <w:i w:val="0"/>
                <w:color w:val="000000"/>
                <w:sz w:val="24"/>
                <w:szCs w:val="24"/>
                <w:u w:val="none"/>
              </w:rPr>
            </w:pPr>
            <w:r>
              <w:rPr>
                <w:rFonts w:hint="default" w:ascii="Wingdings 2" w:hAnsi="Wingdings 2" w:eastAsia="Wingdings 2" w:cs="Wingdings 2"/>
                <w:i w:val="0"/>
                <w:color w:val="000000"/>
                <w:kern w:val="0"/>
                <w:sz w:val="24"/>
                <w:szCs w:val="24"/>
                <w:u w:val="none"/>
                <w:lang w:val="en-US" w:eastAsia="zh-CN" w:bidi="ar"/>
              </w:rPr>
              <w:t>£</w:t>
            </w:r>
            <w:r>
              <w:rPr>
                <w:rFonts w:hint="default" w:ascii="宋体" w:hAnsi="宋体" w:eastAsia="宋体" w:cs="宋体"/>
                <w:i w:val="0"/>
                <w:color w:val="000000"/>
                <w:kern w:val="0"/>
                <w:sz w:val="24"/>
                <w:szCs w:val="24"/>
                <w:u w:val="none"/>
                <w:lang w:val="en-US" w:eastAsia="zh-CN" w:bidi="ar"/>
              </w:rPr>
              <w:t>因素法与项目法相结合</w:t>
            </w:r>
          </w:p>
        </w:tc>
      </w:tr>
      <w:tr w14:paraId="29B0BF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6D7FB3">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rPr>
                <w:rFonts w:hint="eastAsia" w:ascii="宋体" w:hAnsi="宋体" w:eastAsia="宋体" w:cs="宋体"/>
                <w:i w:val="0"/>
                <w:color w:val="000000"/>
                <w:sz w:val="24"/>
                <w:szCs w:val="24"/>
                <w:u w:val="none"/>
              </w:rPr>
            </w:pPr>
          </w:p>
        </w:tc>
        <w:tc>
          <w:tcPr>
            <w:tcW w:w="3306"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C3E789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left"/>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立项依据</w:t>
            </w:r>
          </w:p>
        </w:tc>
        <w:tc>
          <w:tcPr>
            <w:tcW w:w="7112"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9EC2984">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left"/>
              <w:rPr>
                <w:rFonts w:hint="eastAsia" w:ascii="宋体" w:hAnsi="宋体" w:eastAsia="宋体" w:cs="宋体"/>
                <w:i w:val="0"/>
                <w:color w:val="000000"/>
                <w:sz w:val="24"/>
                <w:szCs w:val="24"/>
                <w:u w:val="none"/>
                <w:lang w:eastAsia="zh-CN"/>
              </w:rPr>
            </w:pPr>
            <w:r>
              <w:rPr>
                <w:rFonts w:hint="eastAsia" w:ascii="宋体" w:hAnsi="宋体" w:eastAsia="宋体" w:cs="宋体"/>
                <w:i w:val="0"/>
                <w:color w:val="000000"/>
                <w:sz w:val="24"/>
                <w:szCs w:val="24"/>
                <w:u w:val="none"/>
              </w:rPr>
              <w:t>省县域经济学会《关于将广元市确定为四川省县域经济学会调研基地的函》</w:t>
            </w:r>
            <w:r>
              <w:rPr>
                <w:rFonts w:hint="eastAsia" w:ascii="宋体" w:hAnsi="宋体" w:eastAsia="宋体" w:cs="宋体"/>
                <w:i w:val="0"/>
                <w:color w:val="000000"/>
                <w:sz w:val="24"/>
                <w:szCs w:val="24"/>
                <w:u w:val="none"/>
                <w:lang w:eastAsia="zh-CN"/>
              </w:rPr>
              <w:t>，《关于推动县域经济高质量发展的实施意见》（广委发〔2019〕13号）等</w:t>
            </w:r>
          </w:p>
        </w:tc>
      </w:tr>
      <w:tr w14:paraId="208D96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71E743">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rPr>
                <w:rFonts w:hint="eastAsia" w:ascii="宋体" w:hAnsi="宋体" w:eastAsia="宋体" w:cs="宋体"/>
                <w:i w:val="0"/>
                <w:color w:val="000000"/>
                <w:sz w:val="24"/>
                <w:szCs w:val="24"/>
                <w:u w:val="none"/>
              </w:rPr>
            </w:pPr>
          </w:p>
        </w:tc>
        <w:tc>
          <w:tcPr>
            <w:tcW w:w="3306"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B990A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left"/>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使用范围</w:t>
            </w:r>
          </w:p>
        </w:tc>
        <w:tc>
          <w:tcPr>
            <w:tcW w:w="7112"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155EA9F3">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left"/>
              <w:rPr>
                <w:rFonts w:hint="eastAsia" w:ascii="宋体" w:hAnsi="宋体" w:eastAsia="宋体" w:cs="宋体"/>
                <w:i w:val="0"/>
                <w:color w:val="000000"/>
                <w:sz w:val="24"/>
                <w:szCs w:val="24"/>
                <w:u w:val="none"/>
              </w:rPr>
            </w:pPr>
          </w:p>
        </w:tc>
      </w:tr>
      <w:tr w14:paraId="590F66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FB35FA">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rPr>
                <w:rFonts w:hint="eastAsia" w:ascii="宋体" w:hAnsi="宋体" w:eastAsia="宋体" w:cs="宋体"/>
                <w:i w:val="0"/>
                <w:color w:val="000000"/>
                <w:sz w:val="24"/>
                <w:szCs w:val="24"/>
                <w:u w:val="none"/>
              </w:rPr>
            </w:pPr>
          </w:p>
        </w:tc>
        <w:tc>
          <w:tcPr>
            <w:tcW w:w="3306"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D060A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left"/>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申报（补助）条件</w:t>
            </w:r>
          </w:p>
        </w:tc>
        <w:tc>
          <w:tcPr>
            <w:tcW w:w="7112"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6C6E1C5">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left"/>
              <w:rPr>
                <w:rFonts w:hint="eastAsia" w:ascii="宋体" w:hAnsi="宋体" w:eastAsia="宋体" w:cs="宋体"/>
                <w:i w:val="0"/>
                <w:color w:val="000000"/>
                <w:sz w:val="24"/>
                <w:szCs w:val="24"/>
                <w:u w:val="none"/>
              </w:rPr>
            </w:pPr>
          </w:p>
        </w:tc>
      </w:tr>
      <w:tr w14:paraId="746537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AA675A">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rPr>
                <w:rFonts w:hint="eastAsia" w:ascii="宋体" w:hAnsi="宋体" w:eastAsia="宋体" w:cs="宋体"/>
                <w:i w:val="0"/>
                <w:color w:val="000000"/>
                <w:sz w:val="24"/>
                <w:szCs w:val="24"/>
                <w:u w:val="none"/>
              </w:rPr>
            </w:pPr>
          </w:p>
        </w:tc>
        <w:tc>
          <w:tcPr>
            <w:tcW w:w="3306"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524A5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left"/>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项目起止年限</w:t>
            </w:r>
          </w:p>
        </w:tc>
        <w:tc>
          <w:tcPr>
            <w:tcW w:w="7112"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5DE7F3AB">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rPr>
                <w:rFonts w:hint="default" w:ascii="宋体" w:hAnsi="宋体" w:eastAsia="宋体" w:cs="宋体"/>
                <w:i w:val="0"/>
                <w:color w:val="000000"/>
                <w:sz w:val="24"/>
                <w:szCs w:val="24"/>
                <w:u w:val="none"/>
                <w:lang w:val="en-US" w:eastAsia="zh-CN"/>
              </w:rPr>
            </w:pPr>
            <w:r>
              <w:rPr>
                <w:rFonts w:hint="default" w:ascii="宋体" w:hAnsi="宋体" w:eastAsia="宋体" w:cs="宋体"/>
                <w:i w:val="0"/>
                <w:color w:val="000000"/>
                <w:sz w:val="24"/>
                <w:szCs w:val="24"/>
                <w:u w:val="none"/>
                <w:lang w:val="en-US" w:eastAsia="zh-CN"/>
              </w:rPr>
              <w:t>2022年10月至2023年9月</w:t>
            </w:r>
          </w:p>
        </w:tc>
      </w:tr>
      <w:tr w14:paraId="46CD34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1315" w:type="dxa"/>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FF628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宋体" w:hAnsi="宋体" w:eastAsia="宋体" w:cs="宋体"/>
                <w:i w:val="0"/>
                <w:color w:val="000000"/>
                <w:kern w:val="0"/>
                <w:sz w:val="24"/>
                <w:szCs w:val="24"/>
                <w:u w:val="none"/>
                <w:lang w:val="en-US" w:eastAsia="zh-CN" w:bidi="ar"/>
              </w:rPr>
            </w:pPr>
            <w:r>
              <w:rPr>
                <w:rFonts w:hint="default" w:ascii="宋体" w:hAnsi="宋体" w:eastAsia="宋体" w:cs="宋体"/>
                <w:i w:val="0"/>
                <w:color w:val="000000"/>
                <w:kern w:val="0"/>
                <w:sz w:val="24"/>
                <w:szCs w:val="24"/>
                <w:u w:val="none"/>
                <w:lang w:val="en-US" w:eastAsia="zh-CN" w:bidi="ar"/>
              </w:rPr>
              <w:t>项目资金</w:t>
            </w:r>
          </w:p>
          <w:p w14:paraId="27D839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（万元）</w:t>
            </w:r>
          </w:p>
        </w:tc>
        <w:tc>
          <w:tcPr>
            <w:tcW w:w="264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9884C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left"/>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 xml:space="preserve">  年度资金总额：</w:t>
            </w:r>
          </w:p>
        </w:tc>
        <w:tc>
          <w:tcPr>
            <w:tcW w:w="7112"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2798AB35">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right"/>
              <w:rPr>
                <w:rFonts w:hint="default" w:ascii="宋体" w:hAnsi="宋体" w:eastAsia="宋体" w:cs="宋体"/>
                <w:i w:val="0"/>
                <w:color w:val="000000"/>
                <w:sz w:val="24"/>
                <w:szCs w:val="24"/>
                <w:u w:val="none"/>
                <w:lang w:val="en-US" w:eastAsia="zh-CN"/>
              </w:rPr>
            </w:pPr>
            <w:r>
              <w:rPr>
                <w:rFonts w:hint="eastAsia" w:ascii="宋体" w:hAnsi="宋体" w:eastAsia="宋体" w:cs="宋体"/>
                <w:i w:val="0"/>
                <w:color w:val="000000"/>
                <w:sz w:val="24"/>
                <w:szCs w:val="24"/>
                <w:u w:val="none"/>
                <w:lang w:val="en-US" w:eastAsia="zh-CN"/>
              </w:rPr>
              <w:t>11.5</w:t>
            </w:r>
          </w:p>
        </w:tc>
      </w:tr>
      <w:tr w14:paraId="4453D0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1315"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75632B">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rPr>
                <w:rFonts w:hint="eastAsia" w:ascii="宋体" w:hAnsi="宋体" w:eastAsia="宋体" w:cs="宋体"/>
                <w:i w:val="0"/>
                <w:color w:val="000000"/>
                <w:sz w:val="24"/>
                <w:szCs w:val="24"/>
                <w:u w:val="none"/>
              </w:rPr>
            </w:pPr>
          </w:p>
        </w:tc>
        <w:tc>
          <w:tcPr>
            <w:tcW w:w="264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3E0AD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left"/>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 xml:space="preserve">     </w:t>
            </w:r>
            <w:r>
              <w:rPr>
                <w:rFonts w:hint="eastAsia" w:ascii="宋体" w:hAnsi="宋体" w:eastAsia="宋体" w:cs="宋体"/>
                <w:i w:val="0"/>
                <w:color w:val="000000"/>
                <w:kern w:val="0"/>
                <w:sz w:val="24"/>
                <w:szCs w:val="24"/>
                <w:u w:val="none"/>
                <w:lang w:val="en-US" w:eastAsia="zh-CN" w:bidi="ar"/>
              </w:rPr>
              <w:t xml:space="preserve"> </w:t>
            </w:r>
            <w:r>
              <w:rPr>
                <w:rFonts w:hint="default" w:ascii="宋体" w:hAnsi="宋体" w:eastAsia="宋体" w:cs="宋体"/>
                <w:i w:val="0"/>
                <w:color w:val="000000"/>
                <w:kern w:val="0"/>
                <w:sz w:val="24"/>
                <w:szCs w:val="24"/>
                <w:u w:val="none"/>
                <w:lang w:val="en-US" w:eastAsia="zh-CN" w:bidi="ar"/>
              </w:rPr>
              <w:t>其中：财政拨款</w:t>
            </w:r>
          </w:p>
        </w:tc>
        <w:tc>
          <w:tcPr>
            <w:tcW w:w="7112"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7A92C9C2">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right"/>
              <w:rPr>
                <w:rFonts w:hint="default" w:ascii="宋体" w:hAnsi="宋体" w:eastAsia="宋体" w:cs="宋体"/>
                <w:i w:val="0"/>
                <w:color w:val="000000"/>
                <w:sz w:val="24"/>
                <w:szCs w:val="24"/>
                <w:u w:val="none"/>
                <w:lang w:val="en-US" w:eastAsia="zh-CN"/>
              </w:rPr>
            </w:pPr>
            <w:r>
              <w:rPr>
                <w:rFonts w:hint="eastAsia" w:ascii="宋体" w:hAnsi="宋体" w:eastAsia="宋体" w:cs="宋体"/>
                <w:i w:val="0"/>
                <w:color w:val="000000"/>
                <w:sz w:val="24"/>
                <w:szCs w:val="24"/>
                <w:u w:val="none"/>
                <w:lang w:val="en-US" w:eastAsia="zh-CN"/>
              </w:rPr>
              <w:t>11.5</w:t>
            </w:r>
          </w:p>
        </w:tc>
      </w:tr>
      <w:tr w14:paraId="60B9F3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1315"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2657ED">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rPr>
                <w:rFonts w:hint="eastAsia" w:ascii="宋体" w:hAnsi="宋体" w:eastAsia="宋体" w:cs="宋体"/>
                <w:i w:val="0"/>
                <w:color w:val="000000"/>
                <w:sz w:val="24"/>
                <w:szCs w:val="24"/>
                <w:u w:val="none"/>
              </w:rPr>
            </w:pPr>
          </w:p>
        </w:tc>
        <w:tc>
          <w:tcPr>
            <w:tcW w:w="264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2836B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left"/>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 xml:space="preserve">            其他资金</w:t>
            </w:r>
          </w:p>
        </w:tc>
        <w:tc>
          <w:tcPr>
            <w:tcW w:w="7112"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75F925D6">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right"/>
              <w:rPr>
                <w:rFonts w:hint="eastAsia" w:ascii="宋体" w:hAnsi="宋体" w:eastAsia="宋体" w:cs="宋体"/>
                <w:i w:val="0"/>
                <w:color w:val="000000"/>
                <w:sz w:val="24"/>
                <w:szCs w:val="24"/>
                <w:u w:val="none"/>
                <w:lang w:val="en-US" w:eastAsia="zh-CN"/>
              </w:rPr>
            </w:pPr>
            <w:r>
              <w:rPr>
                <w:rFonts w:hint="eastAsia" w:ascii="宋体" w:hAnsi="宋体" w:eastAsia="宋体" w:cs="宋体"/>
                <w:i w:val="0"/>
                <w:color w:val="000000"/>
                <w:sz w:val="24"/>
                <w:szCs w:val="24"/>
                <w:u w:val="none"/>
                <w:lang w:val="en-US" w:eastAsia="zh-CN"/>
              </w:rPr>
              <w:t>0</w:t>
            </w:r>
          </w:p>
        </w:tc>
      </w:tr>
      <w:tr w14:paraId="2F1A5B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65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802D9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总体 目标</w:t>
            </w:r>
          </w:p>
        </w:tc>
        <w:tc>
          <w:tcPr>
            <w:tcW w:w="10418"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04051F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年度目标</w:t>
            </w:r>
          </w:p>
        </w:tc>
      </w:tr>
      <w:tr w14:paraId="2AF028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199549">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rPr>
                <w:rFonts w:hint="eastAsia" w:ascii="宋体" w:hAnsi="宋体" w:eastAsia="宋体" w:cs="宋体"/>
                <w:i w:val="0"/>
                <w:color w:val="000000"/>
                <w:sz w:val="24"/>
                <w:szCs w:val="24"/>
                <w:u w:val="none"/>
              </w:rPr>
            </w:pPr>
          </w:p>
        </w:tc>
        <w:tc>
          <w:tcPr>
            <w:tcW w:w="10418"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7FAF47EB">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rPr>
                <w:rFonts w:hint="eastAsia" w:ascii="宋体" w:hAnsi="宋体" w:eastAsia="宋体" w:cs="宋体"/>
                <w:i w:val="0"/>
                <w:color w:val="000000"/>
                <w:sz w:val="24"/>
                <w:szCs w:val="24"/>
                <w:u w:val="none"/>
              </w:rPr>
            </w:pPr>
            <w:r>
              <w:rPr>
                <w:rFonts w:hint="eastAsia" w:ascii="宋体" w:hAnsi="宋体" w:eastAsia="宋体" w:cs="宋体"/>
                <w:i w:val="0"/>
                <w:color w:val="000000"/>
                <w:sz w:val="24"/>
                <w:szCs w:val="24"/>
                <w:u w:val="none"/>
              </w:rPr>
              <w:t>推动我市县域经济高质量发展。</w:t>
            </w:r>
          </w:p>
        </w:tc>
      </w:tr>
      <w:tr w14:paraId="0028A6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652" w:type="dxa"/>
            <w:vMerge w:val="restart"/>
            <w:tcBorders>
              <w:top w:val="single" w:color="000000" w:sz="4" w:space="0"/>
              <w:left w:val="single" w:color="000000" w:sz="4" w:space="0"/>
              <w:bottom w:val="single" w:color="000000" w:sz="4" w:space="0"/>
            </w:tcBorders>
            <w:shd w:val="clear" w:color="auto" w:fill="auto"/>
            <w:vAlign w:val="center"/>
          </w:tcPr>
          <w:p w14:paraId="2171C4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绩效 指标</w:t>
            </w:r>
            <w:r>
              <w:rPr>
                <w:rFonts w:hint="eastAsia" w:ascii="宋体" w:hAnsi="宋体" w:eastAsia="宋体" w:cs="宋体"/>
                <w:i w:val="0"/>
                <w:color w:val="000000"/>
                <w:kern w:val="0"/>
                <w:sz w:val="24"/>
                <w:szCs w:val="24"/>
                <w:u w:val="none"/>
                <w:lang w:val="en-US" w:eastAsia="zh-CN" w:bidi="ar"/>
              </w:rPr>
              <w:t>（90份）</w:t>
            </w:r>
          </w:p>
        </w:tc>
        <w:tc>
          <w:tcPr>
            <w:tcW w:w="6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6239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一级指标</w:t>
            </w:r>
          </w:p>
        </w:tc>
        <w:tc>
          <w:tcPr>
            <w:tcW w:w="13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14C8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二级指标</w:t>
            </w:r>
          </w:p>
        </w:tc>
        <w:tc>
          <w:tcPr>
            <w:tcW w:w="12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33BC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三级指标</w:t>
            </w:r>
          </w:p>
        </w:tc>
        <w:tc>
          <w:tcPr>
            <w:tcW w:w="6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299C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指标性质</w:t>
            </w:r>
          </w:p>
        </w:tc>
        <w:tc>
          <w:tcPr>
            <w:tcW w:w="26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6C44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指标值</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9351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度量单位</w:t>
            </w:r>
          </w:p>
        </w:tc>
        <w:tc>
          <w:tcPr>
            <w:tcW w:w="11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F004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权重</w:t>
            </w:r>
          </w:p>
        </w:tc>
        <w:tc>
          <w:tcPr>
            <w:tcW w:w="19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B1FF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实际完成指标值</w:t>
            </w:r>
          </w:p>
        </w:tc>
      </w:tr>
      <w:tr w14:paraId="34807E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66A93CDC">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24"/>
                <w:szCs w:val="24"/>
                <w:u w:val="none"/>
              </w:rPr>
            </w:pPr>
          </w:p>
        </w:tc>
        <w:tc>
          <w:tcPr>
            <w:tcW w:w="66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971A7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产出指标</w:t>
            </w:r>
          </w:p>
        </w:tc>
        <w:tc>
          <w:tcPr>
            <w:tcW w:w="136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09D9D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数量指标</w:t>
            </w:r>
          </w:p>
        </w:tc>
        <w:tc>
          <w:tcPr>
            <w:tcW w:w="12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02D6D0">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rPr>
                <w:rFonts w:hint="eastAsia" w:ascii="宋体" w:hAnsi="宋体" w:eastAsia="宋体" w:cs="宋体"/>
                <w:i w:val="0"/>
                <w:color w:val="000000"/>
                <w:sz w:val="24"/>
                <w:szCs w:val="24"/>
                <w:u w:val="none"/>
              </w:rPr>
            </w:pPr>
            <w:r>
              <w:rPr>
                <w:rFonts w:hint="eastAsia" w:ascii="宋体" w:hAnsi="宋体" w:eastAsia="宋体" w:cs="宋体"/>
                <w:i w:val="0"/>
                <w:color w:val="000000"/>
                <w:sz w:val="24"/>
                <w:szCs w:val="24"/>
                <w:u w:val="none"/>
              </w:rPr>
              <w:t>指标</w:t>
            </w:r>
            <w:r>
              <w:rPr>
                <w:rFonts w:hint="eastAsia" w:ascii="宋体" w:hAnsi="宋体" w:eastAsia="宋体" w:cs="宋体"/>
                <w:i w:val="0"/>
                <w:color w:val="000000"/>
                <w:sz w:val="24"/>
                <w:szCs w:val="24"/>
                <w:u w:val="none"/>
                <w:lang w:val="en-US" w:eastAsia="zh-CN"/>
              </w:rPr>
              <w:t>1</w:t>
            </w:r>
            <w:r>
              <w:rPr>
                <w:rFonts w:hint="eastAsia" w:ascii="宋体" w:hAnsi="宋体" w:eastAsia="宋体" w:cs="宋体"/>
                <w:i w:val="0"/>
                <w:color w:val="000000"/>
                <w:sz w:val="24"/>
                <w:szCs w:val="24"/>
                <w:u w:val="none"/>
              </w:rPr>
              <w:t>：专题采访宣传</w:t>
            </w:r>
          </w:p>
        </w:tc>
        <w:tc>
          <w:tcPr>
            <w:tcW w:w="6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B16D99">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24"/>
                <w:szCs w:val="24"/>
                <w:u w:val="none"/>
                <w:lang w:eastAsia="zh-CN"/>
              </w:rPr>
            </w:pPr>
            <w:r>
              <w:rPr>
                <w:rFonts w:hint="eastAsia" w:ascii="宋体" w:hAnsi="宋体" w:eastAsia="宋体" w:cs="宋体"/>
                <w:i w:val="0"/>
                <w:color w:val="000000"/>
                <w:sz w:val="24"/>
                <w:szCs w:val="24"/>
                <w:u w:val="none"/>
                <w:lang w:eastAsia="zh-CN"/>
              </w:rPr>
              <w:t>定量</w:t>
            </w:r>
          </w:p>
        </w:tc>
        <w:tc>
          <w:tcPr>
            <w:tcW w:w="26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47835A">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24"/>
                <w:szCs w:val="24"/>
                <w:u w:val="none"/>
                <w:lang w:val="en-US" w:eastAsia="zh-CN"/>
              </w:rPr>
            </w:pPr>
            <w:r>
              <w:rPr>
                <w:rFonts w:hint="eastAsia" w:ascii="宋体" w:hAnsi="宋体" w:eastAsia="宋体" w:cs="宋体"/>
                <w:i w:val="0"/>
                <w:color w:val="000000"/>
                <w:sz w:val="24"/>
                <w:szCs w:val="24"/>
                <w:u w:val="none"/>
                <w:lang w:val="en-US" w:eastAsia="zh-CN"/>
              </w:rPr>
              <w:t>选派记者深入调研，挖掘亮点，总结经验，刊发大篇幅深度宣传文章1次。</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C42D92">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24"/>
                <w:szCs w:val="24"/>
                <w:u w:val="none"/>
              </w:rPr>
            </w:pPr>
            <w:r>
              <w:rPr>
                <w:rFonts w:hint="eastAsia" w:ascii="宋体" w:hAnsi="宋体" w:eastAsia="宋体" w:cs="宋体"/>
                <w:i w:val="0"/>
                <w:color w:val="000000"/>
                <w:sz w:val="24"/>
                <w:szCs w:val="24"/>
                <w:u w:val="none"/>
              </w:rPr>
              <w:t>次</w:t>
            </w:r>
          </w:p>
        </w:tc>
        <w:tc>
          <w:tcPr>
            <w:tcW w:w="11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E84B8E">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default" w:ascii="宋体" w:hAnsi="宋体" w:eastAsia="宋体" w:cs="宋体"/>
                <w:i w:val="0"/>
                <w:color w:val="000000"/>
                <w:sz w:val="24"/>
                <w:szCs w:val="24"/>
                <w:u w:val="none"/>
                <w:lang w:val="en-US" w:eastAsia="zh-CN"/>
              </w:rPr>
            </w:pPr>
            <w:r>
              <w:rPr>
                <w:rFonts w:hint="eastAsia" w:ascii="宋体" w:hAnsi="宋体" w:eastAsia="宋体" w:cs="宋体"/>
                <w:i w:val="0"/>
                <w:color w:val="000000"/>
                <w:sz w:val="24"/>
                <w:szCs w:val="24"/>
                <w:u w:val="none"/>
                <w:lang w:val="en-US" w:eastAsia="zh-CN"/>
              </w:rPr>
              <w:t>15</w:t>
            </w:r>
          </w:p>
        </w:tc>
        <w:tc>
          <w:tcPr>
            <w:tcW w:w="19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C0355A">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default" w:ascii="宋体" w:hAnsi="宋体" w:eastAsia="宋体" w:cs="宋体"/>
                <w:i w:val="0"/>
                <w:color w:val="000000"/>
                <w:sz w:val="24"/>
                <w:szCs w:val="24"/>
                <w:u w:val="none"/>
                <w:lang w:val="en-US" w:eastAsia="zh-CN"/>
              </w:rPr>
            </w:pPr>
            <w:r>
              <w:rPr>
                <w:rFonts w:hint="default" w:ascii="宋体" w:hAnsi="宋体" w:eastAsia="宋体" w:cs="宋体"/>
                <w:i w:val="0"/>
                <w:color w:val="000000"/>
                <w:sz w:val="24"/>
                <w:szCs w:val="24"/>
                <w:u w:val="none"/>
                <w:lang w:val="en-US" w:eastAsia="zh-CN"/>
              </w:rPr>
              <w:t>《当代县域经济》《县域经济》杂志刊登记者采写的广元市深度专题图文报道2次。</w:t>
            </w:r>
          </w:p>
        </w:tc>
      </w:tr>
      <w:tr w14:paraId="7E224F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3083C80C">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24"/>
                <w:szCs w:val="24"/>
                <w:u w:val="none"/>
              </w:rPr>
            </w:pPr>
          </w:p>
        </w:tc>
        <w:tc>
          <w:tcPr>
            <w:tcW w:w="66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158C51">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24"/>
                <w:szCs w:val="24"/>
                <w:u w:val="none"/>
              </w:rPr>
            </w:pPr>
          </w:p>
        </w:tc>
        <w:tc>
          <w:tcPr>
            <w:tcW w:w="136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BF91BB">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24"/>
                <w:szCs w:val="24"/>
                <w:u w:val="none"/>
              </w:rPr>
            </w:pPr>
          </w:p>
        </w:tc>
        <w:tc>
          <w:tcPr>
            <w:tcW w:w="12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E36875">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rPr>
                <w:rFonts w:hint="eastAsia" w:ascii="宋体" w:hAnsi="宋体" w:eastAsia="宋体" w:cs="宋体"/>
                <w:i w:val="0"/>
                <w:color w:val="000000"/>
                <w:sz w:val="24"/>
                <w:szCs w:val="24"/>
                <w:u w:val="none"/>
              </w:rPr>
            </w:pPr>
            <w:r>
              <w:rPr>
                <w:rFonts w:hint="eastAsia" w:ascii="宋体" w:hAnsi="宋体" w:eastAsia="宋体" w:cs="宋体"/>
                <w:i w:val="0"/>
                <w:color w:val="000000"/>
                <w:sz w:val="24"/>
                <w:szCs w:val="24"/>
                <w:u w:val="none"/>
              </w:rPr>
              <w:t>指标</w:t>
            </w:r>
            <w:r>
              <w:rPr>
                <w:rFonts w:hint="eastAsia" w:ascii="宋体" w:hAnsi="宋体" w:eastAsia="宋体" w:cs="宋体"/>
                <w:i w:val="0"/>
                <w:color w:val="000000"/>
                <w:sz w:val="24"/>
                <w:szCs w:val="24"/>
                <w:u w:val="none"/>
                <w:lang w:val="en-US" w:eastAsia="zh-CN"/>
              </w:rPr>
              <w:t>2</w:t>
            </w:r>
            <w:r>
              <w:rPr>
                <w:rFonts w:hint="eastAsia" w:ascii="宋体" w:hAnsi="宋体" w:eastAsia="宋体" w:cs="宋体"/>
                <w:i w:val="0"/>
                <w:color w:val="000000"/>
                <w:sz w:val="24"/>
                <w:szCs w:val="24"/>
                <w:u w:val="none"/>
              </w:rPr>
              <w:t>：刊登城市形象</w:t>
            </w:r>
          </w:p>
        </w:tc>
        <w:tc>
          <w:tcPr>
            <w:tcW w:w="6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213AA3">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24"/>
                <w:szCs w:val="24"/>
                <w:u w:val="none"/>
                <w:lang w:eastAsia="zh-CN"/>
              </w:rPr>
            </w:pPr>
            <w:r>
              <w:rPr>
                <w:rFonts w:hint="eastAsia" w:ascii="宋体" w:hAnsi="宋体" w:eastAsia="宋体" w:cs="宋体"/>
                <w:i w:val="0"/>
                <w:color w:val="000000"/>
                <w:sz w:val="24"/>
                <w:szCs w:val="24"/>
                <w:u w:val="none"/>
                <w:lang w:eastAsia="zh-CN"/>
              </w:rPr>
              <w:t>定量</w:t>
            </w:r>
          </w:p>
        </w:tc>
        <w:tc>
          <w:tcPr>
            <w:tcW w:w="26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422CC2">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24"/>
                <w:szCs w:val="24"/>
                <w:u w:val="none"/>
                <w:lang w:val="en-US" w:eastAsia="zh-CN"/>
              </w:rPr>
            </w:pPr>
            <w:r>
              <w:rPr>
                <w:rFonts w:hint="eastAsia" w:ascii="宋体" w:hAnsi="宋体" w:eastAsia="宋体" w:cs="宋体"/>
                <w:i w:val="0"/>
                <w:color w:val="000000"/>
                <w:sz w:val="24"/>
                <w:szCs w:val="24"/>
                <w:u w:val="none"/>
                <w:lang w:val="en-US" w:eastAsia="zh-CN"/>
              </w:rPr>
              <w:t>在《当代县域经济》杂志封面扉页刊登广元城市形象名片及形象宣传语的彩色广告跨页1次。</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BFD671">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24"/>
                <w:szCs w:val="24"/>
                <w:u w:val="none"/>
              </w:rPr>
            </w:pPr>
            <w:r>
              <w:rPr>
                <w:rFonts w:hint="eastAsia" w:ascii="宋体" w:hAnsi="宋体" w:eastAsia="宋体" w:cs="宋体"/>
                <w:i w:val="0"/>
                <w:color w:val="000000"/>
                <w:sz w:val="24"/>
                <w:szCs w:val="24"/>
                <w:u w:val="none"/>
              </w:rPr>
              <w:t>次</w:t>
            </w:r>
          </w:p>
        </w:tc>
        <w:tc>
          <w:tcPr>
            <w:tcW w:w="11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31D5BA">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default" w:ascii="宋体" w:hAnsi="宋体" w:eastAsia="宋体" w:cs="宋体"/>
                <w:i w:val="0"/>
                <w:color w:val="000000"/>
                <w:sz w:val="24"/>
                <w:szCs w:val="24"/>
                <w:u w:val="none"/>
                <w:lang w:val="en-US" w:eastAsia="zh-CN"/>
              </w:rPr>
            </w:pPr>
            <w:r>
              <w:rPr>
                <w:rFonts w:hint="eastAsia" w:ascii="宋体" w:hAnsi="宋体" w:eastAsia="宋体" w:cs="宋体"/>
                <w:i w:val="0"/>
                <w:color w:val="000000"/>
                <w:sz w:val="24"/>
                <w:szCs w:val="24"/>
                <w:u w:val="none"/>
                <w:lang w:val="en-US" w:eastAsia="zh-CN"/>
              </w:rPr>
              <w:t>15</w:t>
            </w:r>
          </w:p>
        </w:tc>
        <w:tc>
          <w:tcPr>
            <w:tcW w:w="19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56DB46">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default" w:ascii="宋体" w:hAnsi="宋体" w:eastAsia="宋体" w:cs="宋体"/>
                <w:i w:val="0"/>
                <w:color w:val="000000"/>
                <w:sz w:val="24"/>
                <w:szCs w:val="24"/>
                <w:u w:val="none"/>
                <w:lang w:val="en-US" w:eastAsia="zh-CN"/>
              </w:rPr>
            </w:pPr>
            <w:r>
              <w:rPr>
                <w:rFonts w:hint="default" w:ascii="宋体" w:hAnsi="宋体" w:eastAsia="宋体" w:cs="宋体"/>
                <w:i w:val="0"/>
                <w:color w:val="000000"/>
                <w:sz w:val="24"/>
                <w:szCs w:val="24"/>
                <w:u w:val="none"/>
                <w:lang w:val="en-US" w:eastAsia="zh-CN"/>
              </w:rPr>
              <w:t>《当代县域经济》《县域经济》杂志刊登我市形象宣传共2次。</w:t>
            </w:r>
          </w:p>
        </w:tc>
      </w:tr>
      <w:tr w14:paraId="3D8F82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6A7E09CB">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24"/>
                <w:szCs w:val="24"/>
                <w:u w:val="none"/>
              </w:rPr>
            </w:pPr>
          </w:p>
        </w:tc>
        <w:tc>
          <w:tcPr>
            <w:tcW w:w="66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AF54E2">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24"/>
                <w:szCs w:val="24"/>
                <w:u w:val="none"/>
              </w:rPr>
            </w:pPr>
          </w:p>
        </w:tc>
        <w:tc>
          <w:tcPr>
            <w:tcW w:w="13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DA35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质量指标</w:t>
            </w:r>
          </w:p>
        </w:tc>
        <w:tc>
          <w:tcPr>
            <w:tcW w:w="12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77E0FF">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rPr>
                <w:rFonts w:hint="eastAsia" w:ascii="宋体" w:hAnsi="宋体" w:eastAsia="宋体" w:cs="宋体"/>
                <w:i w:val="0"/>
                <w:color w:val="000000"/>
                <w:sz w:val="24"/>
                <w:szCs w:val="24"/>
                <w:u w:val="none"/>
              </w:rPr>
            </w:pPr>
            <w:r>
              <w:rPr>
                <w:rFonts w:hint="eastAsia" w:ascii="宋体" w:hAnsi="宋体" w:eastAsia="宋体" w:cs="宋体"/>
                <w:i w:val="0"/>
                <w:color w:val="000000"/>
                <w:sz w:val="24"/>
                <w:szCs w:val="24"/>
                <w:u w:val="none"/>
              </w:rPr>
              <w:t>指标1：宣传质量</w:t>
            </w:r>
          </w:p>
        </w:tc>
        <w:tc>
          <w:tcPr>
            <w:tcW w:w="6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49B060">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24"/>
                <w:szCs w:val="24"/>
                <w:u w:val="none"/>
              </w:rPr>
            </w:pPr>
            <w:r>
              <w:rPr>
                <w:rFonts w:hint="eastAsia" w:ascii="宋体" w:hAnsi="宋体" w:eastAsia="宋体" w:cs="宋体"/>
                <w:i w:val="0"/>
                <w:color w:val="000000"/>
                <w:sz w:val="24"/>
                <w:szCs w:val="24"/>
                <w:u w:val="none"/>
              </w:rPr>
              <w:t>定性</w:t>
            </w:r>
          </w:p>
        </w:tc>
        <w:tc>
          <w:tcPr>
            <w:tcW w:w="26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ADB102">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24"/>
                <w:szCs w:val="24"/>
                <w:u w:val="none"/>
              </w:rPr>
            </w:pPr>
            <w:r>
              <w:rPr>
                <w:rFonts w:hint="eastAsia" w:ascii="宋体" w:hAnsi="宋体" w:eastAsia="宋体" w:cs="宋体"/>
                <w:i w:val="0"/>
                <w:color w:val="000000"/>
                <w:sz w:val="24"/>
                <w:szCs w:val="24"/>
                <w:u w:val="none"/>
              </w:rPr>
              <w:t>唐利民会长带队开展了2天专题调研</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6AFA08">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24"/>
                <w:szCs w:val="24"/>
                <w:u w:val="none"/>
                <w:lang w:val="en-US" w:eastAsia="zh-CN"/>
              </w:rPr>
            </w:pPr>
            <w:r>
              <w:rPr>
                <w:rFonts w:hint="eastAsia" w:ascii="宋体" w:hAnsi="宋体" w:eastAsia="宋体" w:cs="宋体"/>
                <w:i w:val="0"/>
                <w:color w:val="000000"/>
                <w:sz w:val="24"/>
                <w:szCs w:val="24"/>
                <w:u w:val="none"/>
                <w:lang w:val="en-US" w:eastAsia="zh-CN"/>
              </w:rPr>
              <w:t>/</w:t>
            </w:r>
          </w:p>
        </w:tc>
        <w:tc>
          <w:tcPr>
            <w:tcW w:w="11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A0C840">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default" w:ascii="宋体" w:hAnsi="宋体" w:eastAsia="宋体" w:cs="宋体"/>
                <w:i w:val="0"/>
                <w:color w:val="000000"/>
                <w:sz w:val="24"/>
                <w:szCs w:val="24"/>
                <w:u w:val="none"/>
                <w:lang w:val="en-US" w:eastAsia="zh-CN"/>
              </w:rPr>
            </w:pPr>
            <w:r>
              <w:rPr>
                <w:rFonts w:hint="eastAsia" w:ascii="宋体" w:hAnsi="宋体" w:eastAsia="宋体" w:cs="宋体"/>
                <w:i w:val="0"/>
                <w:color w:val="000000"/>
                <w:sz w:val="24"/>
                <w:szCs w:val="24"/>
                <w:u w:val="none"/>
                <w:lang w:val="en-US" w:eastAsia="zh-CN"/>
              </w:rPr>
              <w:t>10</w:t>
            </w:r>
          </w:p>
        </w:tc>
        <w:tc>
          <w:tcPr>
            <w:tcW w:w="19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921472">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default" w:ascii="宋体" w:hAnsi="宋体" w:eastAsia="宋体" w:cs="宋体"/>
                <w:i w:val="0"/>
                <w:color w:val="000000"/>
                <w:sz w:val="24"/>
                <w:szCs w:val="24"/>
                <w:u w:val="none"/>
                <w:lang w:val="en-US" w:eastAsia="zh-CN"/>
              </w:rPr>
            </w:pPr>
            <w:r>
              <w:rPr>
                <w:rFonts w:hint="default" w:ascii="宋体" w:hAnsi="宋体" w:eastAsia="宋体" w:cs="宋体"/>
                <w:i w:val="0"/>
                <w:color w:val="000000"/>
                <w:sz w:val="24"/>
                <w:szCs w:val="24"/>
                <w:u w:val="none"/>
                <w:lang w:val="en-US" w:eastAsia="zh-CN"/>
              </w:rPr>
              <w:t>2023年2月28日至3月1日，四川省县域经济学会会长、省委省政府决咨委副主任唐利民和学会名誉会长张成明率队来我市调研，并召开盆周山区县域经济高质量发展和国家森林步道建设剑阁峰会筹备情况座谈会。市委书记何树平参加相关活动</w:t>
            </w:r>
          </w:p>
        </w:tc>
      </w:tr>
      <w:tr w14:paraId="310EC2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025301F4">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24"/>
                <w:szCs w:val="24"/>
                <w:u w:val="none"/>
              </w:rPr>
            </w:pPr>
          </w:p>
        </w:tc>
        <w:tc>
          <w:tcPr>
            <w:tcW w:w="66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FE9603">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24"/>
                <w:szCs w:val="24"/>
                <w:u w:val="none"/>
              </w:rPr>
            </w:pPr>
          </w:p>
        </w:tc>
        <w:tc>
          <w:tcPr>
            <w:tcW w:w="13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7CDB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时效指标</w:t>
            </w:r>
          </w:p>
        </w:tc>
        <w:tc>
          <w:tcPr>
            <w:tcW w:w="12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286CF8">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rPr>
                <w:rFonts w:hint="eastAsia" w:ascii="宋体" w:hAnsi="宋体" w:eastAsia="宋体" w:cs="宋体"/>
                <w:i w:val="0"/>
                <w:color w:val="000000"/>
                <w:sz w:val="24"/>
                <w:szCs w:val="24"/>
                <w:u w:val="none"/>
              </w:rPr>
            </w:pPr>
            <w:r>
              <w:rPr>
                <w:rFonts w:hint="eastAsia" w:ascii="宋体" w:hAnsi="宋体" w:eastAsia="宋体" w:cs="宋体"/>
                <w:i w:val="0"/>
                <w:color w:val="000000"/>
                <w:sz w:val="24"/>
                <w:szCs w:val="24"/>
                <w:u w:val="none"/>
              </w:rPr>
              <w:t>指标1：完成时间</w:t>
            </w:r>
          </w:p>
        </w:tc>
        <w:tc>
          <w:tcPr>
            <w:tcW w:w="6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B81CDD">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24"/>
                <w:szCs w:val="24"/>
                <w:u w:val="none"/>
              </w:rPr>
            </w:pPr>
            <w:r>
              <w:rPr>
                <w:rFonts w:hint="eastAsia" w:ascii="宋体" w:hAnsi="宋体" w:eastAsia="宋体" w:cs="宋体"/>
                <w:i w:val="0"/>
                <w:color w:val="000000"/>
                <w:sz w:val="24"/>
                <w:szCs w:val="24"/>
                <w:u w:val="none"/>
              </w:rPr>
              <w:t>≤</w:t>
            </w:r>
          </w:p>
        </w:tc>
        <w:tc>
          <w:tcPr>
            <w:tcW w:w="26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4AFA60">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default" w:ascii="宋体" w:hAnsi="宋体" w:eastAsia="宋体" w:cs="宋体"/>
                <w:i w:val="0"/>
                <w:color w:val="000000"/>
                <w:sz w:val="24"/>
                <w:szCs w:val="24"/>
                <w:u w:val="none"/>
                <w:lang w:val="en-US" w:eastAsia="zh-CN"/>
              </w:rPr>
            </w:pPr>
            <w:r>
              <w:rPr>
                <w:rFonts w:hint="eastAsia" w:ascii="宋体" w:hAnsi="宋体" w:eastAsia="宋体" w:cs="宋体"/>
                <w:i w:val="0"/>
                <w:color w:val="000000"/>
                <w:sz w:val="24"/>
                <w:szCs w:val="24"/>
                <w:u w:val="none"/>
                <w:lang w:val="en-US" w:eastAsia="zh-CN"/>
              </w:rPr>
              <w:t>12</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8C7005">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24"/>
                <w:szCs w:val="24"/>
                <w:u w:val="none"/>
                <w:lang w:eastAsia="zh-CN"/>
              </w:rPr>
            </w:pPr>
            <w:r>
              <w:rPr>
                <w:rFonts w:hint="eastAsia" w:ascii="宋体" w:hAnsi="宋体" w:eastAsia="宋体" w:cs="宋体"/>
                <w:i w:val="0"/>
                <w:color w:val="000000"/>
                <w:sz w:val="24"/>
                <w:szCs w:val="24"/>
                <w:u w:val="none"/>
                <w:lang w:eastAsia="zh-CN"/>
              </w:rPr>
              <w:t>月</w:t>
            </w:r>
          </w:p>
        </w:tc>
        <w:tc>
          <w:tcPr>
            <w:tcW w:w="11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B3FF42">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default" w:ascii="宋体" w:hAnsi="宋体" w:eastAsia="宋体" w:cs="宋体"/>
                <w:i w:val="0"/>
                <w:color w:val="000000"/>
                <w:sz w:val="24"/>
                <w:szCs w:val="24"/>
                <w:u w:val="none"/>
                <w:lang w:val="en-US" w:eastAsia="zh-CN"/>
              </w:rPr>
            </w:pPr>
            <w:r>
              <w:rPr>
                <w:rFonts w:hint="eastAsia" w:ascii="宋体" w:hAnsi="宋体" w:eastAsia="宋体" w:cs="宋体"/>
                <w:i w:val="0"/>
                <w:color w:val="000000"/>
                <w:sz w:val="24"/>
                <w:szCs w:val="24"/>
                <w:u w:val="none"/>
                <w:lang w:val="en-US" w:eastAsia="zh-CN"/>
              </w:rPr>
              <w:t>10</w:t>
            </w:r>
          </w:p>
        </w:tc>
        <w:tc>
          <w:tcPr>
            <w:tcW w:w="19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29A351">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default" w:ascii="宋体" w:hAnsi="宋体" w:eastAsia="宋体" w:cs="宋体"/>
                <w:i w:val="0"/>
                <w:color w:val="000000"/>
                <w:sz w:val="24"/>
                <w:szCs w:val="24"/>
                <w:u w:val="none"/>
                <w:lang w:val="en-US" w:eastAsia="zh-CN"/>
              </w:rPr>
            </w:pPr>
            <w:r>
              <w:rPr>
                <w:rFonts w:hint="eastAsia" w:ascii="宋体" w:hAnsi="宋体" w:eastAsia="宋体" w:cs="宋体"/>
                <w:i w:val="0"/>
                <w:color w:val="000000"/>
                <w:sz w:val="24"/>
                <w:szCs w:val="24"/>
                <w:u w:val="none"/>
                <w:lang w:val="en-US" w:eastAsia="zh-CN"/>
              </w:rPr>
              <w:t>12</w:t>
            </w:r>
          </w:p>
        </w:tc>
      </w:tr>
      <w:tr w14:paraId="52A880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55AABB1D">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24"/>
                <w:szCs w:val="24"/>
                <w:u w:val="none"/>
              </w:rPr>
            </w:pPr>
          </w:p>
        </w:tc>
        <w:tc>
          <w:tcPr>
            <w:tcW w:w="66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65C37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效益指标</w:t>
            </w:r>
          </w:p>
        </w:tc>
        <w:tc>
          <w:tcPr>
            <w:tcW w:w="13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8429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宋体" w:hAnsi="宋体" w:eastAsia="宋体" w:cs="宋体"/>
                <w:i w:val="0"/>
                <w:color w:val="000000"/>
                <w:kern w:val="0"/>
                <w:sz w:val="24"/>
                <w:szCs w:val="24"/>
                <w:u w:val="none"/>
                <w:lang w:val="en-US" w:eastAsia="zh-CN" w:bidi="ar"/>
              </w:rPr>
            </w:pPr>
            <w:r>
              <w:rPr>
                <w:rFonts w:hint="default" w:ascii="宋体" w:hAnsi="宋体" w:eastAsia="宋体" w:cs="宋体"/>
                <w:i w:val="0"/>
                <w:color w:val="000000"/>
                <w:kern w:val="0"/>
                <w:sz w:val="24"/>
                <w:szCs w:val="24"/>
                <w:u w:val="none"/>
                <w:lang w:val="en-US" w:eastAsia="zh-CN" w:bidi="ar"/>
              </w:rPr>
              <w:t>经济效益</w:t>
            </w:r>
          </w:p>
          <w:p w14:paraId="5E0F6C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指标</w:t>
            </w:r>
          </w:p>
        </w:tc>
        <w:tc>
          <w:tcPr>
            <w:tcW w:w="12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E5E643">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rPr>
                <w:rFonts w:hint="eastAsia" w:ascii="宋体" w:hAnsi="宋体" w:eastAsia="宋体" w:cs="宋体"/>
                <w:i w:val="0"/>
                <w:color w:val="000000"/>
                <w:sz w:val="24"/>
                <w:szCs w:val="24"/>
                <w:u w:val="none"/>
              </w:rPr>
            </w:pPr>
            <w:r>
              <w:rPr>
                <w:rFonts w:hint="eastAsia" w:ascii="宋体" w:hAnsi="宋体" w:eastAsia="宋体" w:cs="宋体"/>
                <w:i w:val="0"/>
                <w:color w:val="000000"/>
                <w:sz w:val="24"/>
                <w:szCs w:val="24"/>
                <w:u w:val="none"/>
              </w:rPr>
              <w:t>指标1：提升我市县域经济影响力</w:t>
            </w:r>
          </w:p>
        </w:tc>
        <w:tc>
          <w:tcPr>
            <w:tcW w:w="6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A4D442">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24"/>
                <w:szCs w:val="24"/>
                <w:u w:val="none"/>
                <w:lang w:eastAsia="zh-CN"/>
              </w:rPr>
            </w:pPr>
            <w:r>
              <w:rPr>
                <w:rFonts w:hint="eastAsia" w:ascii="宋体" w:hAnsi="宋体" w:eastAsia="宋体" w:cs="宋体"/>
                <w:i w:val="0"/>
                <w:color w:val="000000"/>
                <w:sz w:val="24"/>
                <w:szCs w:val="24"/>
                <w:u w:val="none"/>
                <w:lang w:eastAsia="zh-CN"/>
              </w:rPr>
              <w:t>定性</w:t>
            </w:r>
          </w:p>
        </w:tc>
        <w:tc>
          <w:tcPr>
            <w:tcW w:w="26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EA5EDB">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24"/>
                <w:szCs w:val="24"/>
                <w:u w:val="none"/>
                <w:lang w:val="en-US" w:eastAsia="zh-CN"/>
              </w:rPr>
            </w:pPr>
            <w:r>
              <w:rPr>
                <w:rFonts w:hint="eastAsia" w:ascii="宋体" w:hAnsi="宋体" w:eastAsia="宋体" w:cs="宋体"/>
                <w:i w:val="0"/>
                <w:color w:val="000000"/>
                <w:sz w:val="24"/>
                <w:szCs w:val="24"/>
                <w:u w:val="none"/>
              </w:rPr>
              <w:t>刊发广元城市形象名片及形象宣传语</w:t>
            </w:r>
            <w:r>
              <w:rPr>
                <w:rFonts w:hint="eastAsia" w:ascii="宋体" w:hAnsi="宋体" w:eastAsia="宋体" w:cs="宋体"/>
                <w:i w:val="0"/>
                <w:color w:val="000000"/>
                <w:sz w:val="24"/>
                <w:szCs w:val="24"/>
                <w:u w:val="none"/>
                <w:lang w:eastAsia="zh-CN"/>
              </w:rPr>
              <w:t>等。</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B40C08">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24"/>
                <w:szCs w:val="24"/>
                <w:u w:val="none"/>
              </w:rPr>
            </w:pPr>
            <w:r>
              <w:rPr>
                <w:rFonts w:hint="eastAsia" w:ascii="宋体" w:hAnsi="宋体" w:eastAsia="宋体" w:cs="宋体"/>
                <w:i w:val="0"/>
                <w:color w:val="000000"/>
                <w:sz w:val="24"/>
                <w:szCs w:val="24"/>
                <w:u w:val="none"/>
                <w:lang w:val="en-US" w:eastAsia="zh-CN"/>
              </w:rPr>
              <w:t>/</w:t>
            </w:r>
          </w:p>
        </w:tc>
        <w:tc>
          <w:tcPr>
            <w:tcW w:w="11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E1DA15">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default" w:ascii="宋体" w:hAnsi="宋体" w:eastAsia="宋体" w:cs="宋体"/>
                <w:i w:val="0"/>
                <w:color w:val="000000"/>
                <w:sz w:val="24"/>
                <w:szCs w:val="24"/>
                <w:u w:val="none"/>
                <w:lang w:val="en-US" w:eastAsia="zh-CN"/>
              </w:rPr>
            </w:pPr>
            <w:r>
              <w:rPr>
                <w:rFonts w:hint="eastAsia" w:ascii="宋体" w:hAnsi="宋体" w:eastAsia="宋体" w:cs="宋体"/>
                <w:i w:val="0"/>
                <w:color w:val="000000"/>
                <w:sz w:val="24"/>
                <w:szCs w:val="24"/>
                <w:u w:val="none"/>
                <w:lang w:val="en-US" w:eastAsia="zh-CN"/>
              </w:rPr>
              <w:t>10</w:t>
            </w:r>
          </w:p>
        </w:tc>
        <w:tc>
          <w:tcPr>
            <w:tcW w:w="19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669915">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left"/>
              <w:rPr>
                <w:rFonts w:hint="default" w:ascii="宋体" w:hAnsi="宋体" w:eastAsia="宋体" w:cs="宋体"/>
                <w:i w:val="0"/>
                <w:color w:val="000000"/>
                <w:sz w:val="24"/>
                <w:szCs w:val="24"/>
                <w:u w:val="none"/>
                <w:lang w:val="en-US" w:eastAsia="zh-CN"/>
              </w:rPr>
            </w:pPr>
            <w:r>
              <w:rPr>
                <w:rFonts w:hint="default" w:ascii="宋体" w:hAnsi="宋体" w:eastAsia="宋体" w:cs="宋体"/>
                <w:i w:val="0"/>
                <w:color w:val="000000"/>
                <w:sz w:val="24"/>
                <w:szCs w:val="24"/>
                <w:u w:val="none"/>
                <w:lang w:val="en-US" w:eastAsia="zh-CN"/>
              </w:rPr>
              <w:t>在《当代县域经济》杂志2023年第4期刊发广元城市形象名片及形象宣传语。</w:t>
            </w:r>
          </w:p>
          <w:p w14:paraId="169725F8">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left"/>
              <w:rPr>
                <w:rFonts w:hint="default" w:ascii="宋体" w:hAnsi="宋体" w:eastAsia="宋体" w:cs="宋体"/>
                <w:i w:val="0"/>
                <w:color w:val="000000"/>
                <w:sz w:val="24"/>
                <w:szCs w:val="24"/>
                <w:u w:val="none"/>
                <w:lang w:val="en-US" w:eastAsia="zh-CN"/>
              </w:rPr>
            </w:pPr>
            <w:r>
              <w:rPr>
                <w:rFonts w:hint="default" w:ascii="宋体" w:hAnsi="宋体" w:eastAsia="宋体" w:cs="宋体"/>
                <w:i w:val="0"/>
                <w:color w:val="000000"/>
                <w:sz w:val="24"/>
                <w:szCs w:val="24"/>
                <w:u w:val="none"/>
                <w:lang w:val="en-US" w:eastAsia="zh-CN"/>
              </w:rPr>
              <w:t>在《当代县域经济》杂志2023年第5期刊发《【典型案例】厚植根基 中国式现代化广元开篇》，当代县域经济网、微信公众号等媒体同步发布。</w:t>
            </w:r>
          </w:p>
        </w:tc>
      </w:tr>
      <w:tr w14:paraId="42563F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2B875A5C">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24"/>
                <w:szCs w:val="24"/>
                <w:u w:val="none"/>
              </w:rPr>
            </w:pPr>
          </w:p>
        </w:tc>
        <w:tc>
          <w:tcPr>
            <w:tcW w:w="66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FCFDCD">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24"/>
                <w:szCs w:val="24"/>
                <w:u w:val="none"/>
              </w:rPr>
            </w:pPr>
          </w:p>
        </w:tc>
        <w:tc>
          <w:tcPr>
            <w:tcW w:w="1363" w:type="dxa"/>
            <w:tcBorders>
              <w:top w:val="single" w:color="000000" w:sz="4" w:space="0"/>
              <w:left w:val="single" w:color="000000" w:sz="4" w:space="0"/>
              <w:right w:val="single" w:color="000000" w:sz="4" w:space="0"/>
            </w:tcBorders>
            <w:shd w:val="clear" w:color="auto" w:fill="auto"/>
            <w:vAlign w:val="center"/>
          </w:tcPr>
          <w:p w14:paraId="248190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宋体" w:hAnsi="宋体" w:eastAsia="宋体" w:cs="宋体"/>
                <w:i w:val="0"/>
                <w:color w:val="000000"/>
                <w:kern w:val="0"/>
                <w:sz w:val="24"/>
                <w:szCs w:val="24"/>
                <w:u w:val="none"/>
                <w:lang w:val="en-US" w:eastAsia="zh-CN" w:bidi="ar"/>
              </w:rPr>
            </w:pPr>
            <w:r>
              <w:rPr>
                <w:rFonts w:hint="default" w:ascii="宋体" w:hAnsi="宋体" w:eastAsia="宋体" w:cs="宋体"/>
                <w:i w:val="0"/>
                <w:color w:val="000000"/>
                <w:kern w:val="0"/>
                <w:sz w:val="24"/>
                <w:szCs w:val="24"/>
                <w:u w:val="none"/>
                <w:lang w:val="en-US" w:eastAsia="zh-CN" w:bidi="ar"/>
              </w:rPr>
              <w:t>社会效益</w:t>
            </w:r>
          </w:p>
          <w:p w14:paraId="57E36B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指标</w:t>
            </w:r>
          </w:p>
        </w:tc>
        <w:tc>
          <w:tcPr>
            <w:tcW w:w="12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9EAD29">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rPr>
                <w:rFonts w:hint="eastAsia" w:ascii="宋体" w:hAnsi="宋体" w:eastAsia="宋体" w:cs="宋体"/>
                <w:i w:val="0"/>
                <w:color w:val="000000"/>
                <w:sz w:val="24"/>
                <w:szCs w:val="24"/>
                <w:u w:val="none"/>
              </w:rPr>
            </w:pPr>
            <w:r>
              <w:rPr>
                <w:rFonts w:hint="eastAsia" w:ascii="宋体" w:hAnsi="宋体" w:eastAsia="宋体" w:cs="宋体"/>
                <w:i w:val="0"/>
                <w:color w:val="000000"/>
                <w:sz w:val="24"/>
                <w:szCs w:val="24"/>
                <w:u w:val="none"/>
              </w:rPr>
              <w:t>指标1：为我市县域经济高质量发展出谋划策</w:t>
            </w:r>
          </w:p>
        </w:tc>
        <w:tc>
          <w:tcPr>
            <w:tcW w:w="6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77ABB7">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24"/>
                <w:szCs w:val="24"/>
                <w:u w:val="none"/>
              </w:rPr>
            </w:pPr>
            <w:r>
              <w:rPr>
                <w:rFonts w:hint="eastAsia" w:ascii="宋体" w:hAnsi="宋体" w:eastAsia="宋体" w:cs="宋体"/>
                <w:i w:val="0"/>
                <w:color w:val="000000"/>
                <w:sz w:val="24"/>
                <w:szCs w:val="24"/>
                <w:u w:val="none"/>
                <w:lang w:eastAsia="zh-CN"/>
              </w:rPr>
              <w:t>定性</w:t>
            </w:r>
          </w:p>
        </w:tc>
        <w:tc>
          <w:tcPr>
            <w:tcW w:w="26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36E9B1">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24"/>
                <w:szCs w:val="24"/>
                <w:u w:val="none"/>
                <w:lang w:eastAsia="zh-CN"/>
              </w:rPr>
            </w:pPr>
            <w:r>
              <w:rPr>
                <w:rFonts w:hint="eastAsia" w:ascii="宋体" w:hAnsi="宋体" w:eastAsia="宋体" w:cs="宋体"/>
                <w:i w:val="0"/>
                <w:color w:val="000000"/>
                <w:sz w:val="24"/>
                <w:szCs w:val="24"/>
                <w:u w:val="none"/>
              </w:rPr>
              <w:t>唐利民会长带队到广元调研</w:t>
            </w:r>
            <w:r>
              <w:rPr>
                <w:rFonts w:hint="eastAsia" w:ascii="宋体" w:hAnsi="宋体" w:eastAsia="宋体" w:cs="宋体"/>
                <w:i w:val="0"/>
                <w:color w:val="000000"/>
                <w:sz w:val="24"/>
                <w:szCs w:val="24"/>
                <w:u w:val="none"/>
                <w:lang w:eastAsia="zh-CN"/>
              </w:rPr>
              <w:t>。</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CE960B">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24"/>
                <w:szCs w:val="24"/>
                <w:u w:val="none"/>
              </w:rPr>
            </w:pPr>
            <w:r>
              <w:rPr>
                <w:rFonts w:hint="eastAsia" w:ascii="宋体" w:hAnsi="宋体" w:eastAsia="宋体" w:cs="宋体"/>
                <w:i w:val="0"/>
                <w:color w:val="000000"/>
                <w:sz w:val="24"/>
                <w:szCs w:val="24"/>
                <w:u w:val="none"/>
                <w:lang w:val="en-US" w:eastAsia="zh-CN"/>
              </w:rPr>
              <w:t>/</w:t>
            </w:r>
          </w:p>
        </w:tc>
        <w:tc>
          <w:tcPr>
            <w:tcW w:w="11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D3CCD7">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default" w:ascii="宋体" w:hAnsi="宋体" w:eastAsia="宋体" w:cs="宋体"/>
                <w:i w:val="0"/>
                <w:color w:val="000000"/>
                <w:sz w:val="24"/>
                <w:szCs w:val="24"/>
                <w:u w:val="none"/>
                <w:lang w:val="en-US" w:eastAsia="zh-CN"/>
              </w:rPr>
            </w:pPr>
            <w:r>
              <w:rPr>
                <w:rFonts w:hint="eastAsia" w:ascii="宋体" w:hAnsi="宋体" w:eastAsia="宋体" w:cs="宋体"/>
                <w:i w:val="0"/>
                <w:color w:val="000000"/>
                <w:sz w:val="24"/>
                <w:szCs w:val="24"/>
                <w:u w:val="none"/>
                <w:lang w:val="en-US" w:eastAsia="zh-CN"/>
              </w:rPr>
              <w:t>10</w:t>
            </w:r>
          </w:p>
        </w:tc>
        <w:tc>
          <w:tcPr>
            <w:tcW w:w="19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CDFF8A">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left"/>
              <w:rPr>
                <w:rFonts w:hint="default" w:ascii="宋体" w:hAnsi="宋体" w:eastAsia="宋体" w:cs="宋体"/>
                <w:i w:val="0"/>
                <w:color w:val="000000"/>
                <w:sz w:val="24"/>
                <w:szCs w:val="24"/>
                <w:u w:val="none"/>
                <w:lang w:val="en-US" w:eastAsia="zh-CN"/>
              </w:rPr>
            </w:pPr>
            <w:r>
              <w:rPr>
                <w:rFonts w:hint="eastAsia" w:ascii="宋体" w:hAnsi="宋体" w:eastAsia="宋体" w:cs="宋体"/>
                <w:i w:val="0"/>
                <w:color w:val="000000"/>
                <w:sz w:val="24"/>
                <w:szCs w:val="24"/>
                <w:u w:val="none"/>
                <w:lang w:val="en-US" w:eastAsia="zh-CN"/>
              </w:rPr>
              <w:t>唐利民会长带队到广元调研盆周山区县域经济高质量发展和国家森林步道建设剑阁峰会筹备有关情况，并在剑阁县召开座谈会，对全市县域经济高质量发展提出了意见建议。</w:t>
            </w:r>
          </w:p>
        </w:tc>
      </w:tr>
      <w:tr w14:paraId="071BB6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0E40DE04">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24"/>
                <w:szCs w:val="24"/>
                <w:u w:val="none"/>
              </w:rPr>
            </w:pPr>
          </w:p>
        </w:tc>
        <w:tc>
          <w:tcPr>
            <w:tcW w:w="663" w:type="dxa"/>
            <w:tcBorders>
              <w:top w:val="single" w:color="000000" w:sz="4" w:space="0"/>
              <w:left w:val="single" w:color="000000" w:sz="4" w:space="0"/>
              <w:right w:val="single" w:color="000000" w:sz="4" w:space="0"/>
            </w:tcBorders>
            <w:shd w:val="clear" w:color="auto" w:fill="auto"/>
            <w:vAlign w:val="center"/>
          </w:tcPr>
          <w:p w14:paraId="1F00B9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宋体" w:hAnsi="宋体" w:eastAsia="宋体" w:cs="宋体"/>
                <w:i w:val="0"/>
                <w:color w:val="000000"/>
                <w:kern w:val="0"/>
                <w:sz w:val="24"/>
                <w:szCs w:val="24"/>
                <w:u w:val="none"/>
                <w:lang w:val="en-US" w:eastAsia="zh-CN" w:bidi="ar"/>
              </w:rPr>
            </w:pPr>
            <w:r>
              <w:rPr>
                <w:rFonts w:hint="default" w:ascii="宋体" w:hAnsi="宋体" w:eastAsia="宋体" w:cs="宋体"/>
                <w:i w:val="0"/>
                <w:color w:val="000000"/>
                <w:kern w:val="0"/>
                <w:sz w:val="24"/>
                <w:szCs w:val="24"/>
                <w:u w:val="none"/>
                <w:lang w:val="en-US" w:eastAsia="zh-CN" w:bidi="ar"/>
              </w:rPr>
              <w:t>满意度</w:t>
            </w:r>
          </w:p>
          <w:p w14:paraId="132EE4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指标</w:t>
            </w:r>
          </w:p>
        </w:tc>
        <w:tc>
          <w:tcPr>
            <w:tcW w:w="1363" w:type="dxa"/>
            <w:tcBorders>
              <w:top w:val="single" w:color="000000" w:sz="4" w:space="0"/>
              <w:left w:val="single" w:color="000000" w:sz="4" w:space="0"/>
              <w:right w:val="single" w:color="000000" w:sz="4" w:space="0"/>
            </w:tcBorders>
            <w:shd w:val="clear" w:color="auto" w:fill="auto"/>
            <w:vAlign w:val="center"/>
          </w:tcPr>
          <w:p w14:paraId="5F92D6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宋体" w:hAnsi="宋体" w:eastAsia="宋体" w:cs="宋体"/>
                <w:i w:val="0"/>
                <w:color w:val="000000"/>
                <w:kern w:val="0"/>
                <w:sz w:val="24"/>
                <w:szCs w:val="24"/>
                <w:u w:val="none"/>
                <w:lang w:val="en-US" w:eastAsia="zh-CN" w:bidi="ar"/>
              </w:rPr>
            </w:pPr>
            <w:r>
              <w:rPr>
                <w:rFonts w:hint="default" w:ascii="宋体" w:hAnsi="宋体" w:eastAsia="宋体" w:cs="宋体"/>
                <w:i w:val="0"/>
                <w:color w:val="000000"/>
                <w:kern w:val="0"/>
                <w:sz w:val="24"/>
                <w:szCs w:val="24"/>
                <w:u w:val="none"/>
                <w:lang w:val="en-US" w:eastAsia="zh-CN" w:bidi="ar"/>
              </w:rPr>
              <w:t>服务对象</w:t>
            </w:r>
          </w:p>
          <w:p w14:paraId="01E439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满意度指标</w:t>
            </w:r>
          </w:p>
        </w:tc>
        <w:tc>
          <w:tcPr>
            <w:tcW w:w="12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A9C28E">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rPr>
                <w:rFonts w:hint="eastAsia" w:ascii="宋体" w:hAnsi="宋体" w:eastAsia="宋体" w:cs="宋体"/>
                <w:i w:val="0"/>
                <w:color w:val="000000"/>
                <w:sz w:val="24"/>
                <w:szCs w:val="24"/>
                <w:u w:val="none"/>
              </w:rPr>
            </w:pPr>
            <w:r>
              <w:rPr>
                <w:rFonts w:hint="eastAsia" w:ascii="宋体" w:hAnsi="宋体" w:eastAsia="宋体" w:cs="宋体"/>
                <w:i w:val="0"/>
                <w:color w:val="000000"/>
                <w:sz w:val="24"/>
                <w:szCs w:val="24"/>
                <w:u w:val="none"/>
              </w:rPr>
              <w:t>指标1</w:t>
            </w:r>
            <w:r>
              <w:rPr>
                <w:rFonts w:hint="eastAsia" w:ascii="宋体" w:hAnsi="宋体" w:cs="宋体"/>
                <w:i w:val="0"/>
                <w:color w:val="000000"/>
                <w:sz w:val="24"/>
                <w:szCs w:val="24"/>
                <w:u w:val="none"/>
                <w:lang w:eastAsia="zh-CN"/>
              </w:rPr>
              <w:t>：</w:t>
            </w:r>
            <w:r>
              <w:rPr>
                <w:rFonts w:hint="eastAsia" w:ascii="宋体" w:hAnsi="宋体" w:eastAsia="宋体" w:cs="宋体"/>
                <w:i w:val="0"/>
                <w:color w:val="000000"/>
                <w:sz w:val="24"/>
                <w:szCs w:val="24"/>
                <w:u w:val="none"/>
              </w:rPr>
              <w:t>社会公众满意度</w:t>
            </w:r>
          </w:p>
        </w:tc>
        <w:tc>
          <w:tcPr>
            <w:tcW w:w="6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56B9E5">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24"/>
                <w:szCs w:val="24"/>
                <w:u w:val="none"/>
              </w:rPr>
            </w:pPr>
            <w:r>
              <w:rPr>
                <w:rFonts w:hint="eastAsia" w:ascii="宋体" w:hAnsi="宋体" w:eastAsia="宋体" w:cs="宋体"/>
                <w:i w:val="0"/>
                <w:color w:val="000000"/>
                <w:sz w:val="24"/>
                <w:szCs w:val="24"/>
                <w:u w:val="none"/>
              </w:rPr>
              <w:t>＝</w:t>
            </w:r>
          </w:p>
        </w:tc>
        <w:tc>
          <w:tcPr>
            <w:tcW w:w="26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9B0F85">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24"/>
                <w:szCs w:val="24"/>
                <w:u w:val="none"/>
              </w:rPr>
            </w:pPr>
            <w:r>
              <w:rPr>
                <w:rFonts w:hint="eastAsia" w:ascii="宋体" w:hAnsi="宋体" w:eastAsia="宋体" w:cs="宋体"/>
                <w:i w:val="0"/>
                <w:color w:val="000000"/>
                <w:sz w:val="24"/>
                <w:szCs w:val="24"/>
                <w:u w:val="none"/>
              </w:rPr>
              <w:t>100</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E9BCE9">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24"/>
                <w:szCs w:val="24"/>
                <w:u w:val="none"/>
              </w:rPr>
            </w:pPr>
            <w:r>
              <w:rPr>
                <w:rFonts w:hint="eastAsia" w:ascii="宋体" w:hAnsi="宋体" w:eastAsia="宋体" w:cs="宋体"/>
                <w:i w:val="0"/>
                <w:color w:val="000000"/>
                <w:sz w:val="24"/>
                <w:szCs w:val="24"/>
                <w:u w:val="none"/>
              </w:rPr>
              <w:t>%</w:t>
            </w:r>
          </w:p>
        </w:tc>
        <w:tc>
          <w:tcPr>
            <w:tcW w:w="11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BDDD03">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default" w:ascii="宋体" w:hAnsi="宋体" w:eastAsia="宋体" w:cs="宋体"/>
                <w:i w:val="0"/>
                <w:color w:val="000000"/>
                <w:sz w:val="24"/>
                <w:szCs w:val="24"/>
                <w:u w:val="none"/>
                <w:lang w:val="en-US" w:eastAsia="zh-CN"/>
              </w:rPr>
            </w:pPr>
            <w:r>
              <w:rPr>
                <w:rFonts w:hint="eastAsia" w:ascii="宋体" w:hAnsi="宋体" w:eastAsia="宋体" w:cs="宋体"/>
                <w:i w:val="0"/>
                <w:color w:val="000000"/>
                <w:sz w:val="24"/>
                <w:szCs w:val="24"/>
                <w:u w:val="none"/>
                <w:lang w:val="en-US" w:eastAsia="zh-CN"/>
              </w:rPr>
              <w:t>10</w:t>
            </w:r>
          </w:p>
        </w:tc>
        <w:tc>
          <w:tcPr>
            <w:tcW w:w="19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EE9D4D">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default" w:ascii="宋体" w:hAnsi="宋体" w:eastAsia="宋体" w:cs="宋体"/>
                <w:i w:val="0"/>
                <w:color w:val="000000"/>
                <w:sz w:val="24"/>
                <w:szCs w:val="24"/>
                <w:u w:val="none"/>
                <w:lang w:val="en-US" w:eastAsia="zh-CN"/>
              </w:rPr>
            </w:pPr>
            <w:r>
              <w:rPr>
                <w:rFonts w:hint="eastAsia" w:ascii="宋体" w:hAnsi="宋体" w:eastAsia="宋体" w:cs="宋体"/>
                <w:i w:val="0"/>
                <w:color w:val="000000"/>
                <w:sz w:val="24"/>
                <w:szCs w:val="24"/>
                <w:u w:val="none"/>
                <w:lang w:val="en-US" w:eastAsia="zh-CN"/>
              </w:rPr>
              <w:t>100%</w:t>
            </w:r>
          </w:p>
        </w:tc>
      </w:tr>
      <w:tr w14:paraId="32F8AD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2C38E445">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24"/>
                <w:szCs w:val="24"/>
                <w:u w:val="none"/>
              </w:rPr>
            </w:pPr>
          </w:p>
        </w:tc>
        <w:tc>
          <w:tcPr>
            <w:tcW w:w="6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EBD4D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成本指标</w:t>
            </w:r>
          </w:p>
        </w:tc>
        <w:tc>
          <w:tcPr>
            <w:tcW w:w="13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C570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宋体" w:hAnsi="宋体" w:eastAsia="宋体" w:cs="宋体"/>
                <w:i w:val="0"/>
                <w:color w:val="000000"/>
                <w:kern w:val="0"/>
                <w:sz w:val="24"/>
                <w:szCs w:val="24"/>
                <w:u w:val="none"/>
                <w:lang w:val="en-US" w:eastAsia="zh-CN" w:bidi="ar"/>
              </w:rPr>
            </w:pPr>
            <w:r>
              <w:rPr>
                <w:rFonts w:hint="default" w:ascii="宋体" w:hAnsi="宋体" w:eastAsia="宋体" w:cs="宋体"/>
                <w:i w:val="0"/>
                <w:color w:val="000000"/>
                <w:kern w:val="0"/>
                <w:sz w:val="24"/>
                <w:szCs w:val="24"/>
                <w:u w:val="none"/>
                <w:lang w:val="en-US" w:eastAsia="zh-CN" w:bidi="ar"/>
              </w:rPr>
              <w:t>经济成本</w:t>
            </w:r>
          </w:p>
          <w:p w14:paraId="1FEF5F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指标</w:t>
            </w:r>
          </w:p>
        </w:tc>
        <w:tc>
          <w:tcPr>
            <w:tcW w:w="1280" w:type="dxa"/>
            <w:tcBorders>
              <w:top w:val="single" w:color="000000" w:sz="4" w:space="0"/>
              <w:bottom w:val="single" w:color="000000" w:sz="4" w:space="0"/>
              <w:right w:val="single" w:color="000000" w:sz="4" w:space="0"/>
            </w:tcBorders>
            <w:shd w:val="clear" w:color="auto" w:fill="auto"/>
            <w:vAlign w:val="center"/>
          </w:tcPr>
          <w:p w14:paraId="368BF5C7">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rPr>
                <w:rFonts w:hint="eastAsia" w:ascii="宋体" w:hAnsi="宋体" w:eastAsia="宋体" w:cs="宋体"/>
                <w:i w:val="0"/>
                <w:color w:val="000000"/>
                <w:sz w:val="24"/>
                <w:szCs w:val="24"/>
                <w:u w:val="none"/>
              </w:rPr>
            </w:pPr>
            <w:r>
              <w:rPr>
                <w:rFonts w:hint="eastAsia" w:ascii="宋体" w:hAnsi="宋体" w:eastAsia="宋体" w:cs="宋体"/>
                <w:i w:val="0"/>
                <w:color w:val="000000"/>
                <w:sz w:val="24"/>
                <w:szCs w:val="24"/>
                <w:u w:val="none"/>
              </w:rPr>
              <w:t>指标1：年度会费、服务费用</w:t>
            </w:r>
          </w:p>
        </w:tc>
        <w:tc>
          <w:tcPr>
            <w:tcW w:w="6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1FC822">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24"/>
                <w:szCs w:val="24"/>
                <w:u w:val="none"/>
              </w:rPr>
            </w:pPr>
            <w:r>
              <w:rPr>
                <w:rFonts w:hint="eastAsia" w:ascii="宋体" w:hAnsi="宋体" w:eastAsia="宋体" w:cs="宋体"/>
                <w:i w:val="0"/>
                <w:color w:val="000000"/>
                <w:sz w:val="24"/>
                <w:szCs w:val="24"/>
                <w:u w:val="none"/>
              </w:rPr>
              <w:t>＝</w:t>
            </w:r>
          </w:p>
        </w:tc>
        <w:tc>
          <w:tcPr>
            <w:tcW w:w="26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5221DD">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default" w:ascii="宋体" w:hAnsi="宋体" w:eastAsia="宋体" w:cs="宋体"/>
                <w:i w:val="0"/>
                <w:color w:val="000000"/>
                <w:sz w:val="24"/>
                <w:szCs w:val="24"/>
                <w:u w:val="none"/>
                <w:lang w:val="en-US" w:eastAsia="zh-CN"/>
              </w:rPr>
            </w:pPr>
            <w:r>
              <w:rPr>
                <w:rFonts w:hint="eastAsia" w:ascii="宋体" w:hAnsi="宋体" w:eastAsia="宋体" w:cs="宋体"/>
                <w:i w:val="0"/>
                <w:color w:val="000000"/>
                <w:sz w:val="24"/>
                <w:szCs w:val="24"/>
                <w:u w:val="none"/>
                <w:lang w:val="en-US" w:eastAsia="zh-CN"/>
              </w:rPr>
              <w:t>11.5</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DF10A5">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24"/>
                <w:szCs w:val="24"/>
                <w:u w:val="none"/>
                <w:lang w:eastAsia="zh-CN"/>
              </w:rPr>
            </w:pPr>
            <w:r>
              <w:rPr>
                <w:rFonts w:hint="eastAsia" w:ascii="宋体" w:hAnsi="宋体" w:eastAsia="宋体" w:cs="宋体"/>
                <w:i w:val="0"/>
                <w:color w:val="000000"/>
                <w:sz w:val="24"/>
                <w:szCs w:val="24"/>
                <w:u w:val="none"/>
                <w:lang w:eastAsia="zh-CN"/>
              </w:rPr>
              <w:t>万元</w:t>
            </w:r>
          </w:p>
        </w:tc>
        <w:tc>
          <w:tcPr>
            <w:tcW w:w="11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929B5D">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default" w:ascii="宋体" w:hAnsi="宋体" w:eastAsia="宋体" w:cs="宋体"/>
                <w:i w:val="0"/>
                <w:color w:val="000000"/>
                <w:sz w:val="24"/>
                <w:szCs w:val="24"/>
                <w:u w:val="none"/>
                <w:lang w:val="en-US" w:eastAsia="zh-CN"/>
              </w:rPr>
            </w:pPr>
            <w:r>
              <w:rPr>
                <w:rFonts w:hint="eastAsia" w:ascii="宋体" w:hAnsi="宋体" w:eastAsia="宋体" w:cs="宋体"/>
                <w:i w:val="0"/>
                <w:color w:val="000000"/>
                <w:sz w:val="24"/>
                <w:szCs w:val="24"/>
                <w:u w:val="none"/>
                <w:lang w:val="en-US" w:eastAsia="zh-CN"/>
              </w:rPr>
              <w:t>10</w:t>
            </w:r>
          </w:p>
        </w:tc>
        <w:tc>
          <w:tcPr>
            <w:tcW w:w="19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6173E8">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default" w:ascii="宋体" w:hAnsi="宋体" w:eastAsia="宋体" w:cs="宋体"/>
                <w:i w:val="0"/>
                <w:color w:val="000000"/>
                <w:sz w:val="24"/>
                <w:szCs w:val="24"/>
                <w:u w:val="none"/>
                <w:lang w:val="en-US" w:eastAsia="zh-CN"/>
              </w:rPr>
            </w:pPr>
            <w:r>
              <w:rPr>
                <w:rFonts w:hint="eastAsia" w:ascii="宋体" w:hAnsi="宋体" w:eastAsia="宋体" w:cs="宋体"/>
                <w:i w:val="0"/>
                <w:color w:val="000000"/>
                <w:sz w:val="24"/>
                <w:szCs w:val="24"/>
                <w:u w:val="none"/>
                <w:lang w:val="en-US" w:eastAsia="zh-CN"/>
              </w:rPr>
              <w:t>11.5</w:t>
            </w:r>
          </w:p>
        </w:tc>
      </w:tr>
    </w:tbl>
    <w:p w14:paraId="5CC0B7F5">
      <w:pPr>
        <w:pStyle w:val="19"/>
        <w:rPr>
          <w:rFonts w:hint="eastAsia" w:ascii="黑体" w:hAnsi="黑体" w:eastAsia="黑体"/>
          <w:color w:val="auto"/>
          <w:sz w:val="44"/>
          <w:szCs w:val="44"/>
          <w:highlight w:val="none"/>
        </w:rPr>
      </w:pPr>
    </w:p>
    <w:bookmarkEnd w:id="108"/>
    <w:bookmarkEnd w:id="109"/>
    <w:p w14:paraId="23285B22">
      <w:pPr>
        <w:spacing w:line="600" w:lineRule="exact"/>
        <w:jc w:val="center"/>
        <w:outlineLvl w:val="0"/>
        <w:rPr>
          <w:rFonts w:hint="eastAsia" w:ascii="黑体" w:hAnsi="黑体" w:eastAsia="黑体"/>
          <w:color w:val="auto"/>
          <w:sz w:val="44"/>
          <w:szCs w:val="44"/>
          <w:highlight w:val="none"/>
        </w:rPr>
      </w:pPr>
      <w:bookmarkStart w:id="116" w:name="_Toc29417"/>
      <w:bookmarkStart w:id="117" w:name="_Toc14099"/>
    </w:p>
    <w:p w14:paraId="78525E2C">
      <w:pPr>
        <w:widowControl w:val="0"/>
        <w:spacing w:line="578" w:lineRule="exact"/>
        <w:ind w:left="-210" w:leftChars="-100" w:right="-210" w:rightChars="-100"/>
        <w:jc w:val="center"/>
        <w:rPr>
          <w:rFonts w:ascii="方正小标宋简体" w:hAnsi="??" w:eastAsia="方正小标宋简体" w:cs="方正小标宋简体"/>
          <w:color w:val="auto"/>
          <w:kern w:val="2"/>
          <w:sz w:val="44"/>
          <w:szCs w:val="44"/>
          <w:lang w:val="en-US" w:eastAsia="zh-CN" w:bidi="ar-SA"/>
        </w:rPr>
      </w:pPr>
      <w:r>
        <w:rPr>
          <w:rFonts w:hint="eastAsia" w:ascii="方正小标宋简体" w:hAnsi="??" w:eastAsia="方正小标宋简体" w:cs="方正小标宋简体"/>
          <w:color w:val="auto"/>
          <w:kern w:val="2"/>
          <w:sz w:val="44"/>
          <w:szCs w:val="44"/>
          <w:lang w:val="en-US" w:eastAsia="zh-CN" w:bidi="ar-SA"/>
        </w:rPr>
        <w:t>广元市社会信用体系建设咨询服务项目（广元市创建全国社会信用体系建设示范区第三方综合咨询服务费）专项预算项目绩效评价报告</w:t>
      </w:r>
    </w:p>
    <w:p w14:paraId="3F72F0D8">
      <w:pPr>
        <w:widowControl w:val="0"/>
        <w:spacing w:line="578" w:lineRule="exact"/>
        <w:ind w:firstLine="640"/>
        <w:jc w:val="center"/>
        <w:rPr>
          <w:rFonts w:ascii="宋体" w:hAnsi="??" w:eastAsia="宋体" w:cs="Times New Roman"/>
          <w:color w:val="auto"/>
          <w:kern w:val="2"/>
          <w:sz w:val="32"/>
          <w:szCs w:val="32"/>
          <w:lang w:val="zh-CN" w:eastAsia="zh-CN" w:bidi="ar-SA"/>
        </w:rPr>
      </w:pPr>
    </w:p>
    <w:p w14:paraId="138F9311">
      <w:pPr>
        <w:adjustRightInd w:val="0"/>
        <w:snapToGrid w:val="0"/>
        <w:spacing w:line="578" w:lineRule="exact"/>
        <w:ind w:firstLine="640" w:firstLineChars="200"/>
        <w:rPr>
          <w:rFonts w:ascii="黑体" w:hAnsi="Times New Roman" w:eastAsia="黑体" w:cs="Times New Roman"/>
          <w:sz w:val="32"/>
          <w:szCs w:val="32"/>
          <w:lang w:val="zh-CN"/>
        </w:rPr>
      </w:pPr>
      <w:r>
        <w:rPr>
          <w:rFonts w:hint="eastAsia" w:ascii="黑体" w:hAnsi="Times New Roman" w:eastAsia="黑体" w:cs="Times New Roman"/>
          <w:sz w:val="32"/>
          <w:szCs w:val="32"/>
        </w:rPr>
        <w:t>一、</w:t>
      </w:r>
      <w:r>
        <w:rPr>
          <w:rFonts w:hint="eastAsia" w:ascii="黑体" w:hAnsi="Times New Roman" w:eastAsia="黑体" w:cs="Times New Roman"/>
          <w:sz w:val="32"/>
          <w:szCs w:val="32"/>
          <w:lang w:val="zh-CN"/>
        </w:rPr>
        <w:t>项目概况</w:t>
      </w:r>
    </w:p>
    <w:p w14:paraId="16CEF3A2">
      <w:pPr>
        <w:spacing w:line="560" w:lineRule="exact"/>
        <w:ind w:firstLine="640"/>
        <w:rPr>
          <w:rFonts w:ascii="仿宋_GB2312" w:hAnsi="Times New Roman" w:eastAsia="仿宋_GB2312" w:cs="仿宋_GB2312"/>
          <w:sz w:val="32"/>
          <w:szCs w:val="32"/>
        </w:rPr>
      </w:pPr>
      <w:r>
        <w:rPr>
          <w:rFonts w:hint="eastAsia" w:ascii="楷体_GB2312" w:hAnsi="Times New Roman" w:eastAsia="楷体_GB2312" w:cs="Times New Roman"/>
          <w:b/>
          <w:sz w:val="32"/>
          <w:szCs w:val="32"/>
          <w:lang w:val="zh-CN"/>
        </w:rPr>
        <w:t>（一）设立背景及基本情况。</w:t>
      </w:r>
      <w:r>
        <w:rPr>
          <w:rFonts w:hint="eastAsia" w:ascii="仿宋_GB2312" w:hAnsi="Times New Roman" w:eastAsia="仿宋_GB2312" w:cs="Times New Roman"/>
          <w:sz w:val="32"/>
          <w:szCs w:val="32"/>
        </w:rPr>
        <w:t>坚持以习近平新时代中国特色社会主义思想为指导，全面贯彻党的十九大和十九届历次全会精神，深入贯彻落实</w:t>
      </w:r>
      <w:r>
        <w:rPr>
          <w:rFonts w:hint="eastAsia" w:ascii="仿宋_GB2312" w:hAnsi="Times New Roman" w:eastAsia="仿宋_GB2312" w:cs="Times New Roman"/>
          <w:kern w:val="0"/>
          <w:sz w:val="32"/>
          <w:szCs w:val="32"/>
        </w:rPr>
        <w:t>国家、省、市社会信用体系建设决策部署</w:t>
      </w:r>
      <w:r>
        <w:rPr>
          <w:rFonts w:hint="eastAsia" w:ascii="仿宋_GB2312" w:hAnsi="Times New Roman" w:eastAsia="仿宋_GB2312" w:cs="Times New Roman"/>
          <w:sz w:val="32"/>
          <w:szCs w:val="32"/>
        </w:rPr>
        <w:t>，以创建全国社会信用体系建设示范区为契机，</w:t>
      </w:r>
      <w:r>
        <w:rPr>
          <w:rFonts w:hint="eastAsia" w:ascii="仿宋_GB2312" w:hAnsi="Times New Roman" w:eastAsia="仿宋_GB2312" w:cs="仿宋_GB2312"/>
          <w:sz w:val="32"/>
          <w:szCs w:val="32"/>
        </w:rPr>
        <w:t>着力加强信用制度、信用平台、数据归集共享、“信易贷”和重点领域信用建设，全面构建以信用为基础的新型监管机制，不断</w:t>
      </w:r>
      <w:r>
        <w:rPr>
          <w:rFonts w:ascii="仿宋_GB2312" w:hAnsi="Times New Roman" w:eastAsia="仿宋_GB2312" w:cs="仿宋_GB2312"/>
          <w:sz w:val="32"/>
          <w:szCs w:val="32"/>
        </w:rPr>
        <w:t>提升</w:t>
      </w:r>
      <w:r>
        <w:rPr>
          <w:rFonts w:hint="eastAsia" w:ascii="仿宋_GB2312" w:hAnsi="Times New Roman" w:eastAsia="仿宋_GB2312" w:cs="仿宋_GB2312"/>
          <w:sz w:val="32"/>
          <w:szCs w:val="32"/>
        </w:rPr>
        <w:t>信用服务实体经济的能力和水平，持续</w:t>
      </w:r>
      <w:r>
        <w:rPr>
          <w:rFonts w:ascii="仿宋_GB2312" w:hAnsi="Times New Roman" w:eastAsia="仿宋_GB2312" w:cs="仿宋_GB2312"/>
          <w:sz w:val="32"/>
          <w:szCs w:val="32"/>
        </w:rPr>
        <w:t>增强</w:t>
      </w:r>
      <w:r>
        <w:rPr>
          <w:rFonts w:hint="eastAsia" w:ascii="仿宋_GB2312" w:hAnsi="Times New Roman" w:eastAsia="仿宋_GB2312" w:cs="仿宋_GB2312"/>
          <w:sz w:val="32"/>
          <w:szCs w:val="32"/>
        </w:rPr>
        <w:t>“信用广元”品牌影响力，提</w:t>
      </w:r>
      <w:r>
        <w:rPr>
          <w:rFonts w:ascii="仿宋_GB2312" w:hAnsi="Times New Roman" w:eastAsia="仿宋_GB2312" w:cs="仿宋_GB2312"/>
          <w:sz w:val="32"/>
          <w:szCs w:val="32"/>
        </w:rPr>
        <w:t>高</w:t>
      </w:r>
      <w:r>
        <w:rPr>
          <w:rFonts w:hint="eastAsia" w:ascii="仿宋_GB2312" w:hAnsi="Times New Roman" w:eastAsia="仿宋_GB2312" w:cs="仿宋_GB2312"/>
          <w:sz w:val="32"/>
          <w:szCs w:val="32"/>
        </w:rPr>
        <w:t>城市现代综合治理能力和治理水平，为打造川内最优营商环境，创建全国文明城市，加快建设川陕甘结合部现代化中心城市提供有力支撑。</w:t>
      </w:r>
      <w:r>
        <w:rPr>
          <w:rFonts w:hint="eastAsia" w:ascii="仿宋_GB2312" w:hAnsi="Times New Roman" w:eastAsia="仿宋_GB2312" w:cs="Times New Roman"/>
          <w:kern w:val="0"/>
          <w:sz w:val="32"/>
          <w:szCs w:val="32"/>
        </w:rPr>
        <w:t>深入贯彻市委、市政府决策部署，积极推进我市</w:t>
      </w:r>
      <w:r>
        <w:rPr>
          <w:rFonts w:hint="eastAsia" w:ascii="仿宋_GB2312" w:hAnsi="Times New Roman" w:eastAsia="仿宋_GB2312" w:cs="仿宋_GB2312"/>
          <w:sz w:val="32"/>
          <w:szCs w:val="32"/>
        </w:rPr>
        <w:t>各项创建工作高质高效开展，</w:t>
      </w:r>
      <w:r>
        <w:rPr>
          <w:rFonts w:hint="eastAsia" w:ascii="仿宋_GB2312" w:hAnsi="Times New Roman" w:eastAsia="仿宋_GB2312" w:cs="Times New Roman"/>
          <w:sz w:val="32"/>
          <w:szCs w:val="32"/>
        </w:rPr>
        <w:t>严格对标对表《社会信用体系建设示范区评审指标（2022年版）》，强弱项补短板，以信用信息应用为抓手，以平台建设和制度建设为支撑，以推进政务诚信、商务诚信、社会诚信和司法公信建设为重点，全面提高全社会诚信意识</w:t>
      </w:r>
      <w:r>
        <w:rPr>
          <w:rFonts w:ascii="仿宋_GB2312" w:hAnsi="Times New Roman" w:eastAsia="仿宋_GB2312" w:cs="Times New Roman"/>
          <w:sz w:val="32"/>
          <w:szCs w:val="32"/>
        </w:rPr>
        <w:t>。</w:t>
      </w:r>
    </w:p>
    <w:p w14:paraId="1E2159A4">
      <w:pPr>
        <w:adjustRightInd w:val="0"/>
        <w:snapToGrid w:val="0"/>
        <w:spacing w:line="578" w:lineRule="exact"/>
        <w:ind w:firstLine="643" w:firstLineChars="200"/>
        <w:rPr>
          <w:rFonts w:ascii="楷体_GB2312" w:hAnsi="Times New Roman" w:eastAsia="楷体_GB2312" w:cs="Times New Roman"/>
          <w:b/>
          <w:color w:val="FF0000"/>
          <w:sz w:val="32"/>
          <w:szCs w:val="32"/>
          <w:lang w:val="zh-CN"/>
        </w:rPr>
      </w:pPr>
      <w:r>
        <w:rPr>
          <w:rFonts w:hint="eastAsia" w:ascii="楷体_GB2312" w:hAnsi="Times New Roman" w:eastAsia="楷体_GB2312" w:cs="Times New Roman"/>
          <w:b/>
          <w:sz w:val="32"/>
          <w:szCs w:val="32"/>
          <w:lang w:val="zh-CN"/>
        </w:rPr>
        <w:t>（二）</w:t>
      </w:r>
      <w:r>
        <w:rPr>
          <w:rFonts w:ascii="楷体_GB2312" w:hAnsi="Times New Roman" w:eastAsia="楷体_GB2312" w:cs="Times New Roman"/>
          <w:b/>
          <w:sz w:val="32"/>
          <w:szCs w:val="32"/>
        </w:rPr>
        <w:t>实施目的及支持方向</w:t>
      </w:r>
      <w:r>
        <w:rPr>
          <w:rFonts w:hint="eastAsia" w:ascii="楷体_GB2312" w:hAnsi="Times New Roman" w:eastAsia="楷体_GB2312" w:cs="Times New Roman"/>
          <w:b/>
          <w:sz w:val="32"/>
          <w:szCs w:val="32"/>
        </w:rPr>
        <w:t>。</w:t>
      </w:r>
      <w:r>
        <w:rPr>
          <w:rFonts w:hint="eastAsia" w:ascii="仿宋_GB2312" w:hAnsi="Times New Roman" w:eastAsia="仿宋_GB2312" w:cs="Times New Roman"/>
          <w:kern w:val="0"/>
          <w:sz w:val="32"/>
          <w:szCs w:val="32"/>
        </w:rPr>
        <w:t>按照第四批社会信用体系建设评选指标</w:t>
      </w:r>
      <w:r>
        <w:rPr>
          <w:rFonts w:ascii="仿宋_GB2312" w:hAnsi="Times New Roman" w:eastAsia="仿宋_GB2312" w:cs="Times New Roman"/>
          <w:kern w:val="0"/>
          <w:sz w:val="32"/>
          <w:szCs w:val="32"/>
        </w:rPr>
        <w:t>要求，</w:t>
      </w:r>
      <w:r>
        <w:rPr>
          <w:rFonts w:hint="eastAsia" w:ascii="仿宋_GB2312" w:hAnsi="Times New Roman" w:eastAsia="仿宋_GB2312" w:cs="Times New Roman"/>
          <w:kern w:val="0"/>
          <w:sz w:val="32"/>
          <w:szCs w:val="32"/>
        </w:rPr>
        <w:t>组织相关专家深入调研，深入分析广元市信用体系建设的短板和问题，形成解决方案；根据第四批创建要求，制定操作可行的创建总体工作推进方案（实施方案和任务分工）及专项推进方案；在创建阶段提供咨询指导，在评审阶段提供技术支持，举办工作培训会；建立完善合同履约监管系统；配备专业技术人员现场提供创建指导咨询服务；在国家级新闻媒体宣传广元信用建设</w:t>
      </w:r>
      <w:r>
        <w:rPr>
          <w:rFonts w:ascii="仿宋_GB2312" w:hAnsi="Times New Roman" w:eastAsia="仿宋_GB2312" w:cs="Times New Roman"/>
          <w:kern w:val="0"/>
          <w:sz w:val="32"/>
          <w:szCs w:val="32"/>
        </w:rPr>
        <w:t>。</w:t>
      </w:r>
      <w:r>
        <w:rPr>
          <w:rFonts w:hint="eastAsia" w:ascii="仿宋_GB2312" w:hAnsi="Times New Roman" w:eastAsia="仿宋_GB2312" w:cs="仿宋_GB2312"/>
          <w:sz w:val="32"/>
          <w:szCs w:val="32"/>
        </w:rPr>
        <w:t>项目资金由市发展改革委向市政府、市财政局申报，同意后，严格按照</w:t>
      </w:r>
      <w:r>
        <w:rPr>
          <w:rFonts w:hint="eastAsia" w:ascii="仿宋" w:hAnsi="Times New Roman" w:eastAsia="仿宋" w:cs="Times New Roman"/>
          <w:sz w:val="32"/>
          <w:szCs w:val="32"/>
        </w:rPr>
        <w:t>政府采购</w:t>
      </w:r>
      <w:r>
        <w:rPr>
          <w:rFonts w:hint="eastAsia" w:ascii="仿宋_GB2312" w:hAnsi="Times New Roman" w:eastAsia="仿宋_GB2312" w:cs="仿宋_GB2312"/>
          <w:sz w:val="32"/>
          <w:szCs w:val="32"/>
        </w:rPr>
        <w:t>流程进行，符合资金管理办法等相关规定。</w:t>
      </w:r>
    </w:p>
    <w:p w14:paraId="3503E466">
      <w:pPr>
        <w:adjustRightInd w:val="0"/>
        <w:snapToGrid w:val="0"/>
        <w:spacing w:line="576" w:lineRule="exact"/>
        <w:ind w:firstLine="720"/>
        <w:rPr>
          <w:rFonts w:ascii="仿宋_GB2312" w:hAnsi="Times New Roman" w:eastAsia="仿宋_GB2312" w:cs="仿宋_GB2312"/>
          <w:color w:val="FF0000"/>
          <w:kern w:val="0"/>
          <w:sz w:val="32"/>
          <w:szCs w:val="32"/>
          <w:shd w:val="clear" w:color="auto" w:fill="FFFFFF"/>
          <w:lang w:val="zh-CN"/>
        </w:rPr>
      </w:pPr>
      <w:r>
        <w:rPr>
          <w:rFonts w:hint="eastAsia" w:ascii="楷体_GB2312" w:hAnsi="Times New Roman" w:eastAsia="楷体_GB2312" w:cs="Times New Roman"/>
          <w:b/>
          <w:sz w:val="32"/>
          <w:szCs w:val="32"/>
          <w:lang w:val="zh-CN"/>
        </w:rPr>
        <w:t>（三）</w:t>
      </w:r>
      <w:r>
        <w:rPr>
          <w:rFonts w:ascii="楷体_GB2312" w:hAnsi="Times New Roman" w:eastAsia="楷体_GB2312" w:cs="Times New Roman"/>
          <w:b/>
          <w:sz w:val="32"/>
          <w:szCs w:val="32"/>
        </w:rPr>
        <w:t>预算安排及分配管理</w:t>
      </w:r>
      <w:r>
        <w:rPr>
          <w:rFonts w:hint="eastAsia" w:ascii="楷体_GB2312" w:hAnsi="Times New Roman" w:eastAsia="楷体_GB2312" w:cs="Times New Roman"/>
          <w:b/>
          <w:sz w:val="32"/>
          <w:szCs w:val="32"/>
          <w:lang w:val="zh-CN"/>
        </w:rPr>
        <w:t>。</w:t>
      </w:r>
      <w:r>
        <w:rPr>
          <w:rFonts w:hint="eastAsia" w:ascii="仿宋_GB2312" w:hAnsi="Times New Roman" w:eastAsia="仿宋_GB2312" w:cs="仿宋_GB2312"/>
          <w:sz w:val="32"/>
          <w:szCs w:val="32"/>
        </w:rPr>
        <w:t>项目预算安排</w:t>
      </w:r>
      <w:r>
        <w:rPr>
          <w:rFonts w:ascii="仿宋_GB2312" w:hAnsi="Times New Roman" w:eastAsia="仿宋_GB2312" w:cs="仿宋_GB2312"/>
          <w:sz w:val="32"/>
          <w:szCs w:val="32"/>
        </w:rPr>
        <w:t>98</w:t>
      </w:r>
      <w:r>
        <w:rPr>
          <w:rFonts w:hint="eastAsia" w:ascii="仿宋_GB2312" w:hAnsi="Times New Roman" w:eastAsia="仿宋_GB2312" w:cs="仿宋_GB2312"/>
          <w:sz w:val="32"/>
          <w:szCs w:val="32"/>
        </w:rPr>
        <w:t>万元，严格按照政府</w:t>
      </w:r>
      <w:r>
        <w:rPr>
          <w:rFonts w:hint="eastAsia" w:ascii="仿宋" w:hAnsi="Times New Roman" w:eastAsia="仿宋" w:cs="Times New Roman"/>
          <w:sz w:val="32"/>
          <w:szCs w:val="32"/>
        </w:rPr>
        <w:t>采购程序</w:t>
      </w:r>
      <w:r>
        <w:rPr>
          <w:rFonts w:hint="eastAsia" w:ascii="仿宋_GB2312" w:hAnsi="Times New Roman" w:eastAsia="仿宋_GB2312" w:cs="仿宋_GB2312"/>
          <w:sz w:val="32"/>
          <w:szCs w:val="32"/>
        </w:rPr>
        <w:t>执行</w:t>
      </w:r>
      <w:r>
        <w:rPr>
          <w:rFonts w:hint="eastAsia" w:ascii="仿宋" w:hAnsi="Times New Roman" w:eastAsia="仿宋" w:cs="Times New Roman"/>
          <w:sz w:val="32"/>
          <w:szCs w:val="32"/>
        </w:rPr>
        <w:t>。</w:t>
      </w:r>
    </w:p>
    <w:p w14:paraId="5999C18F">
      <w:pPr>
        <w:adjustRightInd w:val="0"/>
        <w:snapToGrid w:val="0"/>
        <w:spacing w:line="578" w:lineRule="exact"/>
        <w:ind w:firstLine="643" w:firstLineChars="200"/>
        <w:rPr>
          <w:rFonts w:ascii="仿宋_GB2312" w:hAnsi="Times New Roman" w:eastAsia="仿宋_GB2312" w:cs="仿宋_GB2312"/>
          <w:color w:val="FF0000"/>
          <w:sz w:val="32"/>
          <w:szCs w:val="32"/>
        </w:rPr>
      </w:pPr>
      <w:r>
        <w:rPr>
          <w:rFonts w:hint="eastAsia" w:ascii="楷体_GB2312" w:hAnsi="Times New Roman" w:eastAsia="楷体_GB2312" w:cs="Times New Roman"/>
          <w:b/>
          <w:sz w:val="32"/>
          <w:szCs w:val="32"/>
          <w:lang w:val="zh-CN"/>
        </w:rPr>
        <w:t>（四）项目绩效目标设置。</w:t>
      </w:r>
      <w:r>
        <w:rPr>
          <w:rFonts w:hint="eastAsia" w:ascii="仿宋_GB2312" w:hAnsi="Times New Roman" w:eastAsia="仿宋_GB2312" w:cs="仿宋_GB2312"/>
          <w:sz w:val="32"/>
          <w:szCs w:val="32"/>
        </w:rPr>
        <w:t>项目主要</w:t>
      </w:r>
      <w:r>
        <w:rPr>
          <w:rFonts w:ascii="仿宋_GB2312" w:hAnsi="Times New Roman" w:eastAsia="仿宋_GB2312" w:cs="仿宋_GB2312"/>
          <w:sz w:val="32"/>
          <w:szCs w:val="32"/>
        </w:rPr>
        <w:t>用于</w:t>
      </w:r>
      <w:r>
        <w:rPr>
          <w:rFonts w:hint="eastAsia" w:ascii="仿宋_GB2312" w:hAnsi="Times New Roman" w:eastAsia="仿宋_GB2312" w:cs="Times New Roman"/>
          <w:kern w:val="0"/>
          <w:sz w:val="32"/>
          <w:szCs w:val="32"/>
        </w:rPr>
        <w:t>广元市创建全国第四批社会信用体系建设示范区第三方综合咨询服务费</w:t>
      </w:r>
      <w:r>
        <w:rPr>
          <w:rFonts w:hint="eastAsia" w:ascii="仿宋_GB2312" w:hAnsi="Times New Roman" w:eastAsia="仿宋_GB2312" w:cs="仿宋_GB2312"/>
          <w:sz w:val="32"/>
          <w:szCs w:val="32"/>
        </w:rPr>
        <w:t>。</w:t>
      </w:r>
    </w:p>
    <w:p w14:paraId="040E858B">
      <w:pPr>
        <w:adjustRightInd w:val="0"/>
        <w:snapToGrid w:val="0"/>
        <w:spacing w:line="578" w:lineRule="exact"/>
        <w:ind w:firstLine="640" w:firstLineChars="200"/>
        <w:rPr>
          <w:rFonts w:ascii="黑体" w:hAnsi="Times New Roman" w:eastAsia="黑体" w:cs="Times New Roman"/>
          <w:sz w:val="32"/>
          <w:szCs w:val="32"/>
        </w:rPr>
      </w:pPr>
      <w:r>
        <w:rPr>
          <w:rFonts w:hint="eastAsia" w:ascii="黑体" w:hAnsi="Times New Roman" w:eastAsia="黑体" w:cs="Times New Roman"/>
          <w:sz w:val="32"/>
          <w:szCs w:val="32"/>
        </w:rPr>
        <w:t>二、评价实施</w:t>
      </w:r>
    </w:p>
    <w:p w14:paraId="12FC0C38">
      <w:pPr>
        <w:snapToGrid w:val="0"/>
        <w:spacing w:line="600" w:lineRule="exact"/>
        <w:ind w:firstLine="643" w:firstLineChars="200"/>
        <w:jc w:val="left"/>
        <w:rPr>
          <w:rFonts w:ascii="仿宋" w:hAnsi="Times New Roman" w:eastAsia="仿宋" w:cs="Times New Roman"/>
          <w:color w:val="FF0000"/>
          <w:sz w:val="32"/>
          <w:szCs w:val="32"/>
        </w:rPr>
      </w:pPr>
      <w:r>
        <w:rPr>
          <w:rFonts w:hint="eastAsia" w:ascii="楷体_GB2312" w:hAnsi="Times New Roman" w:eastAsia="楷体_GB2312" w:cs="Times New Roman"/>
          <w:b/>
          <w:sz w:val="32"/>
          <w:szCs w:val="32"/>
          <w:lang w:val="zh-CN"/>
        </w:rPr>
        <w:t>（一）评价目的。</w:t>
      </w:r>
      <w:r>
        <w:rPr>
          <w:rFonts w:hint="eastAsia" w:ascii="仿宋" w:hAnsi="Times New Roman" w:eastAsia="仿宋" w:cs="Times New Roman"/>
          <w:sz w:val="32"/>
          <w:szCs w:val="32"/>
        </w:rPr>
        <w:t>为项目设立和预算安排提供重要参考依据，进一步提高预算编制科学性、合理性，从源头上防控财政资源配置的低效无效，优化财政支出结构，提高财政资源配置效率和财政资金使用效益。</w:t>
      </w:r>
    </w:p>
    <w:p w14:paraId="0A5DCB34">
      <w:pPr>
        <w:adjustRightInd w:val="0"/>
        <w:snapToGrid w:val="0"/>
        <w:spacing w:line="576" w:lineRule="exact"/>
        <w:ind w:firstLine="720"/>
        <w:rPr>
          <w:rFonts w:ascii="仿宋" w:hAnsi="Times New Roman" w:eastAsia="仿宋" w:cs="Times New Roman"/>
          <w:color w:val="FF0000"/>
          <w:sz w:val="32"/>
          <w:szCs w:val="32"/>
        </w:rPr>
      </w:pPr>
      <w:r>
        <w:rPr>
          <w:rFonts w:hint="eastAsia" w:ascii="楷体_GB2312" w:hAnsi="Times New Roman" w:eastAsia="楷体_GB2312" w:cs="Times New Roman"/>
          <w:b/>
          <w:sz w:val="32"/>
          <w:szCs w:val="32"/>
          <w:lang w:val="zh-CN"/>
        </w:rPr>
        <w:t>（二）预设问题及评价重点。</w:t>
      </w:r>
      <w:r>
        <w:rPr>
          <w:rFonts w:hint="eastAsia" w:ascii="仿宋" w:hAnsi="Times New Roman" w:eastAsia="仿宋" w:cs="Times New Roman"/>
          <w:sz w:val="32"/>
          <w:szCs w:val="32"/>
        </w:rPr>
        <w:t>项目申报内容与具体实施内容是否相符、申报目标是否合理可行，资金使用是否合理。</w:t>
      </w:r>
    </w:p>
    <w:p w14:paraId="3D81D9D2">
      <w:pPr>
        <w:adjustRightInd w:val="0"/>
        <w:snapToGrid w:val="0"/>
        <w:spacing w:line="578" w:lineRule="exact"/>
        <w:ind w:firstLine="643" w:firstLineChars="200"/>
        <w:rPr>
          <w:rFonts w:ascii="仿宋" w:hAnsi="Times New Roman" w:eastAsia="仿宋" w:cs="Times New Roman"/>
          <w:color w:val="FF0000"/>
          <w:sz w:val="32"/>
          <w:szCs w:val="32"/>
        </w:rPr>
      </w:pPr>
      <w:r>
        <w:rPr>
          <w:rFonts w:hint="eastAsia" w:ascii="楷体_GB2312" w:hAnsi="Times New Roman" w:eastAsia="楷体_GB2312" w:cs="Times New Roman"/>
          <w:b/>
          <w:sz w:val="32"/>
          <w:szCs w:val="32"/>
          <w:lang w:val="zh-CN"/>
        </w:rPr>
        <w:t>（三）评价选点。</w:t>
      </w:r>
      <w:r>
        <w:rPr>
          <w:rFonts w:hint="eastAsia" w:ascii="仿宋" w:hAnsi="Times New Roman" w:eastAsia="仿宋" w:cs="Times New Roman"/>
          <w:sz w:val="32"/>
          <w:szCs w:val="32"/>
        </w:rPr>
        <w:t>严格按照项目申报内容实施，</w:t>
      </w:r>
      <w:r>
        <w:rPr>
          <w:rFonts w:ascii="仿宋" w:hAnsi="Times New Roman" w:eastAsia="仿宋" w:cs="Times New Roman"/>
          <w:sz w:val="32"/>
          <w:szCs w:val="32"/>
        </w:rPr>
        <w:t>按照社会信用体系建设评选指标，组织相关专家深入调研，结合创建要求</w:t>
      </w:r>
      <w:r>
        <w:rPr>
          <w:rFonts w:hint="eastAsia" w:ascii="仿宋" w:eastAsia="仿宋" w:cs="Times New Roman"/>
          <w:sz w:val="32"/>
          <w:szCs w:val="32"/>
          <w:lang w:eastAsia="zh-CN"/>
        </w:rPr>
        <w:t>，</w:t>
      </w:r>
      <w:r>
        <w:rPr>
          <w:rFonts w:ascii="仿宋" w:hAnsi="Times New Roman" w:eastAsia="仿宋" w:cs="Times New Roman"/>
          <w:sz w:val="32"/>
          <w:szCs w:val="32"/>
        </w:rPr>
        <w:t>分析广元市信用体系建设短板和问题，形成有效成果资料。制定操作可行的《广元市创建全国社会信用体系建设示范市实施方案》</w:t>
      </w:r>
      <w:r>
        <w:rPr>
          <w:rFonts w:hint="eastAsia" w:ascii="仿宋" w:eastAsia="仿宋" w:cs="Times New Roman"/>
          <w:sz w:val="32"/>
          <w:szCs w:val="32"/>
          <w:lang w:eastAsia="zh-CN"/>
        </w:rPr>
        <w:t>，</w:t>
      </w:r>
      <w:r>
        <w:rPr>
          <w:rFonts w:ascii="仿宋" w:hAnsi="Times New Roman" w:eastAsia="仿宋" w:cs="Times New Roman"/>
          <w:sz w:val="32"/>
          <w:szCs w:val="32"/>
        </w:rPr>
        <w:t>在创建阶段这是业技术人员现场提供创建指导咨询服务，完善合同履约监管机制，同时搭建合同履约监管系统，加强合同数据归集。在新闻媒体宣传广元信用建设</w:t>
      </w:r>
      <w:r>
        <w:rPr>
          <w:rFonts w:hint="eastAsia" w:ascii="仿宋" w:eastAsia="仿宋" w:cs="Times New Roman"/>
          <w:sz w:val="32"/>
          <w:szCs w:val="32"/>
          <w:lang w:eastAsia="zh-CN"/>
        </w:rPr>
        <w:t>，</w:t>
      </w:r>
      <w:r>
        <w:rPr>
          <w:rFonts w:ascii="仿宋" w:hAnsi="Times New Roman" w:eastAsia="仿宋" w:cs="Times New Roman"/>
          <w:sz w:val="32"/>
          <w:szCs w:val="32"/>
        </w:rPr>
        <w:t>提升广元市城市信用综合指数</w:t>
      </w:r>
      <w:r>
        <w:rPr>
          <w:rFonts w:hint="eastAsia" w:ascii="仿宋_GB2312" w:hAnsi="Times New Roman" w:eastAsia="仿宋_GB2312" w:cs="仿宋_GB2312"/>
          <w:sz w:val="32"/>
          <w:szCs w:val="32"/>
        </w:rPr>
        <w:t>。</w:t>
      </w:r>
    </w:p>
    <w:p w14:paraId="19B96701">
      <w:pPr>
        <w:snapToGrid w:val="0"/>
        <w:spacing w:line="600" w:lineRule="exact"/>
        <w:ind w:firstLine="643" w:firstLineChars="200"/>
        <w:rPr>
          <w:rFonts w:ascii="仿宋_GB2312" w:hAnsi="Times New Roman" w:eastAsia="仿宋_GB2312" w:cs="仿宋_GB2312"/>
          <w:color w:val="FF0000"/>
          <w:sz w:val="32"/>
          <w:szCs w:val="32"/>
        </w:rPr>
      </w:pPr>
      <w:r>
        <w:rPr>
          <w:rFonts w:hint="eastAsia" w:ascii="楷体_GB2312" w:hAnsi="Times New Roman" w:eastAsia="楷体_GB2312" w:cs="Times New Roman"/>
          <w:b/>
          <w:sz w:val="32"/>
          <w:szCs w:val="32"/>
          <w:lang w:val="zh-CN"/>
        </w:rPr>
        <w:t>（四）评价方法。</w:t>
      </w:r>
      <w:r>
        <w:rPr>
          <w:rFonts w:hint="eastAsia" w:ascii="仿宋_GB2312" w:hAnsi="Times New Roman" w:eastAsia="仿宋_GB2312" w:cs="仿宋_GB2312"/>
          <w:sz w:val="32"/>
          <w:szCs w:val="32"/>
        </w:rPr>
        <w:t>按照有关规定和工作安排，通过委内集中研究论证、对接省发展改革委、专题报告市领导等方式方法，对项目的立项必要性、投入经济性、目标合理性、方案可行性以及筹资合规性实施评估。</w:t>
      </w:r>
    </w:p>
    <w:p w14:paraId="622E3AF4">
      <w:pPr>
        <w:spacing w:line="578" w:lineRule="exact"/>
        <w:ind w:firstLine="640"/>
        <w:rPr>
          <w:rFonts w:ascii="仿宋" w:hAnsi="Times New Roman" w:eastAsia="仿宋" w:cs="Times New Roman"/>
          <w:sz w:val="32"/>
          <w:szCs w:val="32"/>
        </w:rPr>
      </w:pPr>
      <w:r>
        <w:rPr>
          <w:rFonts w:hint="eastAsia" w:ascii="楷体_GB2312" w:hAnsi="Times New Roman" w:eastAsia="楷体_GB2312" w:cs="Times New Roman"/>
          <w:b/>
          <w:sz w:val="32"/>
          <w:szCs w:val="32"/>
          <w:lang w:val="zh-CN"/>
        </w:rPr>
        <w:t>（五）评价组织。</w:t>
      </w:r>
      <w:r>
        <w:rPr>
          <w:rFonts w:ascii="仿宋" w:hAnsi="Times New Roman" w:eastAsia="仿宋" w:cs="Times New Roman"/>
          <w:sz w:val="32"/>
          <w:szCs w:val="32"/>
        </w:rPr>
        <w:t>评价组人员由市发展改革委</w:t>
      </w:r>
      <w:r>
        <w:rPr>
          <w:rFonts w:hint="eastAsia" w:ascii="仿宋" w:hAnsi="Times New Roman" w:eastAsia="仿宋" w:cs="Times New Roman"/>
          <w:sz w:val="32"/>
          <w:szCs w:val="32"/>
        </w:rPr>
        <w:t>主要领导、</w:t>
      </w:r>
      <w:r>
        <w:rPr>
          <w:rFonts w:ascii="仿宋" w:hAnsi="Times New Roman" w:eastAsia="仿宋" w:cs="Times New Roman"/>
          <w:sz w:val="32"/>
          <w:szCs w:val="32"/>
        </w:rPr>
        <w:t>财金信用科</w:t>
      </w:r>
      <w:r>
        <w:rPr>
          <w:rFonts w:hint="eastAsia" w:ascii="仿宋" w:hAnsi="Times New Roman" w:eastAsia="仿宋" w:cs="Times New Roman"/>
          <w:sz w:val="32"/>
          <w:szCs w:val="32"/>
        </w:rPr>
        <w:t>分管</w:t>
      </w:r>
      <w:r>
        <w:rPr>
          <w:rFonts w:ascii="仿宋" w:hAnsi="Times New Roman" w:eastAsia="仿宋" w:cs="Times New Roman"/>
          <w:sz w:val="32"/>
          <w:szCs w:val="32"/>
        </w:rPr>
        <w:t>领导</w:t>
      </w:r>
      <w:r>
        <w:rPr>
          <w:rFonts w:hint="eastAsia" w:ascii="仿宋" w:hAnsi="Times New Roman" w:eastAsia="仿宋" w:cs="Times New Roman"/>
          <w:sz w:val="32"/>
          <w:szCs w:val="32"/>
        </w:rPr>
        <w:t>、办公室（财务室、后勤中心）负责领导及</w:t>
      </w:r>
      <w:r>
        <w:rPr>
          <w:rFonts w:ascii="仿宋" w:hAnsi="Times New Roman" w:eastAsia="仿宋" w:cs="Times New Roman"/>
          <w:sz w:val="32"/>
          <w:szCs w:val="32"/>
        </w:rPr>
        <w:t>财金信用</w:t>
      </w:r>
      <w:r>
        <w:rPr>
          <w:rFonts w:hint="eastAsia" w:ascii="仿宋" w:hAnsi="Times New Roman" w:eastAsia="仿宋" w:cs="Times New Roman"/>
          <w:sz w:val="32"/>
          <w:szCs w:val="32"/>
        </w:rPr>
        <w:t>科、办公室（财务室、后勤中心）</w:t>
      </w:r>
      <w:r>
        <w:rPr>
          <w:rFonts w:ascii="仿宋" w:hAnsi="Times New Roman" w:eastAsia="仿宋" w:cs="Times New Roman"/>
          <w:sz w:val="32"/>
          <w:szCs w:val="32"/>
        </w:rPr>
        <w:t>科室负责人等组成。</w:t>
      </w:r>
    </w:p>
    <w:p w14:paraId="25BE2EC6">
      <w:pPr>
        <w:adjustRightInd w:val="0"/>
        <w:snapToGrid w:val="0"/>
        <w:spacing w:line="520" w:lineRule="exact"/>
        <w:ind w:firstLine="640" w:firstLineChars="200"/>
        <w:rPr>
          <w:rFonts w:ascii="仿宋" w:hAnsi="Times New Roman" w:eastAsia="仿宋" w:cs="Times New Roman"/>
          <w:color w:val="FF0000"/>
          <w:sz w:val="32"/>
          <w:szCs w:val="32"/>
        </w:rPr>
      </w:pPr>
      <w:r>
        <w:rPr>
          <w:rFonts w:hint="eastAsia" w:ascii="仿宋" w:hAnsi="Times New Roman" w:eastAsia="仿宋" w:cs="Times New Roman"/>
          <w:sz w:val="32"/>
          <w:szCs w:val="32"/>
        </w:rPr>
        <w:t>项目由办公室、</w:t>
      </w:r>
      <w:r>
        <w:rPr>
          <w:rFonts w:ascii="仿宋" w:hAnsi="Times New Roman" w:eastAsia="仿宋" w:cs="Times New Roman"/>
          <w:sz w:val="32"/>
          <w:szCs w:val="32"/>
        </w:rPr>
        <w:t>财金信用</w:t>
      </w:r>
      <w:r>
        <w:rPr>
          <w:rFonts w:hint="eastAsia" w:ascii="仿宋" w:hAnsi="Times New Roman" w:eastAsia="仿宋" w:cs="Times New Roman"/>
          <w:sz w:val="32"/>
          <w:szCs w:val="32"/>
        </w:rPr>
        <w:t>科严格按照政府采购流程组织实施。组织机构健全、职责分工明确，基础设施条件能够有效保障该项目的实施，并结合实际制定了项目实施方案，进一步明确了项目实施时间、工作程序等措施。</w:t>
      </w:r>
    </w:p>
    <w:p w14:paraId="4A5A9048">
      <w:pPr>
        <w:adjustRightInd w:val="0"/>
        <w:snapToGrid w:val="0"/>
        <w:spacing w:line="578" w:lineRule="exact"/>
        <w:ind w:firstLine="640" w:firstLineChars="200"/>
        <w:rPr>
          <w:rFonts w:ascii="仿宋_GB2312" w:hAnsi="Times New Roman" w:eastAsia="仿宋_GB2312" w:cs="Times New Roman"/>
          <w:sz w:val="32"/>
          <w:szCs w:val="32"/>
          <w:lang w:val="zh-CN"/>
        </w:rPr>
      </w:pPr>
      <w:r>
        <w:rPr>
          <w:rFonts w:hint="eastAsia" w:ascii="黑体" w:hAnsi="Times New Roman" w:eastAsia="黑体" w:cs="Times New Roman"/>
          <w:sz w:val="32"/>
          <w:szCs w:val="32"/>
        </w:rPr>
        <w:t>三、绩效分析</w:t>
      </w:r>
      <w:r>
        <w:rPr>
          <w:rFonts w:hint="eastAsia" w:ascii="仿宋_GB2312" w:hAnsi="Times New Roman" w:eastAsia="仿宋_GB2312" w:cs="Times New Roman"/>
          <w:sz w:val="32"/>
          <w:szCs w:val="32"/>
          <w:lang w:val="zh-CN"/>
        </w:rPr>
        <w:tab/>
      </w:r>
    </w:p>
    <w:p w14:paraId="40B6365E">
      <w:pPr>
        <w:spacing w:line="578" w:lineRule="exact"/>
        <w:ind w:firstLine="640"/>
        <w:rPr>
          <w:rFonts w:ascii="楷体_GB2312" w:hAnsi="Times New Roman" w:eastAsia="楷体_GB2312" w:cs="Times New Roman"/>
          <w:b/>
          <w:sz w:val="32"/>
          <w:szCs w:val="32"/>
        </w:rPr>
      </w:pPr>
      <w:r>
        <w:rPr>
          <w:rFonts w:hint="eastAsia" w:ascii="楷体_GB2312" w:hAnsi="Times New Roman" w:eastAsia="楷体_GB2312" w:cs="Times New Roman"/>
          <w:b/>
          <w:sz w:val="32"/>
          <w:szCs w:val="32"/>
          <w:lang w:val="zh-CN"/>
        </w:rPr>
        <w:t>（一）</w:t>
      </w:r>
      <w:r>
        <w:rPr>
          <w:rFonts w:hint="eastAsia" w:ascii="楷体_GB2312" w:hAnsi="Times New Roman" w:eastAsia="楷体_GB2312" w:cs="Times New Roman"/>
          <w:b/>
          <w:sz w:val="32"/>
          <w:szCs w:val="32"/>
        </w:rPr>
        <w:t>通用指标</w:t>
      </w:r>
      <w:r>
        <w:rPr>
          <w:rFonts w:ascii="Times New Roman" w:hAnsi="Times New Roman" w:eastAsia="楷体_GB2312" w:cs="Times New Roman"/>
          <w:b/>
          <w:bCs/>
          <w:color w:val="000000"/>
          <w:kern w:val="0"/>
          <w:sz w:val="32"/>
          <w:szCs w:val="32"/>
          <w:shd w:val="clear" w:color="auto" w:fill="FFFFFF"/>
          <w:lang w:val="zh-CN"/>
        </w:rPr>
        <w:t>绩效分析。</w:t>
      </w:r>
    </w:p>
    <w:p w14:paraId="366E6ED6">
      <w:pPr>
        <w:adjustRightInd w:val="0"/>
        <w:snapToGrid w:val="0"/>
        <w:spacing w:line="578" w:lineRule="exact"/>
        <w:ind w:firstLine="640" w:firstLineChars="200"/>
        <w:rPr>
          <w:rFonts w:ascii="Times New Roman" w:hAnsi="Times New Roman" w:eastAsia="仿宋_GB2312" w:cs="Times New Roman"/>
          <w:sz w:val="32"/>
          <w:szCs w:val="32"/>
        </w:rPr>
      </w:pPr>
      <w:r>
        <w:rPr>
          <w:rFonts w:hint="eastAsia" w:ascii="楷体_GB2312" w:hAnsi="Times New Roman" w:eastAsia="楷体_GB2312" w:cs="楷体_GB2312"/>
          <w:sz w:val="32"/>
          <w:szCs w:val="32"/>
        </w:rPr>
        <w:t>1.项目决策。为</w:t>
      </w:r>
      <w:r>
        <w:rPr>
          <w:rFonts w:hint="eastAsia" w:ascii="仿宋_GB2312" w:hAnsi="Times New Roman" w:eastAsia="仿宋_GB2312" w:cs="Times New Roman"/>
          <w:sz w:val="32"/>
          <w:szCs w:val="32"/>
        </w:rPr>
        <w:t>深入贯彻落实</w:t>
      </w:r>
      <w:r>
        <w:rPr>
          <w:rFonts w:hint="eastAsia" w:ascii="仿宋_GB2312" w:hAnsi="Times New Roman" w:eastAsia="仿宋_GB2312" w:cs="Times New Roman"/>
          <w:kern w:val="0"/>
          <w:sz w:val="32"/>
          <w:szCs w:val="32"/>
        </w:rPr>
        <w:t>国家、省、市社会信用体系建设决策部署</w:t>
      </w:r>
      <w:r>
        <w:rPr>
          <w:rFonts w:hint="eastAsia" w:ascii="仿宋_GB2312" w:hAnsi="Times New Roman" w:eastAsia="仿宋_GB2312" w:cs="Times New Roman"/>
          <w:sz w:val="32"/>
          <w:szCs w:val="32"/>
        </w:rPr>
        <w:t>，</w:t>
      </w:r>
      <w:r>
        <w:rPr>
          <w:rFonts w:hint="eastAsia" w:ascii="仿宋_GB2312" w:hAnsi="Times New Roman" w:eastAsia="仿宋_GB2312" w:cs="仿宋_GB2312"/>
          <w:sz w:val="32"/>
          <w:szCs w:val="32"/>
        </w:rPr>
        <w:t>着力加强信用制度、信用平台、数据归集共享、“信易贷”和重点领域信用建设，全面构建以信用为基础的新型监管机制，不断</w:t>
      </w:r>
      <w:r>
        <w:rPr>
          <w:rFonts w:ascii="仿宋_GB2312" w:hAnsi="Times New Roman" w:eastAsia="仿宋_GB2312" w:cs="仿宋_GB2312"/>
          <w:sz w:val="32"/>
          <w:szCs w:val="32"/>
        </w:rPr>
        <w:t>提升</w:t>
      </w:r>
      <w:r>
        <w:rPr>
          <w:rFonts w:hint="eastAsia" w:ascii="仿宋_GB2312" w:hAnsi="Times New Roman" w:eastAsia="仿宋_GB2312" w:cs="仿宋_GB2312"/>
          <w:sz w:val="32"/>
          <w:szCs w:val="32"/>
        </w:rPr>
        <w:t>信用服务实体经济的能力和水平，持续</w:t>
      </w:r>
      <w:r>
        <w:rPr>
          <w:rFonts w:ascii="仿宋_GB2312" w:hAnsi="Times New Roman" w:eastAsia="仿宋_GB2312" w:cs="仿宋_GB2312"/>
          <w:sz w:val="32"/>
          <w:szCs w:val="32"/>
        </w:rPr>
        <w:t>增强</w:t>
      </w:r>
      <w:r>
        <w:rPr>
          <w:rFonts w:hint="eastAsia" w:ascii="仿宋_GB2312" w:hAnsi="Times New Roman" w:eastAsia="仿宋_GB2312" w:cs="仿宋_GB2312"/>
          <w:sz w:val="32"/>
          <w:szCs w:val="32"/>
        </w:rPr>
        <w:t>“信用广元”品牌影响力，提</w:t>
      </w:r>
      <w:r>
        <w:rPr>
          <w:rFonts w:ascii="仿宋_GB2312" w:hAnsi="Times New Roman" w:eastAsia="仿宋_GB2312" w:cs="仿宋_GB2312"/>
          <w:sz w:val="32"/>
          <w:szCs w:val="32"/>
        </w:rPr>
        <w:t>高</w:t>
      </w:r>
      <w:r>
        <w:rPr>
          <w:rFonts w:hint="eastAsia" w:ascii="仿宋_GB2312" w:hAnsi="Times New Roman" w:eastAsia="仿宋_GB2312" w:cs="仿宋_GB2312"/>
          <w:sz w:val="32"/>
          <w:szCs w:val="32"/>
        </w:rPr>
        <w:t>城市现代综合治理能力和治理水平，为打造川内最优营商环境，创建全国文明城市，加快建设川陕甘结合部现代化中心城市提供有力支撑。</w:t>
      </w:r>
      <w:r>
        <w:rPr>
          <w:rFonts w:ascii="仿宋_GB2312" w:hAnsi="Times New Roman" w:eastAsia="仿宋_GB2312" w:cs="仿宋_GB2312"/>
          <w:sz w:val="32"/>
          <w:szCs w:val="32"/>
        </w:rPr>
        <w:t>决定全力</w:t>
      </w:r>
      <w:r>
        <w:rPr>
          <w:rFonts w:hint="eastAsia" w:ascii="仿宋_GB2312" w:hAnsi="Times New Roman" w:eastAsia="仿宋_GB2312" w:cs="Times New Roman"/>
          <w:sz w:val="32"/>
          <w:szCs w:val="32"/>
        </w:rPr>
        <w:t>创建全国社会信用体系建设示范区</w:t>
      </w:r>
      <w:r>
        <w:rPr>
          <w:rFonts w:hint="eastAsia" w:ascii="仿宋_GB2312" w:hAnsi="Times New Roman" w:eastAsia="仿宋_GB2312" w:cs="仿宋_GB2312"/>
          <w:sz w:val="32"/>
          <w:szCs w:val="32"/>
        </w:rPr>
        <w:t>。项目资金与经济社会发展相匹配，属于政府支持范围，未与其他同类项目或部门内部相关项目交叉重复。绩效分析得分18分。</w:t>
      </w:r>
    </w:p>
    <w:p w14:paraId="113EF792">
      <w:pPr>
        <w:adjustRightInd w:val="0"/>
        <w:snapToGrid w:val="0"/>
        <w:spacing w:line="578" w:lineRule="exact"/>
        <w:ind w:firstLine="640" w:firstLineChars="200"/>
        <w:rPr>
          <w:rFonts w:ascii="Times New Roman" w:hAnsi="Times New Roman" w:eastAsia="仿宋_GB2312" w:cs="Times New Roman"/>
          <w:sz w:val="32"/>
          <w:szCs w:val="32"/>
        </w:rPr>
      </w:pPr>
      <w:r>
        <w:rPr>
          <w:rFonts w:hint="eastAsia" w:ascii="楷体_GB2312" w:hAnsi="Times New Roman" w:eastAsia="楷体_GB2312" w:cs="楷体_GB2312"/>
          <w:sz w:val="32"/>
          <w:szCs w:val="32"/>
        </w:rPr>
        <w:t>2.项目管理。</w:t>
      </w:r>
      <w:r>
        <w:rPr>
          <w:rFonts w:hint="eastAsia" w:ascii="仿宋" w:hAnsi="Times New Roman" w:eastAsia="仿宋" w:cs="Times New Roman"/>
          <w:sz w:val="32"/>
          <w:szCs w:val="32"/>
        </w:rPr>
        <w:t>项目制度办法、资金管理办法等管理制度体系健全完善，不存在管理制度缺失、管理办法过期情况，项目管理、审批符合管理要求，决策程序符合管理要求，及时高效，项目开展严格按照要求全面完成绩效目标（含事前评估）、绩效评价等预算绩效管理工作。绩效分析得分18分。</w:t>
      </w:r>
    </w:p>
    <w:p w14:paraId="224C2367">
      <w:pPr>
        <w:adjustRightInd w:val="0"/>
        <w:snapToGrid w:val="0"/>
        <w:spacing w:line="578" w:lineRule="exact"/>
        <w:ind w:firstLine="640" w:firstLineChars="200"/>
        <w:rPr>
          <w:rFonts w:ascii="仿宋" w:hAnsi="Times New Roman" w:eastAsia="仿宋" w:cs="Times New Roman"/>
          <w:sz w:val="32"/>
          <w:szCs w:val="32"/>
        </w:rPr>
      </w:pPr>
      <w:r>
        <w:rPr>
          <w:rFonts w:hint="eastAsia" w:ascii="楷体_GB2312" w:hAnsi="Times New Roman" w:eastAsia="楷体_GB2312" w:cs="楷体_GB2312"/>
          <w:sz w:val="32"/>
          <w:szCs w:val="32"/>
        </w:rPr>
        <w:t>3.项目实施。</w:t>
      </w:r>
      <w:r>
        <w:rPr>
          <w:rFonts w:hint="eastAsia" w:ascii="仿宋_GB2312" w:hAnsi="Times New Roman" w:eastAsia="仿宋_GB2312" w:cs="Times New Roman"/>
          <w:kern w:val="0"/>
          <w:sz w:val="32"/>
          <w:szCs w:val="32"/>
        </w:rPr>
        <w:t>按照第四批社会信用体系建设评选指标</w:t>
      </w:r>
      <w:r>
        <w:rPr>
          <w:rFonts w:ascii="仿宋_GB2312" w:hAnsi="Times New Roman" w:eastAsia="仿宋_GB2312" w:cs="Times New Roman"/>
          <w:kern w:val="0"/>
          <w:sz w:val="32"/>
          <w:szCs w:val="32"/>
        </w:rPr>
        <w:t>要求，</w:t>
      </w:r>
      <w:r>
        <w:rPr>
          <w:rFonts w:hint="eastAsia" w:ascii="仿宋_GB2312" w:hAnsi="Times New Roman" w:eastAsia="仿宋_GB2312" w:cs="Times New Roman"/>
          <w:kern w:val="0"/>
          <w:sz w:val="32"/>
          <w:szCs w:val="32"/>
        </w:rPr>
        <w:t>组织相关专家深入调研，深入分析广元市信用体系建设的短板和问题，形成解决方案；根据第四批创建要求，制定操作可行的创建总体工作推进方案（实施方案和任务分工）及专项推进方案；在创建阶段提供咨询指导，在评审阶段提供技术支持，举办工作培训会；建立完善合同履约监管系统；配备专业技术人员现场提供创建指导咨询服务；在国家级新闻媒体宣传广元信用建设</w:t>
      </w:r>
      <w:r>
        <w:rPr>
          <w:rFonts w:hint="eastAsia" w:ascii="仿宋_GB2312" w:hAnsi="Times New Roman" w:eastAsia="仿宋_GB2312" w:cs="仿宋_GB2312"/>
          <w:sz w:val="32"/>
          <w:szCs w:val="32"/>
        </w:rPr>
        <w:t>等。</w:t>
      </w:r>
      <w:r>
        <w:rPr>
          <w:rFonts w:hint="eastAsia" w:ascii="仿宋" w:hAnsi="Times New Roman" w:eastAsia="仿宋" w:cs="Times New Roman"/>
          <w:sz w:val="32"/>
          <w:szCs w:val="32"/>
        </w:rPr>
        <w:t>项目资金财政拨付</w:t>
      </w:r>
      <w:r>
        <w:rPr>
          <w:rFonts w:ascii="仿宋" w:hAnsi="Times New Roman" w:eastAsia="仿宋" w:cs="Times New Roman"/>
          <w:sz w:val="32"/>
          <w:szCs w:val="32"/>
        </w:rPr>
        <w:t>98</w:t>
      </w:r>
      <w:r>
        <w:rPr>
          <w:rFonts w:hint="eastAsia" w:ascii="仿宋" w:hAnsi="Times New Roman" w:eastAsia="仿宋" w:cs="Times New Roman"/>
          <w:sz w:val="32"/>
          <w:szCs w:val="32"/>
        </w:rPr>
        <w:t>万元，单位执行到位</w:t>
      </w:r>
      <w:r>
        <w:rPr>
          <w:rFonts w:ascii="仿宋" w:hAnsi="Times New Roman" w:eastAsia="仿宋" w:cs="Times New Roman"/>
          <w:sz w:val="32"/>
          <w:szCs w:val="32"/>
        </w:rPr>
        <w:t>95</w:t>
      </w:r>
      <w:r>
        <w:rPr>
          <w:rFonts w:hint="eastAsia" w:ascii="仿宋" w:hAnsi="Times New Roman" w:eastAsia="仿宋" w:cs="Times New Roman"/>
          <w:sz w:val="32"/>
          <w:szCs w:val="32"/>
        </w:rPr>
        <w:t>万元。项目资金使用、拨付符合国家财经法规、财务管理制度及有关专项资金管理制度办法规定和审批程序。绩效分析得分9分。</w:t>
      </w:r>
    </w:p>
    <w:p w14:paraId="172BFEB4">
      <w:pPr>
        <w:adjustRightInd w:val="0"/>
        <w:snapToGrid w:val="0"/>
        <w:spacing w:line="578" w:lineRule="exact"/>
        <w:ind w:firstLine="640" w:firstLineChars="200"/>
        <w:rPr>
          <w:rFonts w:ascii="Times New Roman" w:hAnsi="Times New Roman" w:eastAsia="仿宋_GB2312" w:cs="Times New Roman"/>
          <w:sz w:val="32"/>
          <w:szCs w:val="32"/>
          <w:highlight w:val="red"/>
        </w:rPr>
      </w:pPr>
      <w:r>
        <w:rPr>
          <w:rFonts w:hint="eastAsia" w:ascii="楷体_GB2312" w:hAnsi="Times New Roman" w:eastAsia="楷体_GB2312" w:cs="楷体_GB2312"/>
          <w:sz w:val="32"/>
          <w:szCs w:val="32"/>
        </w:rPr>
        <w:t>4.项目结果。</w:t>
      </w:r>
      <w:r>
        <w:rPr>
          <w:rFonts w:hint="eastAsia" w:ascii="仿宋_GB2312" w:hAnsi="Times New Roman" w:eastAsia="仿宋_GB2312" w:cs="仿宋_GB2312"/>
          <w:sz w:val="32"/>
          <w:szCs w:val="32"/>
        </w:rPr>
        <w:t>项目如期、圆满完成。</w:t>
      </w:r>
      <w:r>
        <w:rPr>
          <w:rFonts w:ascii="仿宋_GB2312" w:hAnsi="Times New Roman" w:eastAsia="仿宋_GB2312" w:cs="仿宋_GB2312"/>
          <w:sz w:val="32"/>
          <w:szCs w:val="32"/>
        </w:rPr>
        <w:t>2023年8月，我市成功创建全国第四批社会信用体系建设示范区，广元市综合信用指数从2022年9月至2023年12月，最长连续15个月位列全省第一，成功搭建广元市合同履约监管系统，经验被国家发展改革委推广。</w:t>
      </w:r>
      <w:r>
        <w:rPr>
          <w:rFonts w:hint="eastAsia" w:ascii="仿宋_GB2312" w:hAnsi="Times New Roman" w:eastAsia="仿宋_GB2312" w:cs="仿宋_GB2312"/>
          <w:sz w:val="32"/>
          <w:szCs w:val="32"/>
        </w:rPr>
        <w:t>达到了预期目标，实施结果与绩效目标相匹配。绩效分析得分9分。</w:t>
      </w:r>
    </w:p>
    <w:p w14:paraId="214FDCEF">
      <w:pPr>
        <w:spacing w:line="578" w:lineRule="exact"/>
        <w:ind w:firstLine="643" w:firstLineChars="200"/>
        <w:rPr>
          <w:rFonts w:ascii="Times New Roman" w:hAnsi="Times New Roman" w:eastAsia="楷体_GB2312" w:cs="Times New Roman"/>
          <w:b/>
          <w:bCs/>
          <w:color w:val="000000"/>
          <w:kern w:val="0"/>
          <w:sz w:val="32"/>
          <w:szCs w:val="32"/>
          <w:shd w:val="clear" w:color="auto" w:fill="FFFFFF"/>
          <w:lang w:val="zh-CN"/>
        </w:rPr>
      </w:pPr>
      <w:r>
        <w:rPr>
          <w:rFonts w:hint="eastAsia" w:ascii="楷体_GB2312" w:hAnsi="Times New Roman" w:eastAsia="楷体_GB2312" w:cs="Times New Roman"/>
          <w:b/>
          <w:sz w:val="32"/>
          <w:szCs w:val="32"/>
          <w:lang w:val="zh-CN"/>
        </w:rPr>
        <w:t>（二）</w:t>
      </w:r>
      <w:r>
        <w:rPr>
          <w:rFonts w:hint="eastAsia" w:ascii="楷体_GB2312" w:hAnsi="Times New Roman" w:eastAsia="楷体_GB2312" w:cs="Times New Roman"/>
          <w:b/>
          <w:sz w:val="32"/>
          <w:szCs w:val="32"/>
        </w:rPr>
        <w:t>专用指标</w:t>
      </w:r>
      <w:r>
        <w:rPr>
          <w:rFonts w:ascii="Times New Roman" w:hAnsi="Times New Roman" w:eastAsia="楷体_GB2312" w:cs="Times New Roman"/>
          <w:b/>
          <w:bCs/>
          <w:color w:val="000000"/>
          <w:kern w:val="0"/>
          <w:sz w:val="32"/>
          <w:szCs w:val="32"/>
          <w:shd w:val="clear" w:color="auto" w:fill="FFFFFF"/>
          <w:lang w:val="zh-CN"/>
        </w:rPr>
        <w:t>绩效分析。</w:t>
      </w:r>
    </w:p>
    <w:p w14:paraId="3184BE5D">
      <w:pPr>
        <w:adjustRightInd w:val="0"/>
        <w:snapToGrid w:val="0"/>
        <w:spacing w:line="578" w:lineRule="exact"/>
        <w:ind w:firstLine="640" w:firstLineChars="200"/>
        <w:rPr>
          <w:rFonts w:ascii="仿宋_GB2312" w:hAnsi="Times New Roman" w:eastAsia="仿宋_GB2312" w:cs="仿宋_GB2312"/>
          <w:sz w:val="32"/>
          <w:szCs w:val="32"/>
        </w:rPr>
      </w:pPr>
      <w:r>
        <w:rPr>
          <w:rFonts w:hint="eastAsia" w:ascii="楷体_GB2312" w:hAnsi="Times New Roman" w:eastAsia="楷体_GB2312" w:cs="楷体_GB2312"/>
          <w:sz w:val="32"/>
          <w:szCs w:val="32"/>
        </w:rPr>
        <w:t>1.产业发展。</w:t>
      </w:r>
      <w:r>
        <w:rPr>
          <w:rFonts w:hint="eastAsia" w:ascii="仿宋_GB2312" w:hAnsi="Times New Roman" w:eastAsia="仿宋_GB2312" w:cs="Times New Roman"/>
          <w:sz w:val="32"/>
          <w:szCs w:val="32"/>
        </w:rPr>
        <w:t>为深入贯彻落实中共中央办公厅、国务院办公厅《关于推进社会信用体系建设高质量发展促进形成新发展格局的意见》，</w:t>
      </w:r>
      <w:r>
        <w:rPr>
          <w:rFonts w:hint="eastAsia" w:ascii="仿宋_GB2312" w:hAnsi="Times New Roman" w:eastAsia="仿宋_GB2312" w:cs="Times New Roman"/>
          <w:kern w:val="0"/>
          <w:sz w:val="32"/>
          <w:szCs w:val="32"/>
        </w:rPr>
        <w:t>铸造“信用广元”诚信品牌，</w:t>
      </w:r>
      <w:r>
        <w:rPr>
          <w:rFonts w:hint="eastAsia" w:ascii="仿宋_GB2312" w:hAnsi="Times New Roman" w:eastAsia="仿宋_GB2312" w:cs="Times New Roman"/>
          <w:sz w:val="32"/>
          <w:szCs w:val="32"/>
        </w:rPr>
        <w:t>落实</w:t>
      </w:r>
      <w:r>
        <w:rPr>
          <w:rFonts w:hint="eastAsia" w:ascii="仿宋_GB2312" w:hAnsi="Times New Roman" w:eastAsia="仿宋_GB2312" w:cs="Times New Roman"/>
          <w:kern w:val="0"/>
          <w:sz w:val="32"/>
          <w:szCs w:val="32"/>
        </w:rPr>
        <w:t>国家、省、市社会信用体系建设决策部署</w:t>
      </w:r>
      <w:r>
        <w:rPr>
          <w:rFonts w:hint="eastAsia" w:ascii="仿宋_GB2312" w:hAnsi="Times New Roman" w:eastAsia="仿宋_GB2312" w:cs="Times New Roman"/>
          <w:sz w:val="32"/>
          <w:szCs w:val="32"/>
        </w:rPr>
        <w:t>，以创建全国社会信用体系建设示范区为契机，</w:t>
      </w:r>
      <w:r>
        <w:rPr>
          <w:rFonts w:hint="eastAsia" w:ascii="仿宋_GB2312" w:hAnsi="Times New Roman" w:eastAsia="仿宋_GB2312" w:cs="仿宋_GB2312"/>
          <w:sz w:val="32"/>
          <w:szCs w:val="32"/>
        </w:rPr>
        <w:t>着力加强信用制度、信用平台、数据归集共享、“信易贷”和重点领域信用建设，全面构建以信用为基础的新型监管机制，不断</w:t>
      </w:r>
      <w:r>
        <w:rPr>
          <w:rFonts w:ascii="仿宋_GB2312" w:hAnsi="Times New Roman" w:eastAsia="仿宋_GB2312" w:cs="仿宋_GB2312"/>
          <w:sz w:val="32"/>
          <w:szCs w:val="32"/>
        </w:rPr>
        <w:t>提升</w:t>
      </w:r>
      <w:r>
        <w:rPr>
          <w:rFonts w:hint="eastAsia" w:ascii="仿宋_GB2312" w:hAnsi="Times New Roman" w:eastAsia="仿宋_GB2312" w:cs="仿宋_GB2312"/>
          <w:sz w:val="32"/>
          <w:szCs w:val="32"/>
        </w:rPr>
        <w:t>信用服务实体经济的能力和水平，持续</w:t>
      </w:r>
      <w:r>
        <w:rPr>
          <w:rFonts w:ascii="仿宋_GB2312" w:hAnsi="Times New Roman" w:eastAsia="仿宋_GB2312" w:cs="仿宋_GB2312"/>
          <w:sz w:val="32"/>
          <w:szCs w:val="32"/>
        </w:rPr>
        <w:t>增强</w:t>
      </w:r>
      <w:r>
        <w:rPr>
          <w:rFonts w:hint="eastAsia" w:ascii="仿宋_GB2312" w:hAnsi="Times New Roman" w:eastAsia="仿宋_GB2312" w:cs="仿宋_GB2312"/>
          <w:sz w:val="32"/>
          <w:szCs w:val="32"/>
        </w:rPr>
        <w:t>“信用广元”品牌影响力，提</w:t>
      </w:r>
      <w:r>
        <w:rPr>
          <w:rFonts w:ascii="仿宋_GB2312" w:hAnsi="Times New Roman" w:eastAsia="仿宋_GB2312" w:cs="仿宋_GB2312"/>
          <w:sz w:val="32"/>
          <w:szCs w:val="32"/>
        </w:rPr>
        <w:t>高</w:t>
      </w:r>
      <w:r>
        <w:rPr>
          <w:rFonts w:hint="eastAsia" w:ascii="仿宋_GB2312" w:hAnsi="Times New Roman" w:eastAsia="仿宋_GB2312" w:cs="仿宋_GB2312"/>
          <w:sz w:val="32"/>
          <w:szCs w:val="32"/>
        </w:rPr>
        <w:t>城市现代综合治理能力和治理水平，为打造川内最优营商环境，创建全国文明城市，加快建设川陕甘结合部现代化中心城市提供有力支撑。绩效分析得分30分。</w:t>
      </w:r>
    </w:p>
    <w:p w14:paraId="52E74A88">
      <w:pPr>
        <w:adjustRightInd w:val="0"/>
        <w:snapToGrid w:val="0"/>
        <w:spacing w:line="578" w:lineRule="exact"/>
        <w:ind w:firstLine="643" w:firstLineChars="200"/>
        <w:rPr>
          <w:rFonts w:ascii="Times New Roman" w:hAnsi="Times New Roman" w:eastAsia="仿宋_GB2312" w:cs="Times New Roman"/>
          <w:sz w:val="32"/>
          <w:szCs w:val="32"/>
        </w:rPr>
      </w:pPr>
      <w:r>
        <w:rPr>
          <w:rFonts w:hint="eastAsia" w:ascii="楷体_GB2312" w:hAnsi="Times New Roman" w:eastAsia="楷体_GB2312" w:cs="Times New Roman"/>
          <w:b/>
          <w:sz w:val="32"/>
          <w:szCs w:val="32"/>
          <w:lang w:val="zh-CN"/>
        </w:rPr>
        <w:t>（三）</w:t>
      </w:r>
      <w:r>
        <w:rPr>
          <w:rFonts w:hint="eastAsia" w:ascii="楷体_GB2312" w:hAnsi="Times New Roman" w:eastAsia="楷体_GB2312" w:cs="Times New Roman"/>
          <w:b/>
          <w:sz w:val="32"/>
          <w:szCs w:val="32"/>
        </w:rPr>
        <w:t>个性指标</w:t>
      </w:r>
      <w:r>
        <w:rPr>
          <w:rFonts w:ascii="Times New Roman" w:hAnsi="Times New Roman" w:eastAsia="楷体_GB2312" w:cs="Times New Roman"/>
          <w:b/>
          <w:bCs/>
          <w:color w:val="000000"/>
          <w:kern w:val="0"/>
          <w:sz w:val="32"/>
          <w:szCs w:val="32"/>
          <w:shd w:val="clear" w:color="auto" w:fill="FFFFFF"/>
          <w:lang w:val="zh-CN"/>
        </w:rPr>
        <w:t>绩效分析。</w:t>
      </w:r>
      <w:r>
        <w:rPr>
          <w:rFonts w:hint="eastAsia" w:ascii="仿宋_GB2312" w:hAnsi="Times New Roman" w:eastAsia="仿宋_GB2312" w:cs="仿宋_GB2312"/>
          <w:sz w:val="32"/>
          <w:szCs w:val="32"/>
        </w:rPr>
        <w:t>我市</w:t>
      </w:r>
      <w:r>
        <w:rPr>
          <w:rFonts w:ascii="仿宋_GB2312" w:hAnsi="Times New Roman" w:eastAsia="仿宋_GB2312" w:cs="仿宋_GB2312"/>
          <w:sz w:val="32"/>
          <w:szCs w:val="32"/>
        </w:rPr>
        <w:t>2023年8月，我市成功创建全国第四批社会信用体系建设示范区，广元市综合信用指数从2022年9月至2023年12月，最长连续15个月位列全省第一，成功搭建广元市合同履约监管系统，经验被国家发展改革委推广。并且我是社会信用体系建设相关工作</w:t>
      </w:r>
      <w:r>
        <w:rPr>
          <w:rFonts w:hint="eastAsia" w:ascii="仿宋_GB2312" w:hAnsi="Times New Roman" w:eastAsia="仿宋_GB2312" w:cs="仿宋_GB2312"/>
          <w:sz w:val="32"/>
          <w:szCs w:val="32"/>
        </w:rPr>
        <w:t>经验被人民网、中国改革报、中宏网、川观新闻等各大媒体宣传报道。绩效分析得分16分。</w:t>
      </w:r>
    </w:p>
    <w:p w14:paraId="76270203">
      <w:pPr>
        <w:widowControl/>
        <w:tabs>
          <w:tab w:val="left" w:pos="2160"/>
        </w:tabs>
        <w:spacing w:line="600" w:lineRule="exact"/>
        <w:ind w:firstLine="640" w:firstLineChars="200"/>
        <w:jc w:val="left"/>
        <w:rPr>
          <w:rFonts w:ascii="黑体" w:hAnsi="楷体_GB2312" w:eastAsia="黑体" w:cs="Times New Roman"/>
          <w:kern w:val="0"/>
          <w:position w:val="3"/>
          <w:sz w:val="32"/>
          <w:szCs w:val="32"/>
          <w:lang w:val="en-US" w:eastAsia="zh-CN" w:bidi="ar-SA"/>
        </w:rPr>
      </w:pPr>
      <w:r>
        <w:rPr>
          <w:rFonts w:hint="eastAsia" w:ascii="黑体" w:hAnsi="楷体_GB2312" w:eastAsia="黑体" w:cs="Times New Roman"/>
          <w:kern w:val="0"/>
          <w:position w:val="3"/>
          <w:sz w:val="32"/>
          <w:szCs w:val="32"/>
          <w:lang w:val="en-US" w:eastAsia="zh-CN" w:bidi="ar-SA"/>
        </w:rPr>
        <w:t>四、评价结论</w:t>
      </w:r>
    </w:p>
    <w:p w14:paraId="18AC7400">
      <w:pPr>
        <w:adjustRightInd w:val="0"/>
        <w:snapToGrid w:val="0"/>
        <w:spacing w:line="576" w:lineRule="exact"/>
        <w:ind w:firstLine="720"/>
        <w:rPr>
          <w:rFonts w:ascii="黑体" w:hAnsi="黑体" w:eastAsia="仿宋_GB2312" w:cs="黑体"/>
          <w:sz w:val="32"/>
          <w:szCs w:val="32"/>
        </w:rPr>
      </w:pPr>
      <w:r>
        <w:rPr>
          <w:rFonts w:ascii="仿宋_GB2312" w:hAnsi="Times New Roman" w:eastAsia="仿宋_GB2312" w:cs="仿宋_GB2312"/>
          <w:sz w:val="32"/>
          <w:szCs w:val="32"/>
        </w:rPr>
        <w:t>通过实施该项目，2023年8月，我市成功创建全国第四批社会信用体系建设示范区，广元市综合信用指数从2022年9月至2023年12月，最长连续15个月位列全省第一，成功搭建广元市合同履约监管系统，经验被国家发展改革委推广。</w:t>
      </w:r>
      <w:r>
        <w:rPr>
          <w:rFonts w:hint="eastAsia" w:ascii="仿宋_GB2312" w:hAnsi="Times New Roman" w:eastAsia="仿宋_GB2312" w:cs="仿宋_GB2312"/>
          <w:sz w:val="32"/>
          <w:szCs w:val="32"/>
        </w:rPr>
        <w:t>提高</w:t>
      </w:r>
      <w:r>
        <w:rPr>
          <w:rFonts w:ascii="仿宋_GB2312" w:hAnsi="Times New Roman" w:eastAsia="仿宋_GB2312" w:cs="仿宋_GB2312"/>
          <w:sz w:val="32"/>
          <w:szCs w:val="32"/>
        </w:rPr>
        <w:t>了“信用广元”</w:t>
      </w:r>
      <w:r>
        <w:rPr>
          <w:rFonts w:hint="eastAsia" w:ascii="仿宋_GB2312" w:hAnsi="Times New Roman" w:eastAsia="仿宋_GB2312" w:cs="仿宋_GB2312"/>
          <w:sz w:val="32"/>
          <w:szCs w:val="32"/>
        </w:rPr>
        <w:t>品牌影响力，带来良好的社会效益、生态效益和经济效益。绩效分析评分100分。</w:t>
      </w:r>
    </w:p>
    <w:p w14:paraId="2D372EAE">
      <w:pPr>
        <w:widowControl/>
        <w:tabs>
          <w:tab w:val="left" w:pos="2160"/>
        </w:tabs>
        <w:spacing w:line="600" w:lineRule="exact"/>
        <w:ind w:firstLine="640" w:firstLineChars="200"/>
        <w:jc w:val="left"/>
        <w:rPr>
          <w:rFonts w:ascii="黑体" w:hAnsi="楷体_GB2312" w:eastAsia="黑体" w:cs="Times New Roman"/>
          <w:kern w:val="0"/>
          <w:position w:val="3"/>
          <w:sz w:val="32"/>
          <w:szCs w:val="32"/>
          <w:lang w:val="en-US" w:eastAsia="zh-CN" w:bidi="ar-SA"/>
        </w:rPr>
      </w:pPr>
      <w:r>
        <w:rPr>
          <w:rFonts w:hint="eastAsia" w:ascii="黑体" w:hAnsi="楷体_GB2312" w:eastAsia="黑体" w:cs="Times New Roman"/>
          <w:kern w:val="0"/>
          <w:position w:val="3"/>
          <w:sz w:val="32"/>
          <w:szCs w:val="32"/>
          <w:lang w:val="en-US" w:eastAsia="zh-CN" w:bidi="ar-SA"/>
        </w:rPr>
        <w:t>五、存在主要问题</w:t>
      </w:r>
    </w:p>
    <w:p w14:paraId="4D95C553">
      <w:pPr>
        <w:widowControl/>
        <w:tabs>
          <w:tab w:val="left" w:pos="2160"/>
        </w:tabs>
        <w:spacing w:line="600" w:lineRule="exact"/>
        <w:ind w:firstLine="640" w:firstLineChars="200"/>
        <w:jc w:val="left"/>
        <w:rPr>
          <w:rFonts w:ascii="仿宋_GB2312" w:hAnsi="楷体_GB2312" w:eastAsia="仿宋_GB2312" w:cs="仿宋_GB2312"/>
          <w:kern w:val="0"/>
          <w:position w:val="0"/>
          <w:sz w:val="32"/>
          <w:szCs w:val="32"/>
          <w:lang w:val="en-US" w:eastAsia="zh-CN" w:bidi="ar-SA"/>
        </w:rPr>
      </w:pPr>
      <w:r>
        <w:rPr>
          <w:rFonts w:hint="eastAsia" w:ascii="仿宋_GB2312" w:hAnsi="楷体_GB2312" w:eastAsia="仿宋_GB2312" w:cs="仿宋_GB2312"/>
          <w:kern w:val="0"/>
          <w:position w:val="0"/>
          <w:sz w:val="32"/>
          <w:szCs w:val="32"/>
          <w:lang w:val="en-US" w:eastAsia="zh-CN" w:bidi="ar-SA"/>
        </w:rPr>
        <w:t>无。</w:t>
      </w:r>
    </w:p>
    <w:p w14:paraId="609A986F">
      <w:pPr>
        <w:widowControl/>
        <w:tabs>
          <w:tab w:val="left" w:pos="2160"/>
        </w:tabs>
        <w:spacing w:line="600" w:lineRule="exact"/>
        <w:ind w:firstLine="640" w:firstLineChars="200"/>
        <w:jc w:val="left"/>
        <w:rPr>
          <w:rFonts w:ascii="黑体" w:hAnsi="楷体_GB2312" w:eastAsia="黑体" w:cs="Times New Roman"/>
          <w:kern w:val="0"/>
          <w:position w:val="3"/>
          <w:sz w:val="32"/>
          <w:szCs w:val="32"/>
          <w:lang w:val="zh-CN" w:eastAsia="zh-CN" w:bidi="ar-SA"/>
        </w:rPr>
      </w:pPr>
      <w:r>
        <w:rPr>
          <w:rFonts w:hint="eastAsia" w:ascii="黑体" w:hAnsi="楷体_GB2312" w:eastAsia="黑体" w:cs="Times New Roman"/>
          <w:kern w:val="0"/>
          <w:position w:val="3"/>
          <w:sz w:val="32"/>
          <w:szCs w:val="32"/>
          <w:lang w:val="zh-CN" w:eastAsia="zh-CN" w:bidi="ar-SA"/>
        </w:rPr>
        <w:t>六、改进建议</w:t>
      </w:r>
    </w:p>
    <w:p w14:paraId="78EB2C9C">
      <w:pPr>
        <w:tabs>
          <w:tab w:val="left" w:pos="1911"/>
        </w:tabs>
        <w:ind w:firstLine="640"/>
        <w:jc w:val="left"/>
        <w:rPr>
          <w:rFonts w:ascii="仿宋_GB2312" w:hAnsi="Times New Roman" w:eastAsia="仿宋_GB2312" w:cs="仿宋_GB2312"/>
          <w:kern w:val="0"/>
          <w:sz w:val="32"/>
          <w:szCs w:val="32"/>
        </w:rPr>
      </w:pPr>
      <w:r>
        <w:rPr>
          <w:rFonts w:hint="eastAsia" w:ascii="仿宋_GB2312" w:hAnsi="Times New Roman" w:eastAsia="仿宋_GB2312" w:cs="仿宋_GB2312"/>
          <w:kern w:val="0"/>
          <w:sz w:val="32"/>
          <w:szCs w:val="32"/>
        </w:rPr>
        <w:t>无。</w:t>
      </w:r>
    </w:p>
    <w:p w14:paraId="0011A572">
      <w:pPr>
        <w:keepNext/>
        <w:keepLines/>
        <w:widowControl w:val="0"/>
        <w:spacing w:before="280" w:after="156" w:line="377" w:lineRule="auto"/>
        <w:outlineLvl w:val="4"/>
        <w:rPr>
          <w:rFonts w:ascii="Arial" w:hAnsi="Arial" w:eastAsia="黑体" w:cs="Times New Roman"/>
          <w:b/>
          <w:kern w:val="2"/>
          <w:sz w:val="24"/>
          <w:szCs w:val="28"/>
          <w:lang w:val="en-US" w:eastAsia="zh-CN" w:bidi="ar-SA"/>
        </w:rPr>
      </w:pPr>
    </w:p>
    <w:p w14:paraId="5049FBD5">
      <w:pPr>
        <w:rPr>
          <w:rFonts w:ascii="Times New Roman" w:hAnsi="Times New Roman" w:eastAsia="仿宋_GB2312" w:cs="Times New Roman"/>
          <w:sz w:val="32"/>
          <w:szCs w:val="32"/>
        </w:rPr>
      </w:pPr>
    </w:p>
    <w:p w14:paraId="6DE9C78F">
      <w:pPr>
        <w:keepNext/>
        <w:keepLines/>
        <w:widowControl w:val="0"/>
        <w:spacing w:before="280" w:after="156" w:line="377" w:lineRule="auto"/>
        <w:outlineLvl w:val="4"/>
        <w:rPr>
          <w:rFonts w:ascii="Arial" w:hAnsi="Arial" w:eastAsia="黑体" w:cs="Times New Roman"/>
          <w:b/>
          <w:kern w:val="2"/>
          <w:sz w:val="24"/>
          <w:szCs w:val="28"/>
          <w:lang w:val="en-US" w:eastAsia="zh-CN" w:bidi="ar-SA"/>
        </w:rPr>
      </w:pPr>
    </w:p>
    <w:p w14:paraId="1ADD8FFB">
      <w:pPr>
        <w:rPr>
          <w:rFonts w:ascii="Times New Roman" w:hAnsi="Times New Roman" w:eastAsia="仿宋_GB2312" w:cs="Times New Roman"/>
          <w:sz w:val="32"/>
          <w:szCs w:val="32"/>
        </w:rPr>
      </w:pPr>
    </w:p>
    <w:p w14:paraId="29FEB21D">
      <w:pPr>
        <w:keepNext/>
        <w:keepLines/>
        <w:widowControl w:val="0"/>
        <w:spacing w:before="280" w:after="156" w:line="377" w:lineRule="auto"/>
        <w:outlineLvl w:val="4"/>
        <w:rPr>
          <w:rFonts w:ascii="Arial" w:hAnsi="Arial" w:eastAsia="黑体" w:cs="Times New Roman"/>
          <w:b/>
          <w:kern w:val="2"/>
          <w:sz w:val="24"/>
          <w:szCs w:val="28"/>
          <w:lang w:val="en-US" w:eastAsia="zh-CN" w:bidi="ar-SA"/>
        </w:rPr>
      </w:pPr>
    </w:p>
    <w:p w14:paraId="39073A95">
      <w:pPr>
        <w:rPr>
          <w:rFonts w:ascii="Times New Roman" w:hAnsi="Times New Roman" w:eastAsia="仿宋_GB2312" w:cs="Times New Roman"/>
          <w:sz w:val="32"/>
          <w:szCs w:val="32"/>
        </w:rPr>
      </w:pPr>
    </w:p>
    <w:p w14:paraId="7E34E1AD">
      <w:pPr>
        <w:keepNext/>
        <w:keepLines/>
        <w:widowControl w:val="0"/>
        <w:spacing w:before="280" w:after="156" w:line="377" w:lineRule="auto"/>
        <w:outlineLvl w:val="4"/>
        <w:rPr>
          <w:rFonts w:ascii="Arial" w:hAnsi="Arial" w:eastAsia="黑体" w:cs="Times New Roman"/>
          <w:b/>
          <w:kern w:val="2"/>
          <w:sz w:val="24"/>
          <w:szCs w:val="28"/>
          <w:lang w:val="en-US" w:eastAsia="zh-CN" w:bidi="ar-SA"/>
        </w:rPr>
      </w:pPr>
    </w:p>
    <w:p w14:paraId="3A261129">
      <w:pPr>
        <w:rPr>
          <w:rFonts w:ascii="Times New Roman" w:hAnsi="Times New Roman" w:eastAsia="仿宋_GB2312" w:cs="Times New Roman"/>
          <w:sz w:val="32"/>
          <w:szCs w:val="32"/>
        </w:rPr>
      </w:pPr>
    </w:p>
    <w:p w14:paraId="28102ED2">
      <w:pPr>
        <w:keepNext/>
        <w:keepLines/>
        <w:widowControl w:val="0"/>
        <w:spacing w:before="280" w:after="156" w:line="377" w:lineRule="auto"/>
        <w:outlineLvl w:val="4"/>
        <w:rPr>
          <w:rFonts w:ascii="Arial" w:hAnsi="Arial" w:eastAsia="黑体" w:cs="Times New Roman"/>
          <w:b/>
          <w:kern w:val="2"/>
          <w:sz w:val="24"/>
          <w:szCs w:val="28"/>
          <w:lang w:val="en-US" w:eastAsia="zh-CN" w:bidi="ar-SA"/>
        </w:rPr>
      </w:pPr>
    </w:p>
    <w:p w14:paraId="05CF7B1C">
      <w:pPr>
        <w:rPr>
          <w:rFonts w:ascii="Times New Roman" w:hAnsi="Times New Roman" w:eastAsia="仿宋_GB2312" w:cs="Times New Roman"/>
          <w:sz w:val="32"/>
          <w:szCs w:val="32"/>
        </w:rPr>
      </w:pPr>
    </w:p>
    <w:p w14:paraId="66D2742E">
      <w:pPr>
        <w:keepNext/>
        <w:keepLines/>
        <w:widowControl w:val="0"/>
        <w:spacing w:before="280" w:after="156" w:line="377" w:lineRule="auto"/>
        <w:outlineLvl w:val="4"/>
        <w:rPr>
          <w:rFonts w:ascii="Arial" w:hAnsi="Arial" w:eastAsia="黑体" w:cs="Times New Roman"/>
          <w:b/>
          <w:kern w:val="2"/>
          <w:sz w:val="24"/>
          <w:szCs w:val="28"/>
          <w:lang w:val="en-US" w:eastAsia="zh-CN" w:bidi="ar-SA"/>
        </w:rPr>
      </w:pPr>
    </w:p>
    <w:p w14:paraId="1965EAF8">
      <w:pPr>
        <w:rPr>
          <w:rFonts w:ascii="Times New Roman" w:hAnsi="Times New Roman" w:eastAsia="仿宋_GB2312" w:cs="Times New Roman"/>
          <w:sz w:val="32"/>
          <w:szCs w:val="32"/>
        </w:rPr>
      </w:pPr>
    </w:p>
    <w:p w14:paraId="59A11086">
      <w:pPr>
        <w:keepNext/>
        <w:keepLines/>
        <w:widowControl w:val="0"/>
        <w:spacing w:before="280" w:after="156" w:line="377" w:lineRule="auto"/>
        <w:outlineLvl w:val="4"/>
        <w:rPr>
          <w:rFonts w:ascii="Arial" w:hAnsi="Arial" w:eastAsia="黑体" w:cs="Times New Roman"/>
          <w:b/>
          <w:kern w:val="2"/>
          <w:sz w:val="24"/>
          <w:szCs w:val="28"/>
          <w:lang w:val="en-US" w:eastAsia="zh-CN" w:bidi="ar-SA"/>
        </w:rPr>
      </w:pPr>
    </w:p>
    <w:p w14:paraId="4039184B">
      <w:pPr>
        <w:rPr>
          <w:rFonts w:ascii="Times New Roman" w:hAnsi="Times New Roman" w:eastAsia="仿宋_GB2312" w:cs="Times New Roman"/>
          <w:sz w:val="32"/>
          <w:szCs w:val="32"/>
        </w:rPr>
      </w:pPr>
    </w:p>
    <w:p w14:paraId="2A258E9B">
      <w:pPr>
        <w:widowControl/>
        <w:adjustRightInd w:val="0"/>
        <w:snapToGrid w:val="0"/>
        <w:spacing w:line="578" w:lineRule="exact"/>
        <w:contextualSpacing/>
        <w:jc w:val="left"/>
        <w:rPr>
          <w:rFonts w:ascii="黑体" w:hAnsi="Times New Roman" w:eastAsia="黑体" w:cs="黑体"/>
          <w:kern w:val="0"/>
          <w:sz w:val="32"/>
          <w:szCs w:val="32"/>
          <w:shd w:val="clear" w:color="auto" w:fill="FFFFFF"/>
          <w:lang w:val="zh-CN"/>
        </w:rPr>
      </w:pPr>
      <w:r>
        <w:rPr>
          <w:rFonts w:hint="eastAsia" w:ascii="黑体" w:hAnsi="Times New Roman" w:eastAsia="黑体" w:cs="黑体"/>
          <w:kern w:val="0"/>
          <w:sz w:val="32"/>
          <w:szCs w:val="32"/>
          <w:shd w:val="clear" w:color="auto" w:fill="FFFFFF"/>
          <w:lang w:val="zh-CN"/>
        </w:rPr>
        <w:t>附表</w:t>
      </w:r>
      <w:r>
        <w:rPr>
          <w:rFonts w:hint="eastAsia" w:ascii="黑体" w:hAnsi="Times New Roman" w:eastAsia="黑体" w:cs="黑体"/>
          <w:kern w:val="0"/>
          <w:sz w:val="32"/>
          <w:szCs w:val="32"/>
          <w:shd w:val="clear" w:color="auto" w:fill="FFFFFF"/>
        </w:rPr>
        <w:t>1</w:t>
      </w:r>
    </w:p>
    <w:p w14:paraId="58594439">
      <w:pPr>
        <w:spacing w:line="578" w:lineRule="exact"/>
        <w:jc w:val="center"/>
        <w:rPr>
          <w:rFonts w:ascii="方正小标宋_GBK" w:hAnsi="Times New Roman" w:eastAsia="方正小标宋_GBK" w:cs="方正小标宋_GBK"/>
          <w:sz w:val="40"/>
          <w:szCs w:val="40"/>
        </w:rPr>
      </w:pPr>
      <w:r>
        <w:rPr>
          <w:rFonts w:hint="eastAsia" w:ascii="方正小标宋_GBK" w:hAnsi="Times New Roman" w:eastAsia="方正小标宋_GBK" w:cs="方正小标宋_GBK"/>
          <w:sz w:val="40"/>
          <w:szCs w:val="40"/>
        </w:rPr>
        <w:t>项目资金分配涉及所有点位自评得分情况表</w:t>
      </w:r>
    </w:p>
    <w:tbl>
      <w:tblPr>
        <w:tblStyle w:val="20"/>
        <w:tblW w:w="88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23"/>
        <w:gridCol w:w="3843"/>
        <w:gridCol w:w="2861"/>
        <w:gridCol w:w="993"/>
      </w:tblGrid>
      <w:tr w14:paraId="06486B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tcPr>
          <w:p w14:paraId="2F8940FF">
            <w:pPr>
              <w:keepNext w:val="0"/>
              <w:keepLines w:val="0"/>
              <w:suppressLineNumbers w:val="0"/>
              <w:spacing w:before="0" w:beforeAutospacing="0" w:after="0" w:afterAutospacing="0" w:line="300" w:lineRule="exact"/>
              <w:ind w:left="0" w:right="0"/>
              <w:jc w:val="center"/>
              <w:rPr>
                <w:rFonts w:hint="default" w:ascii="黑体" w:hAnsi="Times New Roman" w:eastAsia="黑体" w:cs="黑体"/>
                <w:sz w:val="24"/>
                <w:szCs w:val="24"/>
              </w:rPr>
            </w:pPr>
            <w:r>
              <w:rPr>
                <w:rFonts w:hint="eastAsia" w:ascii="黑体" w:hAnsi="Times New Roman" w:eastAsia="黑体" w:cs="黑体"/>
                <w:sz w:val="24"/>
                <w:szCs w:val="24"/>
              </w:rPr>
              <w:t>序号</w:t>
            </w:r>
          </w:p>
        </w:tc>
        <w:tc>
          <w:tcPr>
            <w:tcW w:w="3843" w:type="dxa"/>
          </w:tcPr>
          <w:p w14:paraId="47A610AE">
            <w:pPr>
              <w:keepNext w:val="0"/>
              <w:keepLines w:val="0"/>
              <w:suppressLineNumbers w:val="0"/>
              <w:spacing w:before="0" w:beforeAutospacing="0" w:after="0" w:afterAutospacing="0" w:line="300" w:lineRule="exact"/>
              <w:ind w:left="0" w:right="0"/>
              <w:jc w:val="center"/>
              <w:rPr>
                <w:rFonts w:hint="default" w:ascii="黑体" w:hAnsi="Times New Roman" w:eastAsia="黑体" w:cs="黑体"/>
                <w:sz w:val="24"/>
                <w:szCs w:val="24"/>
              </w:rPr>
            </w:pPr>
            <w:r>
              <w:rPr>
                <w:rFonts w:hint="eastAsia" w:ascii="黑体" w:hAnsi="Times New Roman" w:eastAsia="黑体" w:cs="黑体"/>
                <w:sz w:val="24"/>
                <w:szCs w:val="24"/>
              </w:rPr>
              <w:t>项目资金末端分配点位</w:t>
            </w:r>
          </w:p>
        </w:tc>
        <w:tc>
          <w:tcPr>
            <w:tcW w:w="2861" w:type="dxa"/>
          </w:tcPr>
          <w:p w14:paraId="17B5216F">
            <w:pPr>
              <w:keepNext w:val="0"/>
              <w:keepLines w:val="0"/>
              <w:suppressLineNumbers w:val="0"/>
              <w:spacing w:before="0" w:beforeAutospacing="0" w:after="0" w:afterAutospacing="0" w:line="300" w:lineRule="exact"/>
              <w:ind w:left="0" w:right="0"/>
              <w:jc w:val="center"/>
              <w:rPr>
                <w:rFonts w:hint="default" w:ascii="黑体" w:hAnsi="Times New Roman" w:eastAsia="黑体" w:cs="黑体"/>
                <w:sz w:val="24"/>
                <w:szCs w:val="24"/>
              </w:rPr>
            </w:pPr>
            <w:r>
              <w:rPr>
                <w:rFonts w:hint="eastAsia" w:ascii="黑体" w:hAnsi="Times New Roman" w:eastAsia="黑体" w:cs="黑体"/>
                <w:sz w:val="24"/>
                <w:szCs w:val="24"/>
              </w:rPr>
              <w:t>自评得分（百分制）</w:t>
            </w:r>
          </w:p>
        </w:tc>
        <w:tc>
          <w:tcPr>
            <w:tcW w:w="993" w:type="dxa"/>
          </w:tcPr>
          <w:p w14:paraId="387AAC30">
            <w:pPr>
              <w:keepNext w:val="0"/>
              <w:keepLines w:val="0"/>
              <w:suppressLineNumbers w:val="0"/>
              <w:spacing w:before="0" w:beforeAutospacing="0" w:after="0" w:afterAutospacing="0" w:line="300" w:lineRule="exact"/>
              <w:ind w:left="0" w:right="0"/>
              <w:jc w:val="center"/>
              <w:rPr>
                <w:rFonts w:hint="default" w:ascii="黑体" w:hAnsi="Times New Roman" w:eastAsia="黑体" w:cs="黑体"/>
                <w:sz w:val="24"/>
                <w:szCs w:val="24"/>
              </w:rPr>
            </w:pPr>
            <w:r>
              <w:rPr>
                <w:rFonts w:hint="eastAsia" w:ascii="黑体" w:hAnsi="Times New Roman" w:eastAsia="黑体" w:cs="黑体"/>
                <w:sz w:val="24"/>
                <w:szCs w:val="24"/>
              </w:rPr>
              <w:t>备注</w:t>
            </w:r>
          </w:p>
        </w:tc>
      </w:tr>
      <w:tr w14:paraId="1439DD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tcPr>
          <w:p w14:paraId="4719EC06">
            <w:pPr>
              <w:keepNext w:val="0"/>
              <w:keepLines w:val="0"/>
              <w:suppressLineNumbers w:val="0"/>
              <w:spacing w:before="0" w:beforeAutospacing="0" w:after="0" w:afterAutospacing="0" w:line="300" w:lineRule="exact"/>
              <w:ind w:left="0" w:right="0"/>
              <w:jc w:val="center"/>
              <w:rPr>
                <w:rFonts w:hint="default" w:ascii="宋体" w:hAnsi="Times New Roman" w:eastAsia="宋体" w:cs="宋体"/>
                <w:sz w:val="24"/>
                <w:szCs w:val="24"/>
              </w:rPr>
            </w:pPr>
            <w:r>
              <w:rPr>
                <w:rFonts w:hint="eastAsia" w:ascii="宋体" w:hAnsi="Times New Roman" w:eastAsia="宋体" w:cs="宋体"/>
                <w:sz w:val="24"/>
                <w:szCs w:val="24"/>
              </w:rPr>
              <w:t>1</w:t>
            </w:r>
          </w:p>
        </w:tc>
        <w:tc>
          <w:tcPr>
            <w:tcW w:w="3843" w:type="dxa"/>
          </w:tcPr>
          <w:p w14:paraId="25C23A6D">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r>
              <w:rPr>
                <w:rFonts w:hint="eastAsia" w:ascii="宋体" w:hAnsi="Times New Roman" w:eastAsia="宋体" w:cs="宋体"/>
                <w:sz w:val="21"/>
                <w:szCs w:val="21"/>
              </w:rPr>
              <w:t>市本级</w:t>
            </w:r>
          </w:p>
        </w:tc>
        <w:tc>
          <w:tcPr>
            <w:tcW w:w="2861" w:type="dxa"/>
          </w:tcPr>
          <w:p w14:paraId="27C2A99A">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r>
              <w:rPr>
                <w:rFonts w:hint="eastAsia" w:ascii="宋体" w:hAnsi="Times New Roman" w:eastAsia="宋体" w:cs="宋体"/>
                <w:sz w:val="21"/>
                <w:szCs w:val="21"/>
              </w:rPr>
              <w:t>优</w:t>
            </w:r>
          </w:p>
        </w:tc>
        <w:tc>
          <w:tcPr>
            <w:tcW w:w="993" w:type="dxa"/>
          </w:tcPr>
          <w:p w14:paraId="72BB13D4">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r>
      <w:tr w14:paraId="4A6EE7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tcPr>
          <w:p w14:paraId="2EA00604">
            <w:pPr>
              <w:keepNext w:val="0"/>
              <w:keepLines w:val="0"/>
              <w:suppressLineNumbers w:val="0"/>
              <w:spacing w:before="0" w:beforeAutospacing="0" w:after="0" w:afterAutospacing="0" w:line="300" w:lineRule="exact"/>
              <w:ind w:left="0" w:right="0"/>
              <w:jc w:val="center"/>
              <w:rPr>
                <w:rFonts w:hint="default" w:ascii="宋体" w:hAnsi="Times New Roman" w:eastAsia="宋体" w:cs="宋体"/>
                <w:sz w:val="24"/>
                <w:szCs w:val="24"/>
              </w:rPr>
            </w:pPr>
            <w:r>
              <w:rPr>
                <w:rFonts w:hint="eastAsia" w:ascii="宋体" w:hAnsi="Times New Roman" w:eastAsia="宋体" w:cs="宋体"/>
                <w:sz w:val="24"/>
                <w:szCs w:val="24"/>
              </w:rPr>
              <w:t>2</w:t>
            </w:r>
          </w:p>
        </w:tc>
        <w:tc>
          <w:tcPr>
            <w:tcW w:w="3843" w:type="dxa"/>
          </w:tcPr>
          <w:p w14:paraId="0CA68A3D">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c>
          <w:tcPr>
            <w:tcW w:w="2861" w:type="dxa"/>
          </w:tcPr>
          <w:p w14:paraId="4F261C63">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c>
          <w:tcPr>
            <w:tcW w:w="993" w:type="dxa"/>
          </w:tcPr>
          <w:p w14:paraId="214802F0">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r>
      <w:tr w14:paraId="5D1DFE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tcPr>
          <w:p w14:paraId="7809D49C">
            <w:pPr>
              <w:keepNext w:val="0"/>
              <w:keepLines w:val="0"/>
              <w:suppressLineNumbers w:val="0"/>
              <w:spacing w:before="0" w:beforeAutospacing="0" w:after="0" w:afterAutospacing="0" w:line="300" w:lineRule="exact"/>
              <w:ind w:left="0" w:right="0"/>
              <w:jc w:val="center"/>
              <w:rPr>
                <w:rFonts w:hint="default" w:ascii="宋体" w:hAnsi="Times New Roman" w:eastAsia="宋体" w:cs="宋体"/>
                <w:sz w:val="24"/>
                <w:szCs w:val="24"/>
              </w:rPr>
            </w:pPr>
            <w:r>
              <w:rPr>
                <w:rFonts w:hint="eastAsia" w:ascii="宋体" w:hAnsi="Times New Roman" w:eastAsia="宋体" w:cs="宋体"/>
                <w:sz w:val="24"/>
                <w:szCs w:val="24"/>
              </w:rPr>
              <w:t>3</w:t>
            </w:r>
          </w:p>
        </w:tc>
        <w:tc>
          <w:tcPr>
            <w:tcW w:w="3843" w:type="dxa"/>
          </w:tcPr>
          <w:p w14:paraId="1C3F2E11">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c>
          <w:tcPr>
            <w:tcW w:w="2861" w:type="dxa"/>
          </w:tcPr>
          <w:p w14:paraId="5574158D">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c>
          <w:tcPr>
            <w:tcW w:w="993" w:type="dxa"/>
          </w:tcPr>
          <w:p w14:paraId="65D6934A">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r>
      <w:tr w14:paraId="577158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tcPr>
          <w:p w14:paraId="5C75A3DB">
            <w:pPr>
              <w:keepNext w:val="0"/>
              <w:keepLines w:val="0"/>
              <w:suppressLineNumbers w:val="0"/>
              <w:spacing w:before="0" w:beforeAutospacing="0" w:after="0" w:afterAutospacing="0" w:line="300" w:lineRule="exact"/>
              <w:ind w:left="0" w:right="0"/>
              <w:jc w:val="center"/>
              <w:rPr>
                <w:rFonts w:hint="default" w:ascii="宋体" w:hAnsi="Times New Roman" w:eastAsia="宋体" w:cs="宋体"/>
                <w:sz w:val="24"/>
                <w:szCs w:val="24"/>
              </w:rPr>
            </w:pPr>
            <w:r>
              <w:rPr>
                <w:rFonts w:hint="eastAsia" w:ascii="宋体" w:hAnsi="Times New Roman" w:eastAsia="宋体" w:cs="宋体"/>
                <w:sz w:val="24"/>
                <w:szCs w:val="24"/>
              </w:rPr>
              <w:t>4</w:t>
            </w:r>
          </w:p>
        </w:tc>
        <w:tc>
          <w:tcPr>
            <w:tcW w:w="3843" w:type="dxa"/>
          </w:tcPr>
          <w:p w14:paraId="7426EE75">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c>
          <w:tcPr>
            <w:tcW w:w="2861" w:type="dxa"/>
          </w:tcPr>
          <w:p w14:paraId="22AECD2A">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c>
          <w:tcPr>
            <w:tcW w:w="993" w:type="dxa"/>
          </w:tcPr>
          <w:p w14:paraId="289C7549">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r>
      <w:tr w14:paraId="74ACBD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tcPr>
          <w:p w14:paraId="2ABC2EDE">
            <w:pPr>
              <w:keepNext w:val="0"/>
              <w:keepLines w:val="0"/>
              <w:suppressLineNumbers w:val="0"/>
              <w:spacing w:before="0" w:beforeAutospacing="0" w:after="0" w:afterAutospacing="0" w:line="300" w:lineRule="exact"/>
              <w:ind w:left="0" w:right="0"/>
              <w:jc w:val="center"/>
              <w:rPr>
                <w:rFonts w:hint="default" w:ascii="宋体" w:hAnsi="Times New Roman" w:eastAsia="宋体" w:cs="宋体"/>
                <w:sz w:val="24"/>
                <w:szCs w:val="24"/>
              </w:rPr>
            </w:pPr>
            <w:r>
              <w:rPr>
                <w:rFonts w:hint="eastAsia" w:ascii="宋体" w:hAnsi="Times New Roman" w:eastAsia="宋体" w:cs="宋体"/>
                <w:sz w:val="24"/>
                <w:szCs w:val="24"/>
              </w:rPr>
              <w:t>5</w:t>
            </w:r>
          </w:p>
        </w:tc>
        <w:tc>
          <w:tcPr>
            <w:tcW w:w="3843" w:type="dxa"/>
          </w:tcPr>
          <w:p w14:paraId="435A382F">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c>
          <w:tcPr>
            <w:tcW w:w="2861" w:type="dxa"/>
          </w:tcPr>
          <w:p w14:paraId="0332AB72">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c>
          <w:tcPr>
            <w:tcW w:w="993" w:type="dxa"/>
          </w:tcPr>
          <w:p w14:paraId="6DA6F27C">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r>
      <w:tr w14:paraId="3C0C5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tcPr>
          <w:p w14:paraId="72AF66DA">
            <w:pPr>
              <w:keepNext w:val="0"/>
              <w:keepLines w:val="0"/>
              <w:suppressLineNumbers w:val="0"/>
              <w:spacing w:before="0" w:beforeAutospacing="0" w:after="0" w:afterAutospacing="0" w:line="300" w:lineRule="exact"/>
              <w:ind w:left="0" w:right="0"/>
              <w:jc w:val="center"/>
              <w:rPr>
                <w:rFonts w:hint="default" w:ascii="宋体" w:hAnsi="Times New Roman" w:eastAsia="宋体" w:cs="宋体"/>
                <w:sz w:val="24"/>
                <w:szCs w:val="24"/>
              </w:rPr>
            </w:pPr>
            <w:r>
              <w:rPr>
                <w:rFonts w:hint="eastAsia" w:ascii="宋体" w:hAnsi="Times New Roman" w:eastAsia="宋体" w:cs="宋体"/>
                <w:sz w:val="24"/>
                <w:szCs w:val="24"/>
              </w:rPr>
              <w:t>6</w:t>
            </w:r>
          </w:p>
        </w:tc>
        <w:tc>
          <w:tcPr>
            <w:tcW w:w="3843" w:type="dxa"/>
          </w:tcPr>
          <w:p w14:paraId="2A98B6DC">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c>
          <w:tcPr>
            <w:tcW w:w="2861" w:type="dxa"/>
          </w:tcPr>
          <w:p w14:paraId="2895FD6F">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c>
          <w:tcPr>
            <w:tcW w:w="993" w:type="dxa"/>
          </w:tcPr>
          <w:p w14:paraId="7EFF5BD2">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r>
      <w:tr w14:paraId="08F496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tcPr>
          <w:p w14:paraId="3E8195D7">
            <w:pPr>
              <w:keepNext w:val="0"/>
              <w:keepLines w:val="0"/>
              <w:suppressLineNumbers w:val="0"/>
              <w:spacing w:before="0" w:beforeAutospacing="0" w:after="0" w:afterAutospacing="0" w:line="300" w:lineRule="exact"/>
              <w:ind w:left="0" w:right="0"/>
              <w:jc w:val="center"/>
              <w:rPr>
                <w:rFonts w:hint="default" w:ascii="宋体" w:hAnsi="Times New Roman" w:eastAsia="宋体" w:cs="宋体"/>
                <w:sz w:val="24"/>
                <w:szCs w:val="24"/>
              </w:rPr>
            </w:pPr>
            <w:r>
              <w:rPr>
                <w:rFonts w:hint="eastAsia" w:ascii="宋体" w:hAnsi="Times New Roman" w:eastAsia="宋体" w:cs="宋体"/>
                <w:sz w:val="24"/>
                <w:szCs w:val="24"/>
              </w:rPr>
              <w:t>7</w:t>
            </w:r>
          </w:p>
        </w:tc>
        <w:tc>
          <w:tcPr>
            <w:tcW w:w="3843" w:type="dxa"/>
          </w:tcPr>
          <w:p w14:paraId="4E2F80EF">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c>
          <w:tcPr>
            <w:tcW w:w="2861" w:type="dxa"/>
          </w:tcPr>
          <w:p w14:paraId="6715A3EE">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c>
          <w:tcPr>
            <w:tcW w:w="993" w:type="dxa"/>
          </w:tcPr>
          <w:p w14:paraId="3ED171E9">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r>
      <w:tr w14:paraId="6CE24E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tcPr>
          <w:p w14:paraId="2BAF0C7C">
            <w:pPr>
              <w:keepNext w:val="0"/>
              <w:keepLines w:val="0"/>
              <w:suppressLineNumbers w:val="0"/>
              <w:spacing w:before="0" w:beforeAutospacing="0" w:after="0" w:afterAutospacing="0" w:line="300" w:lineRule="exact"/>
              <w:ind w:left="0" w:right="0"/>
              <w:jc w:val="center"/>
              <w:rPr>
                <w:rFonts w:hint="default" w:ascii="宋体" w:hAnsi="Times New Roman" w:eastAsia="宋体" w:cs="宋体"/>
                <w:sz w:val="24"/>
                <w:szCs w:val="24"/>
              </w:rPr>
            </w:pPr>
            <w:r>
              <w:rPr>
                <w:rFonts w:hint="eastAsia" w:ascii="宋体" w:hAnsi="Times New Roman" w:eastAsia="宋体" w:cs="宋体"/>
                <w:sz w:val="24"/>
                <w:szCs w:val="24"/>
              </w:rPr>
              <w:t>8</w:t>
            </w:r>
          </w:p>
        </w:tc>
        <w:tc>
          <w:tcPr>
            <w:tcW w:w="3843" w:type="dxa"/>
          </w:tcPr>
          <w:p w14:paraId="1005804E">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c>
          <w:tcPr>
            <w:tcW w:w="2861" w:type="dxa"/>
          </w:tcPr>
          <w:p w14:paraId="6E827136">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c>
          <w:tcPr>
            <w:tcW w:w="993" w:type="dxa"/>
          </w:tcPr>
          <w:p w14:paraId="0F337310">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r>
      <w:tr w14:paraId="7177A5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tcPr>
          <w:p w14:paraId="5834DD9D">
            <w:pPr>
              <w:keepNext w:val="0"/>
              <w:keepLines w:val="0"/>
              <w:suppressLineNumbers w:val="0"/>
              <w:spacing w:before="0" w:beforeAutospacing="0" w:after="0" w:afterAutospacing="0" w:line="300" w:lineRule="exact"/>
              <w:ind w:left="0" w:right="0"/>
              <w:jc w:val="center"/>
              <w:rPr>
                <w:rFonts w:hint="default" w:ascii="宋体" w:hAnsi="Times New Roman" w:eastAsia="宋体" w:cs="宋体"/>
                <w:sz w:val="24"/>
                <w:szCs w:val="24"/>
              </w:rPr>
            </w:pPr>
            <w:r>
              <w:rPr>
                <w:rFonts w:hint="eastAsia" w:ascii="宋体" w:hAnsi="Times New Roman" w:eastAsia="宋体" w:cs="宋体"/>
                <w:sz w:val="24"/>
                <w:szCs w:val="24"/>
              </w:rPr>
              <w:t>……</w:t>
            </w:r>
          </w:p>
        </w:tc>
        <w:tc>
          <w:tcPr>
            <w:tcW w:w="3843" w:type="dxa"/>
          </w:tcPr>
          <w:p w14:paraId="552FFAC4">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c>
          <w:tcPr>
            <w:tcW w:w="2861" w:type="dxa"/>
          </w:tcPr>
          <w:p w14:paraId="3A298A87">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c>
          <w:tcPr>
            <w:tcW w:w="993" w:type="dxa"/>
          </w:tcPr>
          <w:p w14:paraId="0377A2B4">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r>
    </w:tbl>
    <w:p w14:paraId="360E18A6">
      <w:pPr>
        <w:spacing w:line="400" w:lineRule="exact"/>
        <w:jc w:val="left"/>
        <w:rPr>
          <w:rFonts w:ascii="宋体" w:hAnsi="Times New Roman" w:eastAsia="宋体" w:cs="宋体"/>
          <w:sz w:val="21"/>
          <w:szCs w:val="21"/>
        </w:rPr>
      </w:pPr>
      <w:r>
        <w:rPr>
          <w:rFonts w:hint="eastAsia" w:ascii="宋体" w:hAnsi="Times New Roman" w:eastAsia="宋体" w:cs="宋体"/>
          <w:sz w:val="21"/>
          <w:szCs w:val="21"/>
        </w:rPr>
        <w:t>备注：1.项目资金末端分配点位包括市本级、县（区）、市级部门下属单位及一次性单位等。</w:t>
      </w:r>
    </w:p>
    <w:p w14:paraId="21F0B17F">
      <w:pPr>
        <w:spacing w:line="400" w:lineRule="exact"/>
        <w:ind w:firstLine="630" w:firstLineChars="300"/>
        <w:jc w:val="left"/>
        <w:rPr>
          <w:rFonts w:ascii="宋体" w:hAnsi="Times New Roman" w:eastAsia="宋体" w:cs="宋体"/>
          <w:sz w:val="21"/>
          <w:szCs w:val="21"/>
        </w:rPr>
      </w:pPr>
      <w:r>
        <w:rPr>
          <w:rFonts w:hint="eastAsia" w:ascii="宋体" w:hAnsi="Times New Roman" w:eastAsia="宋体" w:cs="宋体"/>
          <w:sz w:val="21"/>
          <w:szCs w:val="21"/>
        </w:rPr>
        <w:t>2.自评得分（百分制）从高到低划分为优、良、中、差四个档次，各个档次数量占比分别为20%、20%、55%、5%，且不同档次间得分分值应体现差异化，同档次得分分值相同的比例不超过该档次总数量的10%。</w:t>
      </w:r>
    </w:p>
    <w:p w14:paraId="50196CCD">
      <w:pPr>
        <w:rPr>
          <w:rFonts w:ascii="Times New Roman" w:hAnsi="Times New Roman" w:eastAsia="仿宋_GB2312" w:cs="Times New Roman"/>
          <w:sz w:val="32"/>
          <w:szCs w:val="24"/>
        </w:rPr>
      </w:pPr>
      <w:r>
        <w:rPr>
          <w:rFonts w:hint="eastAsia" w:ascii="Times New Roman" w:hAnsi="Times New Roman" w:eastAsia="仿宋_GB2312" w:cs="Times New Roman"/>
          <w:sz w:val="32"/>
          <w:szCs w:val="24"/>
        </w:rPr>
        <w:br w:type="page"/>
      </w:r>
    </w:p>
    <w:p w14:paraId="59C4CE07">
      <w:pPr>
        <w:widowControl w:val="0"/>
        <w:spacing w:after="0" w:line="578" w:lineRule="exact"/>
        <w:ind w:left="0" w:leftChars="0" w:firstLine="0" w:firstLineChars="0"/>
        <w:jc w:val="both"/>
        <w:rPr>
          <w:rFonts w:ascii="Times New Roman" w:hAnsi="Times New Roman" w:eastAsia="黑体" w:cs="Times New Roman"/>
          <w:kern w:val="2"/>
          <w:sz w:val="32"/>
          <w:szCs w:val="24"/>
          <w:lang w:val="en-US" w:eastAsia="zh-CN" w:bidi="ar-SA"/>
        </w:rPr>
      </w:pPr>
      <w:r>
        <w:rPr>
          <w:rFonts w:ascii="Times New Roman" w:hAnsi="Times New Roman" w:eastAsia="黑体" w:cs="Times New Roman"/>
          <w:kern w:val="2"/>
          <w:sz w:val="32"/>
          <w:szCs w:val="24"/>
          <w:lang w:val="en-US" w:eastAsia="zh-CN" w:bidi="ar-SA"/>
        </w:rPr>
        <w:t>附表2</w:t>
      </w:r>
    </w:p>
    <w:tbl>
      <w:tblPr>
        <w:tblStyle w:val="20"/>
        <w:tblW w:w="10233" w:type="dxa"/>
        <w:jc w:val="center"/>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Layout w:type="fixed"/>
        <w:tblCellMar>
          <w:top w:w="15" w:type="dxa"/>
          <w:left w:w="15" w:type="dxa"/>
          <w:bottom w:w="15" w:type="dxa"/>
          <w:right w:w="15" w:type="dxa"/>
        </w:tblCellMar>
      </w:tblPr>
      <w:tblGrid>
        <w:gridCol w:w="652"/>
        <w:gridCol w:w="1081"/>
        <w:gridCol w:w="1250"/>
        <w:gridCol w:w="1312"/>
        <w:gridCol w:w="1127"/>
        <w:gridCol w:w="971"/>
        <w:gridCol w:w="1061"/>
        <w:gridCol w:w="938"/>
        <w:gridCol w:w="1841"/>
      </w:tblGrid>
      <w:tr w14:paraId="6B24A90C">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576" w:hRule="atLeast"/>
          <w:jc w:val="center"/>
        </w:trPr>
        <w:tc>
          <w:tcPr>
            <w:tcW w:w="10233" w:type="dxa"/>
            <w:gridSpan w:val="9"/>
            <w:shd w:val="solid" w:color="E2EFD9" w:fill="auto"/>
            <w:vAlign w:val="center"/>
          </w:tcPr>
          <w:p w14:paraId="4D46E9F0">
            <w:pPr>
              <w:keepNext w:val="0"/>
              <w:keepLines w:val="0"/>
              <w:widowControl/>
              <w:suppressLineNumbers w:val="0"/>
              <w:spacing w:before="0" w:beforeAutospacing="0" w:after="0" w:afterAutospacing="0" w:line="600" w:lineRule="exact"/>
              <w:ind w:left="0" w:right="0"/>
              <w:jc w:val="center"/>
              <w:textAlignment w:val="center"/>
              <w:rPr>
                <w:rFonts w:hint="default" w:ascii="黑体" w:hAnsi="Times New Roman" w:eastAsia="黑体" w:cs="黑体"/>
                <w:color w:val="000000"/>
                <w:sz w:val="30"/>
                <w:szCs w:val="30"/>
              </w:rPr>
            </w:pPr>
            <w:r>
              <w:rPr>
                <w:rFonts w:hint="eastAsia" w:ascii="方正小标宋简体" w:hAnsi="Times New Roman" w:eastAsia="方正小标宋简体" w:cs="方正小标宋简体"/>
                <w:color w:val="000000"/>
                <w:kern w:val="0"/>
                <w:sz w:val="40"/>
                <w:szCs w:val="40"/>
              </w:rPr>
              <w:t>专项预算项目绩效目标完成情况自评表</w:t>
            </w:r>
          </w:p>
        </w:tc>
      </w:tr>
      <w:tr w14:paraId="0E0BD8B6">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23" w:hRule="atLeast"/>
          <w:jc w:val="center"/>
        </w:trPr>
        <w:tc>
          <w:tcPr>
            <w:tcW w:w="4295" w:type="dxa"/>
            <w:gridSpan w:val="4"/>
            <w:shd w:val="solid" w:color="E2EFD9" w:fill="auto"/>
            <w:vAlign w:val="center"/>
          </w:tcPr>
          <w:p w14:paraId="6EB13625">
            <w:pPr>
              <w:keepNext w:val="0"/>
              <w:keepLines w:val="0"/>
              <w:widowControl/>
              <w:suppressLineNumbers w:val="0"/>
              <w:spacing w:before="0" w:beforeAutospacing="0" w:after="0" w:afterAutospacing="0" w:line="300" w:lineRule="exact"/>
              <w:ind w:left="0" w:right="0"/>
              <w:jc w:val="left"/>
              <w:textAlignment w:val="center"/>
              <w:rPr>
                <w:rFonts w:hint="default" w:ascii="宋体" w:hAnsi="Times New Roman" w:eastAsia="宋体" w:cs="宋体"/>
                <w:color w:val="000000"/>
                <w:sz w:val="24"/>
                <w:szCs w:val="24"/>
              </w:rPr>
            </w:pPr>
            <w:r>
              <w:rPr>
                <w:rFonts w:hint="default" w:ascii="宋体" w:hAnsi="Times New Roman" w:eastAsia="宋体" w:cs="宋体"/>
                <w:color w:val="000000"/>
                <w:kern w:val="0"/>
                <w:sz w:val="24"/>
                <w:szCs w:val="24"/>
              </w:rPr>
              <w:t>项目名称</w:t>
            </w:r>
          </w:p>
        </w:tc>
        <w:tc>
          <w:tcPr>
            <w:tcW w:w="5938" w:type="dxa"/>
            <w:gridSpan w:val="5"/>
            <w:vAlign w:val="center"/>
          </w:tcPr>
          <w:p w14:paraId="08AD05C5">
            <w:pPr>
              <w:keepNext w:val="0"/>
              <w:keepLines w:val="0"/>
              <w:suppressLineNumbers w:val="0"/>
              <w:tabs>
                <w:tab w:val="left" w:pos="3685"/>
              </w:tabs>
              <w:spacing w:before="0" w:beforeAutospacing="0" w:after="0" w:afterAutospacing="0" w:line="300" w:lineRule="exact"/>
              <w:ind w:left="0" w:right="0"/>
              <w:rPr>
                <w:rFonts w:hint="default" w:ascii="宋体" w:hAnsi="Times New Roman" w:eastAsia="宋体" w:cs="宋体"/>
                <w:color w:val="000000"/>
                <w:sz w:val="24"/>
                <w:szCs w:val="24"/>
              </w:rPr>
            </w:pPr>
            <w:r>
              <w:rPr>
                <w:rFonts w:hint="default" w:ascii="宋体" w:hAnsi="Times New Roman" w:eastAsia="宋体" w:cs="宋体"/>
                <w:color w:val="000000"/>
                <w:sz w:val="24"/>
                <w:szCs w:val="24"/>
              </w:rPr>
              <w:t>广元市社会信用体系建设咨询服务项目（广元市创建全国社会信用体系建设示范区第三方综合咨询服务费）</w:t>
            </w:r>
          </w:p>
        </w:tc>
      </w:tr>
      <w:tr w14:paraId="38788E64">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23" w:hRule="atLeast"/>
          <w:jc w:val="center"/>
        </w:trPr>
        <w:tc>
          <w:tcPr>
            <w:tcW w:w="4295" w:type="dxa"/>
            <w:gridSpan w:val="4"/>
            <w:shd w:val="solid" w:color="E2EFD9" w:fill="auto"/>
            <w:vAlign w:val="center"/>
          </w:tcPr>
          <w:p w14:paraId="4723EF49">
            <w:pPr>
              <w:keepNext w:val="0"/>
              <w:keepLines w:val="0"/>
              <w:widowControl/>
              <w:suppressLineNumbers w:val="0"/>
              <w:spacing w:before="0" w:beforeAutospacing="0" w:after="0" w:afterAutospacing="0" w:line="300" w:lineRule="exact"/>
              <w:ind w:left="0" w:right="0"/>
              <w:jc w:val="left"/>
              <w:textAlignment w:val="center"/>
              <w:rPr>
                <w:rFonts w:hint="default" w:ascii="宋体" w:hAnsi="Times New Roman" w:eastAsia="宋体" w:cs="宋体"/>
                <w:color w:val="000000"/>
                <w:sz w:val="24"/>
                <w:szCs w:val="24"/>
              </w:rPr>
            </w:pPr>
            <w:r>
              <w:rPr>
                <w:rFonts w:hint="default" w:ascii="宋体" w:hAnsi="Times New Roman" w:eastAsia="宋体" w:cs="宋体"/>
                <w:color w:val="000000"/>
                <w:kern w:val="0"/>
                <w:sz w:val="24"/>
                <w:szCs w:val="24"/>
              </w:rPr>
              <w:t>预算单位</w:t>
            </w:r>
          </w:p>
        </w:tc>
        <w:tc>
          <w:tcPr>
            <w:tcW w:w="5938" w:type="dxa"/>
            <w:gridSpan w:val="5"/>
            <w:shd w:val="solid" w:color="E2EFD9" w:fill="auto"/>
            <w:vAlign w:val="center"/>
          </w:tcPr>
          <w:p w14:paraId="41713891">
            <w:pPr>
              <w:keepNext w:val="0"/>
              <w:keepLines w:val="0"/>
              <w:suppressLineNumbers w:val="0"/>
              <w:tabs>
                <w:tab w:val="left" w:pos="3685"/>
              </w:tabs>
              <w:spacing w:before="0" w:beforeAutospacing="0" w:after="0" w:afterAutospacing="0" w:line="300" w:lineRule="exact"/>
              <w:ind w:left="0" w:right="0"/>
              <w:rPr>
                <w:rFonts w:hint="default" w:ascii="宋体" w:hAnsi="Times New Roman" w:eastAsia="宋体" w:cs="宋体"/>
                <w:color w:val="000000"/>
                <w:sz w:val="24"/>
                <w:szCs w:val="24"/>
              </w:rPr>
            </w:pPr>
            <w:r>
              <w:rPr>
                <w:rFonts w:hint="eastAsia" w:ascii="宋体" w:hAnsi="Times New Roman" w:eastAsia="宋体" w:cs="宋体"/>
                <w:color w:val="000000"/>
                <w:sz w:val="24"/>
                <w:szCs w:val="24"/>
              </w:rPr>
              <w:t>广元市发展改革委</w:t>
            </w:r>
          </w:p>
        </w:tc>
      </w:tr>
      <w:tr w14:paraId="343A259B">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23" w:hRule="atLeast"/>
          <w:jc w:val="center"/>
        </w:trPr>
        <w:tc>
          <w:tcPr>
            <w:tcW w:w="4295" w:type="dxa"/>
            <w:gridSpan w:val="4"/>
            <w:shd w:val="solid" w:color="E2EFD9" w:fill="auto"/>
            <w:vAlign w:val="center"/>
          </w:tcPr>
          <w:p w14:paraId="1F13250F">
            <w:pPr>
              <w:keepNext w:val="0"/>
              <w:keepLines w:val="0"/>
              <w:widowControl/>
              <w:suppressLineNumbers w:val="0"/>
              <w:spacing w:before="0" w:beforeAutospacing="0" w:after="0" w:afterAutospacing="0" w:line="300" w:lineRule="exact"/>
              <w:ind w:left="0" w:right="0"/>
              <w:jc w:val="left"/>
              <w:textAlignment w:val="center"/>
              <w:rPr>
                <w:rFonts w:hint="default" w:ascii="宋体" w:hAnsi="Times New Roman" w:eastAsia="宋体" w:cs="宋体"/>
                <w:color w:val="000000"/>
                <w:sz w:val="24"/>
                <w:szCs w:val="24"/>
              </w:rPr>
            </w:pPr>
            <w:r>
              <w:rPr>
                <w:rFonts w:hint="default" w:ascii="宋体" w:hAnsi="Times New Roman" w:eastAsia="宋体" w:cs="宋体"/>
                <w:color w:val="000000"/>
                <w:kern w:val="0"/>
                <w:sz w:val="24"/>
                <w:szCs w:val="24"/>
              </w:rPr>
              <w:t>项目类型</w:t>
            </w:r>
          </w:p>
        </w:tc>
        <w:tc>
          <w:tcPr>
            <w:tcW w:w="5938" w:type="dxa"/>
            <w:gridSpan w:val="5"/>
            <w:vAlign w:val="center"/>
          </w:tcPr>
          <w:p w14:paraId="3977583B">
            <w:pPr>
              <w:keepNext w:val="0"/>
              <w:keepLines w:val="0"/>
              <w:suppressLineNumbers w:val="0"/>
              <w:tabs>
                <w:tab w:val="left" w:pos="3685"/>
              </w:tabs>
              <w:spacing w:before="0" w:beforeAutospacing="0" w:after="0" w:afterAutospacing="0" w:line="300" w:lineRule="exact"/>
              <w:ind w:left="0" w:right="0"/>
              <w:jc w:val="left"/>
              <w:rPr>
                <w:rFonts w:hint="default" w:ascii="宋体" w:hAnsi="Times New Roman" w:eastAsia="宋体" w:cs="宋体"/>
                <w:color w:val="000000"/>
                <w:sz w:val="24"/>
                <w:szCs w:val="24"/>
              </w:rPr>
            </w:pPr>
            <w:r>
              <w:rPr>
                <w:rFonts w:hint="eastAsia" w:ascii="宋体" w:hAnsi="Times New Roman" w:eastAsia="宋体" w:cs="宋体"/>
                <w:color w:val="000000"/>
                <w:sz w:val="24"/>
                <w:szCs w:val="24"/>
              </w:rPr>
              <w:t>一次性项目</w:t>
            </w:r>
          </w:p>
        </w:tc>
      </w:tr>
      <w:tr w14:paraId="234B3903">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23" w:hRule="atLeast"/>
          <w:jc w:val="center"/>
        </w:trPr>
        <w:tc>
          <w:tcPr>
            <w:tcW w:w="652" w:type="dxa"/>
            <w:vMerge w:val="restart"/>
            <w:tcBorders>
              <w:bottom w:val="single" w:color="000000" w:sz="4" w:space="0"/>
            </w:tcBorders>
            <w:shd w:val="solid" w:color="E2EFD9" w:fill="auto"/>
            <w:vAlign w:val="center"/>
          </w:tcPr>
          <w:p w14:paraId="64620780">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color w:val="000000"/>
                <w:sz w:val="24"/>
                <w:szCs w:val="24"/>
              </w:rPr>
            </w:pPr>
            <w:r>
              <w:rPr>
                <w:rFonts w:hint="default" w:ascii="宋体" w:hAnsi="Times New Roman" w:eastAsia="宋体" w:cs="宋体"/>
                <w:color w:val="000000"/>
                <w:kern w:val="0"/>
                <w:sz w:val="24"/>
                <w:szCs w:val="24"/>
              </w:rPr>
              <w:t>项目 概况</w:t>
            </w:r>
          </w:p>
        </w:tc>
        <w:tc>
          <w:tcPr>
            <w:tcW w:w="3643" w:type="dxa"/>
            <w:gridSpan w:val="3"/>
            <w:shd w:val="solid" w:color="E2EFD9" w:fill="auto"/>
            <w:vAlign w:val="center"/>
          </w:tcPr>
          <w:p w14:paraId="2A33DF7A">
            <w:pPr>
              <w:keepNext w:val="0"/>
              <w:keepLines w:val="0"/>
              <w:widowControl/>
              <w:suppressLineNumbers w:val="0"/>
              <w:spacing w:before="0" w:beforeAutospacing="0" w:after="0" w:afterAutospacing="0" w:line="300" w:lineRule="exact"/>
              <w:ind w:left="0" w:right="0"/>
              <w:jc w:val="left"/>
              <w:textAlignment w:val="center"/>
              <w:rPr>
                <w:rFonts w:hint="default" w:ascii="宋体" w:hAnsi="Times New Roman" w:eastAsia="宋体" w:cs="宋体"/>
                <w:color w:val="000000"/>
                <w:kern w:val="0"/>
                <w:sz w:val="24"/>
                <w:szCs w:val="24"/>
              </w:rPr>
            </w:pPr>
            <w:r>
              <w:rPr>
                <w:rFonts w:hint="default" w:ascii="宋体" w:hAnsi="Times New Roman" w:eastAsia="宋体" w:cs="宋体"/>
                <w:color w:val="000000"/>
                <w:kern w:val="0"/>
                <w:sz w:val="24"/>
                <w:szCs w:val="24"/>
              </w:rPr>
              <w:t>中长期规划（名称、文号，仅指</w:t>
            </w:r>
          </w:p>
          <w:p w14:paraId="143119A0">
            <w:pPr>
              <w:keepNext w:val="0"/>
              <w:keepLines w:val="0"/>
              <w:widowControl/>
              <w:suppressLineNumbers w:val="0"/>
              <w:spacing w:before="0" w:beforeAutospacing="0" w:after="0" w:afterAutospacing="0" w:line="300" w:lineRule="exact"/>
              <w:ind w:left="0" w:right="0"/>
              <w:jc w:val="left"/>
              <w:textAlignment w:val="center"/>
              <w:rPr>
                <w:rFonts w:hint="default" w:ascii="宋体" w:hAnsi="Times New Roman" w:eastAsia="宋体" w:cs="宋体"/>
                <w:color w:val="000000"/>
                <w:sz w:val="24"/>
                <w:szCs w:val="24"/>
              </w:rPr>
            </w:pPr>
            <w:r>
              <w:rPr>
                <w:rFonts w:hint="default" w:ascii="宋体" w:hAnsi="Times New Roman" w:eastAsia="宋体" w:cs="宋体"/>
                <w:color w:val="000000"/>
                <w:kern w:val="0"/>
                <w:sz w:val="24"/>
                <w:szCs w:val="24"/>
              </w:rPr>
              <w:t>常年项目）</w:t>
            </w:r>
          </w:p>
        </w:tc>
        <w:tc>
          <w:tcPr>
            <w:tcW w:w="5938" w:type="dxa"/>
            <w:gridSpan w:val="5"/>
            <w:shd w:val="solid" w:color="E2EFD9" w:fill="auto"/>
            <w:vAlign w:val="center"/>
          </w:tcPr>
          <w:p w14:paraId="6D843560">
            <w:pPr>
              <w:keepNext w:val="0"/>
              <w:keepLines w:val="0"/>
              <w:suppressLineNumbers w:val="0"/>
              <w:tabs>
                <w:tab w:val="left" w:pos="3685"/>
              </w:tabs>
              <w:spacing w:before="0" w:beforeAutospacing="0" w:after="0" w:afterAutospacing="0" w:line="300" w:lineRule="exact"/>
              <w:ind w:left="0" w:right="0"/>
              <w:jc w:val="left"/>
              <w:rPr>
                <w:rFonts w:hint="default" w:ascii="宋体" w:hAnsi="Times New Roman" w:eastAsia="宋体" w:cs="宋体"/>
                <w:color w:val="000000"/>
                <w:sz w:val="24"/>
                <w:szCs w:val="24"/>
              </w:rPr>
            </w:pPr>
          </w:p>
        </w:tc>
      </w:tr>
      <w:tr w14:paraId="31296717">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23" w:hRule="atLeast"/>
          <w:jc w:val="center"/>
        </w:trPr>
        <w:tc>
          <w:tcPr>
            <w:tcW w:w="652" w:type="dxa"/>
            <w:vMerge w:val="continue"/>
            <w:shd w:val="solid" w:color="E2EFD9" w:fill="auto"/>
            <w:vAlign w:val="center"/>
          </w:tcPr>
          <w:p w14:paraId="4F8330F1">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3643" w:type="dxa"/>
            <w:gridSpan w:val="3"/>
            <w:vAlign w:val="center"/>
          </w:tcPr>
          <w:p w14:paraId="2F58A785">
            <w:pPr>
              <w:keepNext w:val="0"/>
              <w:keepLines w:val="0"/>
              <w:widowControl/>
              <w:suppressLineNumbers w:val="0"/>
              <w:spacing w:before="0" w:beforeAutospacing="0" w:after="0" w:afterAutospacing="0" w:line="300" w:lineRule="exact"/>
              <w:ind w:left="0" w:right="0"/>
              <w:jc w:val="left"/>
              <w:textAlignment w:val="center"/>
              <w:rPr>
                <w:rFonts w:hint="default" w:ascii="宋体" w:hAnsi="Times New Roman" w:eastAsia="宋体" w:cs="宋体"/>
                <w:color w:val="000000"/>
                <w:sz w:val="24"/>
                <w:szCs w:val="24"/>
              </w:rPr>
            </w:pPr>
            <w:r>
              <w:rPr>
                <w:rFonts w:hint="default" w:ascii="宋体" w:hAnsi="Times New Roman" w:eastAsia="宋体" w:cs="宋体"/>
                <w:color w:val="000000"/>
                <w:kern w:val="0"/>
                <w:sz w:val="24"/>
                <w:szCs w:val="24"/>
              </w:rPr>
              <w:t>资金管理办法（名称、文号）</w:t>
            </w:r>
          </w:p>
        </w:tc>
        <w:tc>
          <w:tcPr>
            <w:tcW w:w="5938" w:type="dxa"/>
            <w:gridSpan w:val="5"/>
            <w:shd w:val="solid" w:color="E2EFD9" w:fill="auto"/>
            <w:vAlign w:val="center"/>
          </w:tcPr>
          <w:p w14:paraId="4021CA73">
            <w:pPr>
              <w:keepNext w:val="0"/>
              <w:keepLines w:val="0"/>
              <w:suppressLineNumbers w:val="0"/>
              <w:tabs>
                <w:tab w:val="left" w:pos="3685"/>
              </w:tabs>
              <w:spacing w:before="0" w:beforeAutospacing="0" w:after="0" w:afterAutospacing="0" w:line="300" w:lineRule="exact"/>
              <w:ind w:left="0" w:right="0"/>
              <w:jc w:val="left"/>
              <w:rPr>
                <w:rFonts w:hint="default" w:ascii="宋体" w:hAnsi="Times New Roman" w:eastAsia="宋体" w:cs="宋体"/>
                <w:color w:val="000000"/>
                <w:sz w:val="24"/>
                <w:szCs w:val="24"/>
              </w:rPr>
            </w:pPr>
          </w:p>
        </w:tc>
      </w:tr>
      <w:tr w14:paraId="20DA3305">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23" w:hRule="atLeast"/>
          <w:jc w:val="center"/>
        </w:trPr>
        <w:tc>
          <w:tcPr>
            <w:tcW w:w="652" w:type="dxa"/>
            <w:vMerge w:val="continue"/>
            <w:shd w:val="solid" w:color="E2EFD9" w:fill="auto"/>
            <w:vAlign w:val="center"/>
          </w:tcPr>
          <w:p w14:paraId="46A411BD">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3643" w:type="dxa"/>
            <w:gridSpan w:val="3"/>
            <w:shd w:val="solid" w:color="E2EFD9" w:fill="auto"/>
            <w:vAlign w:val="center"/>
          </w:tcPr>
          <w:p w14:paraId="6633A50E">
            <w:pPr>
              <w:keepNext w:val="0"/>
              <w:keepLines w:val="0"/>
              <w:widowControl/>
              <w:suppressLineNumbers w:val="0"/>
              <w:spacing w:before="0" w:beforeAutospacing="0" w:after="0" w:afterAutospacing="0" w:line="300" w:lineRule="exact"/>
              <w:ind w:left="0" w:right="0"/>
              <w:jc w:val="left"/>
              <w:textAlignment w:val="center"/>
              <w:rPr>
                <w:rFonts w:hint="default" w:ascii="宋体" w:hAnsi="Times New Roman" w:eastAsia="宋体" w:cs="宋体"/>
                <w:color w:val="000000"/>
                <w:sz w:val="24"/>
                <w:szCs w:val="24"/>
              </w:rPr>
            </w:pPr>
            <w:r>
              <w:rPr>
                <w:rFonts w:hint="default" w:ascii="宋体" w:hAnsi="Times New Roman" w:eastAsia="宋体" w:cs="宋体"/>
                <w:color w:val="000000"/>
                <w:kern w:val="0"/>
                <w:sz w:val="24"/>
                <w:szCs w:val="24"/>
              </w:rPr>
              <w:t>绩效分配方式</w:t>
            </w:r>
          </w:p>
        </w:tc>
        <w:tc>
          <w:tcPr>
            <w:tcW w:w="1127" w:type="dxa"/>
            <w:shd w:val="solid" w:color="E2EFD9" w:fill="auto"/>
            <w:vAlign w:val="center"/>
          </w:tcPr>
          <w:p w14:paraId="622BF52A">
            <w:pPr>
              <w:keepNext w:val="0"/>
              <w:keepLines w:val="0"/>
              <w:widowControl/>
              <w:suppressLineNumbers w:val="0"/>
              <w:tabs>
                <w:tab w:val="left" w:pos="3685"/>
              </w:tabs>
              <w:spacing w:before="0" w:beforeAutospacing="0" w:after="0" w:afterAutospacing="0" w:line="300" w:lineRule="exact"/>
              <w:ind w:left="0" w:right="0"/>
              <w:jc w:val="left"/>
              <w:textAlignment w:val="center"/>
              <w:rPr>
                <w:rFonts w:hint="default" w:ascii="Wingdings 2" w:hAnsi="Wingdings 2" w:eastAsia="Wingdings 2" w:cs="Wingdings 2"/>
                <w:color w:val="000000"/>
                <w:sz w:val="24"/>
                <w:szCs w:val="24"/>
              </w:rPr>
            </w:pPr>
            <w:r>
              <w:rPr>
                <w:rFonts w:hint="default" w:ascii="Wingdings 2" w:hAnsi="Wingdings 2" w:eastAsia="Wingdings 2" w:cs="Wingdings 2"/>
                <w:color w:val="000000"/>
                <w:kern w:val="0"/>
                <w:sz w:val="24"/>
                <w:szCs w:val="24"/>
              </w:rPr>
              <w:t></w:t>
            </w:r>
            <w:r>
              <w:rPr>
                <w:rFonts w:hint="default" w:ascii="宋体" w:hAnsi="Times New Roman" w:eastAsia="宋体" w:cs="宋体"/>
                <w:color w:val="000000"/>
                <w:kern w:val="0"/>
                <w:sz w:val="24"/>
                <w:szCs w:val="24"/>
              </w:rPr>
              <w:t>因素法</w:t>
            </w:r>
          </w:p>
        </w:tc>
        <w:tc>
          <w:tcPr>
            <w:tcW w:w="2032" w:type="dxa"/>
            <w:gridSpan w:val="2"/>
            <w:shd w:val="solid" w:color="E2EFD9" w:fill="auto"/>
            <w:vAlign w:val="center"/>
          </w:tcPr>
          <w:p w14:paraId="683ACA96">
            <w:pPr>
              <w:keepNext w:val="0"/>
              <w:keepLines w:val="0"/>
              <w:widowControl/>
              <w:suppressLineNumbers w:val="0"/>
              <w:tabs>
                <w:tab w:val="left" w:pos="3685"/>
              </w:tabs>
              <w:spacing w:before="0" w:beforeAutospacing="0" w:after="0" w:afterAutospacing="0" w:line="300" w:lineRule="exact"/>
              <w:ind w:left="0" w:right="0"/>
              <w:jc w:val="center"/>
              <w:textAlignment w:val="center"/>
              <w:rPr>
                <w:rFonts w:hint="default" w:ascii="Wingdings 2" w:hAnsi="Wingdings 2" w:eastAsia="Wingdings 2" w:cs="Wingdings 2"/>
                <w:color w:val="000000"/>
                <w:sz w:val="24"/>
                <w:szCs w:val="24"/>
              </w:rPr>
            </w:pPr>
            <w:r>
              <w:rPr>
                <w:rFonts w:hint="default" w:ascii="Wingdings 2" w:hAnsi="Wingdings 2" w:eastAsia="Wingdings 2" w:cs="Wingdings 2"/>
                <w:color w:val="000000"/>
                <w:kern w:val="0"/>
                <w:sz w:val="24"/>
                <w:szCs w:val="24"/>
              </w:rPr>
              <w:sym w:font="Wingdings 2" w:char="F052"/>
            </w:r>
            <w:r>
              <w:rPr>
                <w:rFonts w:hint="default" w:ascii="Wingdings 2" w:hAnsi="Wingdings 2" w:eastAsia="Wingdings 2" w:cs="Wingdings 2"/>
                <w:color w:val="000000"/>
                <w:kern w:val="0"/>
                <w:sz w:val="24"/>
                <w:szCs w:val="24"/>
              </w:rPr>
              <w:t>项目法</w:t>
            </w:r>
          </w:p>
        </w:tc>
        <w:tc>
          <w:tcPr>
            <w:tcW w:w="938" w:type="dxa"/>
            <w:shd w:val="solid" w:color="E2EFD9" w:fill="auto"/>
            <w:vAlign w:val="center"/>
          </w:tcPr>
          <w:p w14:paraId="01B89AAB">
            <w:pPr>
              <w:keepNext w:val="0"/>
              <w:keepLines w:val="0"/>
              <w:widowControl/>
              <w:suppressLineNumbers w:val="0"/>
              <w:tabs>
                <w:tab w:val="left" w:pos="3685"/>
              </w:tabs>
              <w:spacing w:before="0" w:beforeAutospacing="0" w:after="0" w:afterAutospacing="0" w:line="300" w:lineRule="exact"/>
              <w:ind w:left="0" w:right="0"/>
              <w:jc w:val="center"/>
              <w:textAlignment w:val="center"/>
              <w:rPr>
                <w:rFonts w:hint="default" w:ascii="Wingdings 2" w:hAnsi="Wingdings 2" w:eastAsia="Wingdings 2" w:cs="Wingdings 2"/>
                <w:color w:val="000000"/>
                <w:sz w:val="24"/>
                <w:szCs w:val="24"/>
              </w:rPr>
            </w:pPr>
            <w:r>
              <w:rPr>
                <w:rFonts w:hint="default" w:ascii="Wingdings 2" w:hAnsi="Wingdings 2" w:eastAsia="Wingdings 2" w:cs="Wingdings 2"/>
                <w:color w:val="000000"/>
                <w:kern w:val="0"/>
                <w:sz w:val="24"/>
                <w:szCs w:val="24"/>
              </w:rPr>
              <w:t></w:t>
            </w:r>
            <w:r>
              <w:rPr>
                <w:rFonts w:hint="default" w:ascii="宋体" w:hAnsi="Times New Roman" w:eastAsia="宋体" w:cs="宋体"/>
                <w:color w:val="000000"/>
                <w:kern w:val="0"/>
                <w:sz w:val="24"/>
                <w:szCs w:val="24"/>
              </w:rPr>
              <w:t>据实据效</w:t>
            </w:r>
          </w:p>
        </w:tc>
        <w:tc>
          <w:tcPr>
            <w:tcW w:w="1841" w:type="dxa"/>
            <w:shd w:val="solid" w:color="E2EFD9" w:fill="auto"/>
            <w:vAlign w:val="center"/>
          </w:tcPr>
          <w:p w14:paraId="6BD872AC">
            <w:pPr>
              <w:keepNext w:val="0"/>
              <w:keepLines w:val="0"/>
              <w:widowControl/>
              <w:suppressLineNumbers w:val="0"/>
              <w:tabs>
                <w:tab w:val="left" w:pos="3685"/>
              </w:tabs>
              <w:spacing w:before="0" w:beforeAutospacing="0" w:after="0" w:afterAutospacing="0" w:line="300" w:lineRule="exact"/>
              <w:ind w:left="0" w:right="0"/>
              <w:jc w:val="center"/>
              <w:textAlignment w:val="center"/>
              <w:rPr>
                <w:rFonts w:hint="default" w:ascii="Wingdings 2" w:hAnsi="Wingdings 2" w:eastAsia="Wingdings 2" w:cs="Wingdings 2"/>
                <w:color w:val="000000"/>
                <w:sz w:val="24"/>
                <w:szCs w:val="24"/>
              </w:rPr>
            </w:pPr>
            <w:r>
              <w:rPr>
                <w:rFonts w:hint="default" w:ascii="Wingdings 2" w:hAnsi="Wingdings 2" w:eastAsia="Wingdings 2" w:cs="Wingdings 2"/>
                <w:color w:val="000000"/>
                <w:kern w:val="0"/>
                <w:sz w:val="24"/>
                <w:szCs w:val="24"/>
              </w:rPr>
              <w:t></w:t>
            </w:r>
            <w:r>
              <w:rPr>
                <w:rFonts w:hint="default" w:ascii="宋体" w:hAnsi="Times New Roman" w:eastAsia="宋体" w:cs="宋体"/>
                <w:color w:val="000000"/>
                <w:kern w:val="0"/>
                <w:sz w:val="24"/>
                <w:szCs w:val="24"/>
              </w:rPr>
              <w:t>因素法与项目法相结合</w:t>
            </w:r>
          </w:p>
        </w:tc>
      </w:tr>
      <w:tr w14:paraId="44FB1F87">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23" w:hRule="atLeast"/>
          <w:jc w:val="center"/>
        </w:trPr>
        <w:tc>
          <w:tcPr>
            <w:tcW w:w="652" w:type="dxa"/>
            <w:vMerge w:val="continue"/>
            <w:shd w:val="solid" w:color="E2EFD9" w:fill="auto"/>
            <w:vAlign w:val="center"/>
          </w:tcPr>
          <w:p w14:paraId="2791886D">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3643" w:type="dxa"/>
            <w:gridSpan w:val="3"/>
            <w:vAlign w:val="center"/>
          </w:tcPr>
          <w:p w14:paraId="7841367F">
            <w:pPr>
              <w:keepNext w:val="0"/>
              <w:keepLines w:val="0"/>
              <w:widowControl/>
              <w:suppressLineNumbers w:val="0"/>
              <w:spacing w:before="0" w:beforeAutospacing="0" w:after="0" w:afterAutospacing="0" w:line="300" w:lineRule="exact"/>
              <w:ind w:left="0" w:right="0"/>
              <w:jc w:val="left"/>
              <w:textAlignment w:val="center"/>
              <w:rPr>
                <w:rFonts w:hint="default" w:ascii="宋体" w:hAnsi="Times New Roman" w:eastAsia="宋体" w:cs="宋体"/>
                <w:color w:val="000000"/>
                <w:sz w:val="24"/>
                <w:szCs w:val="24"/>
              </w:rPr>
            </w:pPr>
            <w:r>
              <w:rPr>
                <w:rFonts w:hint="default" w:ascii="宋体" w:hAnsi="Times New Roman" w:eastAsia="宋体" w:cs="宋体"/>
                <w:color w:val="000000"/>
                <w:kern w:val="0"/>
                <w:sz w:val="24"/>
                <w:szCs w:val="24"/>
              </w:rPr>
              <w:t>立项依据</w:t>
            </w:r>
          </w:p>
        </w:tc>
        <w:tc>
          <w:tcPr>
            <w:tcW w:w="5938" w:type="dxa"/>
            <w:gridSpan w:val="5"/>
            <w:shd w:val="solid" w:color="E2EFD9" w:fill="auto"/>
            <w:vAlign w:val="center"/>
          </w:tcPr>
          <w:p w14:paraId="3733C5A8">
            <w:pPr>
              <w:keepNext w:val="0"/>
              <w:keepLines w:val="0"/>
              <w:suppressLineNumbers w:val="0"/>
              <w:tabs>
                <w:tab w:val="left" w:pos="3685"/>
              </w:tabs>
              <w:spacing w:before="0" w:beforeAutospacing="0" w:after="0" w:afterAutospacing="0" w:line="300" w:lineRule="exact"/>
              <w:ind w:left="0" w:right="0"/>
              <w:jc w:val="left"/>
              <w:rPr>
                <w:rFonts w:hint="default" w:ascii="宋体" w:hAnsi="Times New Roman" w:eastAsia="宋体" w:cs="宋体"/>
                <w:color w:val="000000"/>
                <w:sz w:val="24"/>
                <w:szCs w:val="24"/>
              </w:rPr>
            </w:pPr>
          </w:p>
        </w:tc>
      </w:tr>
      <w:tr w14:paraId="4B6E844B">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23" w:hRule="atLeast"/>
          <w:jc w:val="center"/>
        </w:trPr>
        <w:tc>
          <w:tcPr>
            <w:tcW w:w="652" w:type="dxa"/>
            <w:vMerge w:val="continue"/>
            <w:shd w:val="solid" w:color="E2EFD9" w:fill="auto"/>
            <w:vAlign w:val="center"/>
          </w:tcPr>
          <w:p w14:paraId="2353B80F">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3643" w:type="dxa"/>
            <w:gridSpan w:val="3"/>
            <w:shd w:val="solid" w:color="E2EFD9" w:fill="auto"/>
            <w:vAlign w:val="center"/>
          </w:tcPr>
          <w:p w14:paraId="601F6EB0">
            <w:pPr>
              <w:keepNext w:val="0"/>
              <w:keepLines w:val="0"/>
              <w:widowControl/>
              <w:suppressLineNumbers w:val="0"/>
              <w:spacing w:before="0" w:beforeAutospacing="0" w:after="0" w:afterAutospacing="0" w:line="300" w:lineRule="exact"/>
              <w:ind w:left="0" w:right="0"/>
              <w:jc w:val="left"/>
              <w:textAlignment w:val="center"/>
              <w:rPr>
                <w:rFonts w:hint="default" w:ascii="宋体" w:hAnsi="Times New Roman" w:eastAsia="宋体" w:cs="宋体"/>
                <w:color w:val="000000"/>
                <w:sz w:val="24"/>
                <w:szCs w:val="24"/>
              </w:rPr>
            </w:pPr>
            <w:r>
              <w:rPr>
                <w:rFonts w:hint="default" w:ascii="宋体" w:hAnsi="Times New Roman" w:eastAsia="宋体" w:cs="宋体"/>
                <w:color w:val="000000"/>
                <w:kern w:val="0"/>
                <w:sz w:val="24"/>
                <w:szCs w:val="24"/>
              </w:rPr>
              <w:t>使用范围</w:t>
            </w:r>
          </w:p>
        </w:tc>
        <w:tc>
          <w:tcPr>
            <w:tcW w:w="5938" w:type="dxa"/>
            <w:gridSpan w:val="5"/>
            <w:shd w:val="solid" w:color="E2EFD9" w:fill="auto"/>
            <w:vAlign w:val="center"/>
          </w:tcPr>
          <w:p w14:paraId="775EF795">
            <w:pPr>
              <w:keepNext w:val="0"/>
              <w:keepLines w:val="0"/>
              <w:suppressLineNumbers w:val="0"/>
              <w:tabs>
                <w:tab w:val="left" w:pos="3685"/>
              </w:tabs>
              <w:spacing w:before="0" w:beforeAutospacing="0" w:after="0" w:afterAutospacing="0" w:line="300" w:lineRule="exact"/>
              <w:ind w:left="0" w:right="0"/>
              <w:jc w:val="left"/>
              <w:rPr>
                <w:rFonts w:hint="default" w:ascii="宋体" w:hAnsi="Times New Roman" w:eastAsia="宋体" w:cs="宋体"/>
                <w:color w:val="000000"/>
                <w:sz w:val="24"/>
                <w:szCs w:val="24"/>
              </w:rPr>
            </w:pPr>
          </w:p>
        </w:tc>
      </w:tr>
      <w:tr w14:paraId="71208A55">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23" w:hRule="atLeast"/>
          <w:jc w:val="center"/>
        </w:trPr>
        <w:tc>
          <w:tcPr>
            <w:tcW w:w="652" w:type="dxa"/>
            <w:vMerge w:val="continue"/>
            <w:shd w:val="solid" w:color="E2EFD9" w:fill="auto"/>
            <w:vAlign w:val="center"/>
          </w:tcPr>
          <w:p w14:paraId="4489017A">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3643" w:type="dxa"/>
            <w:gridSpan w:val="3"/>
            <w:vAlign w:val="center"/>
          </w:tcPr>
          <w:p w14:paraId="65882B88">
            <w:pPr>
              <w:keepNext w:val="0"/>
              <w:keepLines w:val="0"/>
              <w:widowControl/>
              <w:suppressLineNumbers w:val="0"/>
              <w:spacing w:before="0" w:beforeAutospacing="0" w:after="0" w:afterAutospacing="0" w:line="300" w:lineRule="exact"/>
              <w:ind w:left="0" w:right="0"/>
              <w:jc w:val="left"/>
              <w:textAlignment w:val="center"/>
              <w:rPr>
                <w:rFonts w:hint="default" w:ascii="宋体" w:hAnsi="Times New Roman" w:eastAsia="宋体" w:cs="宋体"/>
                <w:color w:val="000000"/>
                <w:sz w:val="24"/>
                <w:szCs w:val="24"/>
              </w:rPr>
            </w:pPr>
            <w:r>
              <w:rPr>
                <w:rFonts w:hint="default" w:ascii="宋体" w:hAnsi="Times New Roman" w:eastAsia="宋体" w:cs="宋体"/>
                <w:color w:val="000000"/>
                <w:kern w:val="0"/>
                <w:sz w:val="24"/>
                <w:szCs w:val="24"/>
              </w:rPr>
              <w:t>申报（补助）条件</w:t>
            </w:r>
          </w:p>
        </w:tc>
        <w:tc>
          <w:tcPr>
            <w:tcW w:w="5938" w:type="dxa"/>
            <w:gridSpan w:val="5"/>
            <w:shd w:val="solid" w:color="E2EFD9" w:fill="auto"/>
            <w:vAlign w:val="center"/>
          </w:tcPr>
          <w:p w14:paraId="2C590379">
            <w:pPr>
              <w:keepNext w:val="0"/>
              <w:keepLines w:val="0"/>
              <w:suppressLineNumbers w:val="0"/>
              <w:tabs>
                <w:tab w:val="left" w:pos="3685"/>
              </w:tabs>
              <w:spacing w:before="0" w:beforeAutospacing="0" w:after="0" w:afterAutospacing="0" w:line="300" w:lineRule="exact"/>
              <w:ind w:left="0" w:right="0"/>
              <w:jc w:val="left"/>
              <w:rPr>
                <w:rFonts w:hint="default" w:ascii="宋体" w:hAnsi="Times New Roman" w:eastAsia="宋体" w:cs="宋体"/>
                <w:color w:val="000000"/>
                <w:sz w:val="24"/>
                <w:szCs w:val="24"/>
              </w:rPr>
            </w:pPr>
          </w:p>
        </w:tc>
      </w:tr>
      <w:tr w14:paraId="03BAE3C9">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23" w:hRule="atLeast"/>
          <w:jc w:val="center"/>
        </w:trPr>
        <w:tc>
          <w:tcPr>
            <w:tcW w:w="652" w:type="dxa"/>
            <w:vMerge w:val="continue"/>
            <w:shd w:val="solid" w:color="E2EFD9" w:fill="auto"/>
            <w:vAlign w:val="center"/>
          </w:tcPr>
          <w:p w14:paraId="0DE169D2">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3643" w:type="dxa"/>
            <w:gridSpan w:val="3"/>
            <w:shd w:val="solid" w:color="E2EFD9" w:fill="auto"/>
            <w:vAlign w:val="center"/>
          </w:tcPr>
          <w:p w14:paraId="00AFD4F9">
            <w:pPr>
              <w:keepNext w:val="0"/>
              <w:keepLines w:val="0"/>
              <w:widowControl/>
              <w:suppressLineNumbers w:val="0"/>
              <w:spacing w:before="0" w:beforeAutospacing="0" w:after="0" w:afterAutospacing="0" w:line="300" w:lineRule="exact"/>
              <w:ind w:left="0" w:right="0"/>
              <w:jc w:val="left"/>
              <w:textAlignment w:val="center"/>
              <w:rPr>
                <w:rFonts w:hint="default" w:ascii="宋体" w:hAnsi="Times New Roman" w:eastAsia="宋体" w:cs="宋体"/>
                <w:color w:val="000000"/>
                <w:sz w:val="24"/>
                <w:szCs w:val="24"/>
              </w:rPr>
            </w:pPr>
            <w:r>
              <w:rPr>
                <w:rFonts w:hint="default" w:ascii="宋体" w:hAnsi="Times New Roman" w:eastAsia="宋体" w:cs="宋体"/>
                <w:color w:val="000000"/>
                <w:kern w:val="0"/>
                <w:sz w:val="24"/>
                <w:szCs w:val="24"/>
              </w:rPr>
              <w:t>项目起止年限</w:t>
            </w:r>
          </w:p>
        </w:tc>
        <w:tc>
          <w:tcPr>
            <w:tcW w:w="5938" w:type="dxa"/>
            <w:gridSpan w:val="5"/>
            <w:shd w:val="solid" w:color="E2EFD9" w:fill="auto"/>
            <w:vAlign w:val="center"/>
          </w:tcPr>
          <w:p w14:paraId="223FE8F9">
            <w:pPr>
              <w:keepNext w:val="0"/>
              <w:keepLines w:val="0"/>
              <w:suppressLineNumbers w:val="0"/>
              <w:spacing w:before="0" w:beforeAutospacing="0" w:after="0" w:afterAutospacing="0" w:line="300" w:lineRule="exact"/>
              <w:ind w:left="0" w:right="0"/>
              <w:rPr>
                <w:rFonts w:hint="default" w:ascii="宋体" w:hAnsi="Times New Roman" w:eastAsia="宋体" w:cs="宋体"/>
                <w:color w:val="000000"/>
                <w:sz w:val="24"/>
                <w:szCs w:val="24"/>
              </w:rPr>
            </w:pPr>
            <w:r>
              <w:rPr>
                <w:rFonts w:hint="eastAsia" w:ascii="宋体" w:hAnsi="Times New Roman" w:eastAsia="宋体" w:cs="宋体"/>
                <w:color w:val="000000"/>
                <w:sz w:val="24"/>
                <w:szCs w:val="24"/>
              </w:rPr>
              <w:t>202</w:t>
            </w:r>
            <w:r>
              <w:rPr>
                <w:rFonts w:hint="default" w:ascii="宋体" w:hAnsi="Times New Roman" w:eastAsia="宋体" w:cs="宋体"/>
                <w:color w:val="000000"/>
                <w:sz w:val="24"/>
                <w:szCs w:val="24"/>
              </w:rPr>
              <w:t>2</w:t>
            </w:r>
            <w:r>
              <w:rPr>
                <w:rFonts w:hint="eastAsia" w:ascii="宋体" w:hAnsi="Times New Roman" w:eastAsia="宋体" w:cs="宋体"/>
                <w:color w:val="000000"/>
                <w:sz w:val="24"/>
                <w:szCs w:val="24"/>
              </w:rPr>
              <w:t>年</w:t>
            </w:r>
            <w:r>
              <w:rPr>
                <w:rFonts w:hint="default" w:ascii="宋体" w:hAnsi="Times New Roman" w:eastAsia="宋体" w:cs="宋体"/>
                <w:color w:val="000000"/>
                <w:sz w:val="24"/>
                <w:szCs w:val="24"/>
              </w:rPr>
              <w:t>12</w:t>
            </w:r>
            <w:r>
              <w:rPr>
                <w:rFonts w:hint="eastAsia" w:ascii="宋体" w:hAnsi="Times New Roman" w:eastAsia="宋体" w:cs="宋体"/>
                <w:color w:val="000000"/>
                <w:sz w:val="24"/>
                <w:szCs w:val="24"/>
              </w:rPr>
              <w:t>月—2023年</w:t>
            </w:r>
            <w:r>
              <w:rPr>
                <w:rFonts w:hint="default" w:ascii="宋体" w:hAnsi="Times New Roman" w:eastAsia="宋体" w:cs="宋体"/>
                <w:color w:val="000000"/>
                <w:sz w:val="24"/>
                <w:szCs w:val="24"/>
              </w:rPr>
              <w:t>8</w:t>
            </w:r>
            <w:r>
              <w:rPr>
                <w:rFonts w:hint="eastAsia" w:ascii="宋体" w:hAnsi="Times New Roman" w:eastAsia="宋体" w:cs="宋体"/>
                <w:color w:val="000000"/>
                <w:sz w:val="24"/>
                <w:szCs w:val="24"/>
              </w:rPr>
              <w:t>月</w:t>
            </w:r>
          </w:p>
        </w:tc>
      </w:tr>
      <w:tr w14:paraId="497A6CCA">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23" w:hRule="atLeast"/>
          <w:jc w:val="center"/>
        </w:trPr>
        <w:tc>
          <w:tcPr>
            <w:tcW w:w="1733" w:type="dxa"/>
            <w:gridSpan w:val="2"/>
            <w:vMerge w:val="restart"/>
            <w:tcBorders>
              <w:bottom w:val="single" w:color="000000" w:sz="4" w:space="0"/>
            </w:tcBorders>
            <w:shd w:val="solid" w:color="E2EFD9" w:fill="auto"/>
            <w:vAlign w:val="center"/>
          </w:tcPr>
          <w:p w14:paraId="0248BE65">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color w:val="000000"/>
                <w:kern w:val="0"/>
                <w:sz w:val="24"/>
                <w:szCs w:val="24"/>
              </w:rPr>
            </w:pPr>
            <w:r>
              <w:rPr>
                <w:rFonts w:hint="default" w:ascii="宋体" w:hAnsi="Times New Roman" w:eastAsia="宋体" w:cs="宋体"/>
                <w:color w:val="000000"/>
                <w:kern w:val="0"/>
                <w:sz w:val="24"/>
                <w:szCs w:val="24"/>
              </w:rPr>
              <w:t>项目资金</w:t>
            </w:r>
          </w:p>
          <w:p w14:paraId="7F827879">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color w:val="000000"/>
                <w:sz w:val="24"/>
                <w:szCs w:val="24"/>
              </w:rPr>
            </w:pPr>
            <w:r>
              <w:rPr>
                <w:rFonts w:hint="default" w:ascii="宋体" w:hAnsi="Times New Roman" w:eastAsia="宋体" w:cs="宋体"/>
                <w:color w:val="000000"/>
                <w:kern w:val="0"/>
                <w:sz w:val="24"/>
                <w:szCs w:val="24"/>
              </w:rPr>
              <w:t>（万元）</w:t>
            </w:r>
          </w:p>
        </w:tc>
        <w:tc>
          <w:tcPr>
            <w:tcW w:w="2562" w:type="dxa"/>
            <w:gridSpan w:val="2"/>
            <w:vAlign w:val="center"/>
          </w:tcPr>
          <w:p w14:paraId="22127950">
            <w:pPr>
              <w:keepNext w:val="0"/>
              <w:keepLines w:val="0"/>
              <w:widowControl/>
              <w:suppressLineNumbers w:val="0"/>
              <w:spacing w:before="0" w:beforeAutospacing="0" w:after="0" w:afterAutospacing="0" w:line="300" w:lineRule="exact"/>
              <w:ind w:left="0" w:right="0"/>
              <w:jc w:val="left"/>
              <w:textAlignment w:val="center"/>
              <w:rPr>
                <w:rFonts w:hint="default" w:ascii="宋体" w:hAnsi="Times New Roman" w:eastAsia="宋体" w:cs="宋体"/>
                <w:color w:val="000000"/>
                <w:sz w:val="24"/>
                <w:szCs w:val="24"/>
              </w:rPr>
            </w:pPr>
            <w:r>
              <w:rPr>
                <w:rFonts w:hint="default" w:ascii="宋体" w:hAnsi="Times New Roman" w:eastAsia="宋体" w:cs="宋体"/>
                <w:color w:val="000000"/>
                <w:kern w:val="0"/>
                <w:sz w:val="24"/>
                <w:szCs w:val="24"/>
              </w:rPr>
              <w:t xml:space="preserve">  年度资金总额：</w:t>
            </w:r>
          </w:p>
        </w:tc>
        <w:tc>
          <w:tcPr>
            <w:tcW w:w="5938" w:type="dxa"/>
            <w:gridSpan w:val="5"/>
            <w:shd w:val="solid" w:color="E2EFD9" w:fill="auto"/>
            <w:vAlign w:val="center"/>
          </w:tcPr>
          <w:p w14:paraId="528EB343">
            <w:pPr>
              <w:keepNext w:val="0"/>
              <w:keepLines w:val="0"/>
              <w:suppressLineNumbers w:val="0"/>
              <w:spacing w:before="0" w:beforeAutospacing="0" w:after="0" w:afterAutospacing="0" w:line="300" w:lineRule="exact"/>
              <w:ind w:left="0" w:right="0"/>
              <w:jc w:val="left"/>
              <w:rPr>
                <w:rFonts w:hint="default" w:ascii="宋体" w:hAnsi="Times New Roman" w:eastAsia="宋体" w:cs="宋体"/>
                <w:color w:val="000000"/>
                <w:sz w:val="24"/>
                <w:szCs w:val="24"/>
              </w:rPr>
            </w:pPr>
            <w:r>
              <w:rPr>
                <w:rFonts w:hint="default" w:ascii="宋体" w:hAnsi="Times New Roman" w:eastAsia="宋体" w:cs="宋体"/>
                <w:color w:val="000000"/>
                <w:sz w:val="24"/>
                <w:szCs w:val="24"/>
              </w:rPr>
              <w:t>98</w:t>
            </w:r>
          </w:p>
        </w:tc>
      </w:tr>
      <w:tr w14:paraId="0F2FCFF3">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23" w:hRule="atLeast"/>
          <w:jc w:val="center"/>
        </w:trPr>
        <w:tc>
          <w:tcPr>
            <w:tcW w:w="1733" w:type="dxa"/>
            <w:gridSpan w:val="2"/>
            <w:vMerge w:val="continue"/>
            <w:shd w:val="solid" w:color="E2EFD9" w:fill="auto"/>
            <w:vAlign w:val="center"/>
          </w:tcPr>
          <w:p w14:paraId="324CBCC3">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2562" w:type="dxa"/>
            <w:gridSpan w:val="2"/>
            <w:shd w:val="solid" w:color="E2EFD9" w:fill="auto"/>
            <w:vAlign w:val="center"/>
          </w:tcPr>
          <w:p w14:paraId="43264C70">
            <w:pPr>
              <w:keepNext w:val="0"/>
              <w:keepLines w:val="0"/>
              <w:widowControl/>
              <w:suppressLineNumbers w:val="0"/>
              <w:spacing w:before="0" w:beforeAutospacing="0" w:after="0" w:afterAutospacing="0" w:line="300" w:lineRule="exact"/>
              <w:ind w:left="0" w:right="0"/>
              <w:jc w:val="left"/>
              <w:textAlignment w:val="center"/>
              <w:rPr>
                <w:rFonts w:hint="default" w:ascii="宋体" w:hAnsi="Times New Roman" w:eastAsia="宋体" w:cs="宋体"/>
                <w:color w:val="000000"/>
                <w:sz w:val="24"/>
                <w:szCs w:val="24"/>
              </w:rPr>
            </w:pPr>
            <w:r>
              <w:rPr>
                <w:rFonts w:hint="default" w:ascii="宋体" w:hAnsi="Times New Roman" w:eastAsia="宋体" w:cs="宋体"/>
                <w:color w:val="000000"/>
                <w:kern w:val="0"/>
                <w:sz w:val="24"/>
                <w:szCs w:val="24"/>
              </w:rPr>
              <w:t>其中：财政拨款</w:t>
            </w:r>
          </w:p>
        </w:tc>
        <w:tc>
          <w:tcPr>
            <w:tcW w:w="5938" w:type="dxa"/>
            <w:gridSpan w:val="5"/>
            <w:shd w:val="solid" w:color="E2EFD9" w:fill="auto"/>
            <w:vAlign w:val="center"/>
          </w:tcPr>
          <w:p w14:paraId="6A08F123">
            <w:pPr>
              <w:keepNext w:val="0"/>
              <w:keepLines w:val="0"/>
              <w:suppressLineNumbers w:val="0"/>
              <w:spacing w:before="0" w:beforeAutospacing="0" w:after="0" w:afterAutospacing="0" w:line="300" w:lineRule="exact"/>
              <w:ind w:left="0" w:right="0"/>
              <w:jc w:val="left"/>
              <w:rPr>
                <w:rFonts w:hint="default" w:ascii="宋体" w:hAnsi="Times New Roman" w:eastAsia="宋体" w:cs="宋体"/>
                <w:color w:val="000000"/>
                <w:sz w:val="24"/>
                <w:szCs w:val="24"/>
              </w:rPr>
            </w:pPr>
            <w:r>
              <w:rPr>
                <w:rFonts w:hint="default" w:ascii="宋体" w:hAnsi="Times New Roman" w:eastAsia="宋体" w:cs="宋体"/>
                <w:color w:val="000000"/>
                <w:sz w:val="24"/>
                <w:szCs w:val="24"/>
              </w:rPr>
              <w:t>98</w:t>
            </w:r>
          </w:p>
        </w:tc>
      </w:tr>
      <w:tr w14:paraId="3EAAAA3E">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23" w:hRule="atLeast"/>
          <w:jc w:val="center"/>
        </w:trPr>
        <w:tc>
          <w:tcPr>
            <w:tcW w:w="1733" w:type="dxa"/>
            <w:gridSpan w:val="2"/>
            <w:vMerge w:val="continue"/>
            <w:shd w:val="solid" w:color="E2EFD9" w:fill="auto"/>
            <w:vAlign w:val="center"/>
          </w:tcPr>
          <w:p w14:paraId="583CC0AF">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2562" w:type="dxa"/>
            <w:gridSpan w:val="2"/>
            <w:vAlign w:val="center"/>
          </w:tcPr>
          <w:p w14:paraId="38F5E0CA">
            <w:pPr>
              <w:keepNext w:val="0"/>
              <w:keepLines w:val="0"/>
              <w:widowControl/>
              <w:suppressLineNumbers w:val="0"/>
              <w:spacing w:before="0" w:beforeAutospacing="0" w:after="0" w:afterAutospacing="0" w:line="300" w:lineRule="exact"/>
              <w:ind w:left="0" w:right="0"/>
              <w:jc w:val="left"/>
              <w:textAlignment w:val="center"/>
              <w:rPr>
                <w:rFonts w:hint="default" w:ascii="宋体" w:hAnsi="Times New Roman" w:eastAsia="宋体" w:cs="宋体"/>
                <w:color w:val="000000"/>
                <w:sz w:val="24"/>
                <w:szCs w:val="24"/>
              </w:rPr>
            </w:pPr>
            <w:r>
              <w:rPr>
                <w:rFonts w:hint="default" w:ascii="宋体" w:hAnsi="Times New Roman" w:eastAsia="宋体" w:cs="宋体"/>
                <w:color w:val="000000"/>
                <w:kern w:val="0"/>
                <w:sz w:val="24"/>
                <w:szCs w:val="24"/>
              </w:rPr>
              <w:t xml:space="preserve">            其他资金</w:t>
            </w:r>
          </w:p>
        </w:tc>
        <w:tc>
          <w:tcPr>
            <w:tcW w:w="5938" w:type="dxa"/>
            <w:gridSpan w:val="5"/>
            <w:shd w:val="solid" w:color="E2EFD9" w:fill="auto"/>
            <w:vAlign w:val="center"/>
          </w:tcPr>
          <w:p w14:paraId="42F9F6CB">
            <w:pPr>
              <w:keepNext w:val="0"/>
              <w:keepLines w:val="0"/>
              <w:suppressLineNumbers w:val="0"/>
              <w:tabs>
                <w:tab w:val="left" w:pos="3685"/>
              </w:tabs>
              <w:spacing w:before="0" w:beforeAutospacing="0" w:after="0" w:afterAutospacing="0" w:line="300" w:lineRule="exact"/>
              <w:ind w:left="0" w:right="0"/>
              <w:jc w:val="right"/>
              <w:rPr>
                <w:rFonts w:hint="default" w:ascii="宋体" w:hAnsi="Times New Roman" w:eastAsia="宋体" w:cs="宋体"/>
                <w:color w:val="000000"/>
                <w:sz w:val="24"/>
                <w:szCs w:val="24"/>
              </w:rPr>
            </w:pPr>
          </w:p>
        </w:tc>
      </w:tr>
      <w:tr w14:paraId="3E1F8B57">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23" w:hRule="atLeast"/>
          <w:jc w:val="center"/>
        </w:trPr>
        <w:tc>
          <w:tcPr>
            <w:tcW w:w="652" w:type="dxa"/>
            <w:vMerge w:val="restart"/>
            <w:tcBorders>
              <w:bottom w:val="single" w:color="000000" w:sz="4" w:space="0"/>
            </w:tcBorders>
            <w:shd w:val="solid" w:color="E2EFD9" w:fill="auto"/>
            <w:vAlign w:val="center"/>
          </w:tcPr>
          <w:p w14:paraId="0A2A0C96">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color w:val="000000"/>
                <w:sz w:val="24"/>
                <w:szCs w:val="24"/>
              </w:rPr>
            </w:pPr>
            <w:r>
              <w:rPr>
                <w:rFonts w:hint="default" w:ascii="宋体" w:hAnsi="Times New Roman" w:eastAsia="宋体" w:cs="宋体"/>
                <w:color w:val="000000"/>
                <w:kern w:val="0"/>
                <w:sz w:val="24"/>
                <w:szCs w:val="24"/>
              </w:rPr>
              <w:t>总体 目标</w:t>
            </w:r>
          </w:p>
        </w:tc>
        <w:tc>
          <w:tcPr>
            <w:tcW w:w="9581" w:type="dxa"/>
            <w:gridSpan w:val="8"/>
            <w:shd w:val="solid" w:color="E2EFD9" w:fill="auto"/>
            <w:vAlign w:val="center"/>
          </w:tcPr>
          <w:p w14:paraId="2FE5DB5B">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color w:val="000000"/>
                <w:sz w:val="24"/>
                <w:szCs w:val="24"/>
              </w:rPr>
            </w:pPr>
            <w:r>
              <w:rPr>
                <w:rFonts w:hint="default" w:ascii="宋体" w:hAnsi="Times New Roman" w:eastAsia="宋体" w:cs="宋体"/>
                <w:color w:val="000000"/>
                <w:kern w:val="0"/>
                <w:sz w:val="24"/>
                <w:szCs w:val="24"/>
              </w:rPr>
              <w:t>年度目标</w:t>
            </w:r>
          </w:p>
        </w:tc>
      </w:tr>
      <w:tr w14:paraId="60924768">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23" w:hRule="atLeast"/>
          <w:jc w:val="center"/>
        </w:trPr>
        <w:tc>
          <w:tcPr>
            <w:tcW w:w="652" w:type="dxa"/>
            <w:vMerge w:val="continue"/>
            <w:shd w:val="solid" w:color="E2EFD9" w:fill="auto"/>
            <w:vAlign w:val="center"/>
          </w:tcPr>
          <w:p w14:paraId="27BC3D61">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9581" w:type="dxa"/>
            <w:gridSpan w:val="8"/>
            <w:vAlign w:val="center"/>
          </w:tcPr>
          <w:p w14:paraId="345B0118">
            <w:pPr>
              <w:keepNext w:val="0"/>
              <w:keepLines w:val="0"/>
              <w:suppressLineNumbers w:val="0"/>
              <w:spacing w:before="0" w:beforeAutospacing="0" w:after="0" w:afterAutospacing="0" w:line="300" w:lineRule="exact"/>
              <w:ind w:left="0" w:right="0"/>
              <w:rPr>
                <w:rFonts w:hint="default" w:ascii="宋体" w:hAnsi="Times New Roman" w:eastAsia="宋体" w:cs="宋体"/>
                <w:color w:val="000000"/>
                <w:sz w:val="24"/>
                <w:szCs w:val="24"/>
              </w:rPr>
            </w:pPr>
          </w:p>
        </w:tc>
      </w:tr>
      <w:tr w14:paraId="3855D7A2">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23" w:hRule="atLeast"/>
          <w:jc w:val="center"/>
        </w:trPr>
        <w:tc>
          <w:tcPr>
            <w:tcW w:w="652" w:type="dxa"/>
            <w:vMerge w:val="restart"/>
            <w:tcBorders>
              <w:bottom w:val="single" w:color="000000" w:sz="4" w:space="0"/>
            </w:tcBorders>
            <w:shd w:val="solid" w:color="E2EFD9" w:fill="auto"/>
            <w:vAlign w:val="center"/>
          </w:tcPr>
          <w:p w14:paraId="4A0F46AF">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color w:val="000000"/>
                <w:sz w:val="24"/>
                <w:szCs w:val="24"/>
              </w:rPr>
            </w:pPr>
            <w:r>
              <w:rPr>
                <w:rFonts w:hint="default" w:ascii="宋体" w:hAnsi="Times New Roman" w:eastAsia="宋体" w:cs="宋体"/>
                <w:color w:val="000000"/>
                <w:kern w:val="0"/>
                <w:sz w:val="24"/>
                <w:szCs w:val="24"/>
              </w:rPr>
              <w:t>绩效 指标</w:t>
            </w:r>
          </w:p>
        </w:tc>
        <w:tc>
          <w:tcPr>
            <w:tcW w:w="1081" w:type="dxa"/>
            <w:shd w:val="solid" w:color="E2EFD9" w:fill="auto"/>
            <w:vAlign w:val="center"/>
          </w:tcPr>
          <w:p w14:paraId="68B846C7">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color w:val="000000"/>
                <w:sz w:val="24"/>
                <w:szCs w:val="24"/>
              </w:rPr>
            </w:pPr>
            <w:r>
              <w:rPr>
                <w:rFonts w:hint="default" w:ascii="宋体" w:hAnsi="Times New Roman" w:eastAsia="宋体" w:cs="宋体"/>
                <w:color w:val="000000"/>
                <w:kern w:val="0"/>
                <w:sz w:val="24"/>
                <w:szCs w:val="24"/>
              </w:rPr>
              <w:t>一级指标</w:t>
            </w:r>
          </w:p>
        </w:tc>
        <w:tc>
          <w:tcPr>
            <w:tcW w:w="1250" w:type="dxa"/>
            <w:shd w:val="solid" w:color="E2EFD9" w:fill="auto"/>
            <w:vAlign w:val="center"/>
          </w:tcPr>
          <w:p w14:paraId="6EDB00B6">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color w:val="000000"/>
                <w:sz w:val="24"/>
                <w:szCs w:val="24"/>
              </w:rPr>
            </w:pPr>
            <w:r>
              <w:rPr>
                <w:rFonts w:hint="default" w:ascii="宋体" w:hAnsi="Times New Roman" w:eastAsia="宋体" w:cs="宋体"/>
                <w:color w:val="000000"/>
                <w:kern w:val="0"/>
                <w:sz w:val="24"/>
                <w:szCs w:val="24"/>
              </w:rPr>
              <w:t>二级指标</w:t>
            </w:r>
          </w:p>
        </w:tc>
        <w:tc>
          <w:tcPr>
            <w:tcW w:w="1312" w:type="dxa"/>
            <w:shd w:val="solid" w:color="E2EFD9" w:fill="auto"/>
            <w:vAlign w:val="center"/>
          </w:tcPr>
          <w:p w14:paraId="0B1EA404">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color w:val="000000"/>
                <w:sz w:val="24"/>
                <w:szCs w:val="24"/>
              </w:rPr>
            </w:pPr>
            <w:r>
              <w:rPr>
                <w:rFonts w:hint="default" w:ascii="宋体" w:hAnsi="Times New Roman" w:eastAsia="宋体" w:cs="宋体"/>
                <w:color w:val="000000"/>
                <w:kern w:val="0"/>
                <w:sz w:val="24"/>
                <w:szCs w:val="24"/>
              </w:rPr>
              <w:t>三级指标</w:t>
            </w:r>
          </w:p>
        </w:tc>
        <w:tc>
          <w:tcPr>
            <w:tcW w:w="1127" w:type="dxa"/>
            <w:shd w:val="solid" w:color="E2EFD9" w:fill="auto"/>
            <w:vAlign w:val="center"/>
          </w:tcPr>
          <w:p w14:paraId="40252147">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color w:val="000000"/>
                <w:sz w:val="24"/>
                <w:szCs w:val="24"/>
              </w:rPr>
            </w:pPr>
            <w:r>
              <w:rPr>
                <w:rFonts w:hint="default" w:ascii="宋体" w:hAnsi="Times New Roman" w:eastAsia="宋体" w:cs="宋体"/>
                <w:color w:val="000000"/>
                <w:kern w:val="0"/>
                <w:sz w:val="24"/>
                <w:szCs w:val="24"/>
              </w:rPr>
              <w:t>指标性质</w:t>
            </w:r>
          </w:p>
        </w:tc>
        <w:tc>
          <w:tcPr>
            <w:tcW w:w="971" w:type="dxa"/>
            <w:shd w:val="solid" w:color="E2EFD9" w:fill="auto"/>
            <w:vAlign w:val="center"/>
          </w:tcPr>
          <w:p w14:paraId="723BF972">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color w:val="000000"/>
                <w:sz w:val="24"/>
                <w:szCs w:val="24"/>
              </w:rPr>
            </w:pPr>
            <w:r>
              <w:rPr>
                <w:rFonts w:hint="default" w:ascii="宋体" w:hAnsi="Times New Roman" w:eastAsia="宋体" w:cs="宋体"/>
                <w:color w:val="000000"/>
                <w:kern w:val="0"/>
                <w:sz w:val="24"/>
                <w:szCs w:val="24"/>
              </w:rPr>
              <w:t>指标值</w:t>
            </w:r>
          </w:p>
        </w:tc>
        <w:tc>
          <w:tcPr>
            <w:tcW w:w="1061" w:type="dxa"/>
            <w:shd w:val="solid" w:color="E2EFD9" w:fill="auto"/>
            <w:vAlign w:val="center"/>
          </w:tcPr>
          <w:p w14:paraId="06495481">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color w:val="000000"/>
                <w:sz w:val="24"/>
                <w:szCs w:val="24"/>
              </w:rPr>
            </w:pPr>
            <w:r>
              <w:rPr>
                <w:rFonts w:hint="default" w:ascii="宋体" w:hAnsi="Times New Roman" w:eastAsia="宋体" w:cs="宋体"/>
                <w:color w:val="000000"/>
                <w:kern w:val="0"/>
                <w:sz w:val="24"/>
                <w:szCs w:val="24"/>
              </w:rPr>
              <w:t>度量单位</w:t>
            </w:r>
          </w:p>
        </w:tc>
        <w:tc>
          <w:tcPr>
            <w:tcW w:w="938" w:type="dxa"/>
            <w:shd w:val="solid" w:color="E2EFD9" w:fill="auto"/>
            <w:vAlign w:val="center"/>
          </w:tcPr>
          <w:p w14:paraId="6DB414A5">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color w:val="000000"/>
                <w:sz w:val="24"/>
                <w:szCs w:val="24"/>
              </w:rPr>
            </w:pPr>
            <w:r>
              <w:rPr>
                <w:rFonts w:hint="default" w:ascii="宋体" w:hAnsi="Times New Roman" w:eastAsia="宋体" w:cs="宋体"/>
                <w:color w:val="000000"/>
                <w:kern w:val="0"/>
                <w:sz w:val="24"/>
                <w:szCs w:val="24"/>
              </w:rPr>
              <w:t>权重</w:t>
            </w:r>
          </w:p>
        </w:tc>
        <w:tc>
          <w:tcPr>
            <w:tcW w:w="1841" w:type="dxa"/>
            <w:shd w:val="solid" w:color="E2EFD9" w:fill="auto"/>
            <w:vAlign w:val="center"/>
          </w:tcPr>
          <w:p w14:paraId="6555D925">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color w:val="000000"/>
                <w:sz w:val="24"/>
                <w:szCs w:val="24"/>
              </w:rPr>
            </w:pPr>
            <w:r>
              <w:rPr>
                <w:rFonts w:hint="default" w:ascii="宋体" w:hAnsi="Times New Roman" w:eastAsia="宋体" w:cs="宋体"/>
                <w:color w:val="000000"/>
                <w:kern w:val="0"/>
                <w:sz w:val="24"/>
                <w:szCs w:val="24"/>
              </w:rPr>
              <w:t>实际完成指标值</w:t>
            </w:r>
          </w:p>
        </w:tc>
      </w:tr>
      <w:tr w14:paraId="221B2792">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23" w:hRule="atLeast"/>
          <w:jc w:val="center"/>
        </w:trPr>
        <w:tc>
          <w:tcPr>
            <w:tcW w:w="652" w:type="dxa"/>
            <w:vMerge w:val="continue"/>
            <w:shd w:val="solid" w:color="E2EFD9" w:fill="auto"/>
            <w:vAlign w:val="center"/>
          </w:tcPr>
          <w:p w14:paraId="6640AAEB">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081" w:type="dxa"/>
            <w:vMerge w:val="restart"/>
            <w:tcBorders>
              <w:bottom w:val="single" w:color="000000" w:sz="4" w:space="0"/>
            </w:tcBorders>
            <w:vAlign w:val="center"/>
          </w:tcPr>
          <w:p w14:paraId="0788A95A">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color w:val="000000"/>
                <w:sz w:val="24"/>
                <w:szCs w:val="24"/>
              </w:rPr>
            </w:pPr>
            <w:r>
              <w:rPr>
                <w:rFonts w:hint="default" w:ascii="宋体" w:hAnsi="Times New Roman" w:eastAsia="宋体" w:cs="宋体"/>
                <w:color w:val="000000"/>
                <w:kern w:val="0"/>
                <w:sz w:val="24"/>
                <w:szCs w:val="24"/>
              </w:rPr>
              <w:t>产出指标</w:t>
            </w:r>
          </w:p>
        </w:tc>
        <w:tc>
          <w:tcPr>
            <w:tcW w:w="1250" w:type="dxa"/>
            <w:vMerge w:val="restart"/>
            <w:tcBorders>
              <w:bottom w:val="single" w:color="000000" w:sz="4" w:space="0"/>
            </w:tcBorders>
            <w:shd w:val="solid" w:color="E2EFD9" w:fill="auto"/>
            <w:vAlign w:val="center"/>
          </w:tcPr>
          <w:p w14:paraId="558375F5">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color w:val="000000"/>
                <w:sz w:val="24"/>
                <w:szCs w:val="24"/>
              </w:rPr>
            </w:pPr>
            <w:r>
              <w:rPr>
                <w:rFonts w:hint="default" w:ascii="宋体" w:hAnsi="Times New Roman" w:eastAsia="宋体" w:cs="宋体"/>
                <w:color w:val="000000"/>
                <w:kern w:val="0"/>
                <w:sz w:val="24"/>
                <w:szCs w:val="24"/>
              </w:rPr>
              <w:t>数量指标</w:t>
            </w:r>
          </w:p>
        </w:tc>
        <w:tc>
          <w:tcPr>
            <w:tcW w:w="1312" w:type="dxa"/>
            <w:vAlign w:val="center"/>
          </w:tcPr>
          <w:p w14:paraId="677EB62A">
            <w:pPr>
              <w:keepNext w:val="0"/>
              <w:keepLines w:val="0"/>
              <w:suppressLineNumbers w:val="0"/>
              <w:spacing w:before="0" w:beforeAutospacing="0" w:after="0" w:afterAutospacing="0"/>
              <w:ind w:left="0" w:right="0"/>
              <w:rPr>
                <w:rFonts w:hint="default" w:ascii="宋体" w:hAnsi="Times New Roman" w:eastAsia="宋体" w:cs="Lucida Sans"/>
                <w:color w:val="000000"/>
                <w:sz w:val="18"/>
                <w:szCs w:val="32"/>
              </w:rPr>
            </w:pPr>
            <w:r>
              <w:rPr>
                <w:rFonts w:hint="default" w:ascii="宋体" w:hAnsi="Times New Roman" w:eastAsia="宋体" w:cs="Lucida Sans"/>
                <w:color w:val="000000"/>
                <w:sz w:val="18"/>
                <w:szCs w:val="32"/>
              </w:rPr>
              <w:t>指标1：指导完成广元市创建全国社会信用体系建设示范区，在国家级新闻网站及信用专业网站宣传广元信用建设重要事项</w:t>
            </w:r>
          </w:p>
        </w:tc>
        <w:tc>
          <w:tcPr>
            <w:tcW w:w="1127" w:type="dxa"/>
            <w:shd w:val="solid" w:color="E2EFD9" w:fill="auto"/>
            <w:vAlign w:val="center"/>
          </w:tcPr>
          <w:p w14:paraId="0CB161AC">
            <w:pPr>
              <w:keepNext w:val="0"/>
              <w:keepLines w:val="0"/>
              <w:suppressLineNumbers w:val="0"/>
              <w:spacing w:before="0" w:beforeAutospacing="0" w:after="0" w:afterAutospacing="0"/>
              <w:ind w:left="0" w:right="0"/>
              <w:rPr>
                <w:rFonts w:hint="default" w:ascii="宋体" w:hAnsi="Times New Roman" w:eastAsia="宋体" w:cs="Lucida Sans"/>
                <w:color w:val="000000"/>
                <w:sz w:val="18"/>
                <w:szCs w:val="32"/>
              </w:rPr>
            </w:pPr>
            <w:r>
              <w:rPr>
                <w:rFonts w:hint="default" w:ascii="宋体" w:hAnsi="Times New Roman" w:eastAsia="宋体" w:cs="Lucida Sans"/>
                <w:color w:val="000000"/>
                <w:sz w:val="18"/>
                <w:szCs w:val="32"/>
              </w:rPr>
              <w:t>≥</w:t>
            </w:r>
          </w:p>
        </w:tc>
        <w:tc>
          <w:tcPr>
            <w:tcW w:w="971" w:type="dxa"/>
            <w:vAlign w:val="center"/>
          </w:tcPr>
          <w:p w14:paraId="5CED7F75">
            <w:pPr>
              <w:keepNext w:val="0"/>
              <w:keepLines w:val="0"/>
              <w:suppressLineNumbers w:val="0"/>
              <w:spacing w:before="0" w:beforeAutospacing="0" w:after="0" w:afterAutospacing="0"/>
              <w:ind w:left="0" w:right="0"/>
              <w:rPr>
                <w:rFonts w:hint="default" w:ascii="宋体" w:hAnsi="Times New Roman" w:eastAsia="宋体" w:cs="Lucida Sans"/>
                <w:color w:val="000000"/>
                <w:sz w:val="18"/>
                <w:szCs w:val="32"/>
              </w:rPr>
            </w:pPr>
            <w:r>
              <w:rPr>
                <w:rFonts w:hint="default" w:ascii="宋体" w:hAnsi="Times New Roman" w:eastAsia="宋体" w:cs="Lucida Sans"/>
                <w:color w:val="000000"/>
                <w:sz w:val="18"/>
                <w:szCs w:val="32"/>
              </w:rPr>
              <w:t>2</w:t>
            </w:r>
          </w:p>
        </w:tc>
        <w:tc>
          <w:tcPr>
            <w:tcW w:w="1061" w:type="dxa"/>
            <w:shd w:val="solid" w:color="E2EFD9" w:fill="auto"/>
            <w:vAlign w:val="center"/>
          </w:tcPr>
          <w:p w14:paraId="78AD42B5">
            <w:pPr>
              <w:keepNext w:val="0"/>
              <w:keepLines w:val="0"/>
              <w:suppressLineNumbers w:val="0"/>
              <w:spacing w:before="0" w:beforeAutospacing="0" w:after="0" w:afterAutospacing="0"/>
              <w:ind w:left="0" w:right="0"/>
              <w:rPr>
                <w:rFonts w:hint="default" w:ascii="宋体" w:hAnsi="Times New Roman" w:eastAsia="宋体" w:cs="Lucida Sans"/>
                <w:color w:val="000000"/>
                <w:sz w:val="18"/>
                <w:szCs w:val="32"/>
              </w:rPr>
            </w:pPr>
            <w:r>
              <w:rPr>
                <w:rFonts w:hint="default" w:ascii="宋体" w:hAnsi="Times New Roman" w:eastAsia="宋体" w:cs="Lucida Sans"/>
                <w:color w:val="000000"/>
                <w:sz w:val="18"/>
                <w:szCs w:val="32"/>
              </w:rPr>
              <w:t>篇</w:t>
            </w:r>
          </w:p>
        </w:tc>
        <w:tc>
          <w:tcPr>
            <w:tcW w:w="938" w:type="dxa"/>
            <w:vAlign w:val="center"/>
          </w:tcPr>
          <w:p w14:paraId="15759B6B">
            <w:pPr>
              <w:keepNext w:val="0"/>
              <w:keepLines w:val="0"/>
              <w:suppressLineNumbers w:val="0"/>
              <w:spacing w:before="0" w:beforeAutospacing="0" w:after="0" w:afterAutospacing="0"/>
              <w:ind w:left="0" w:right="0"/>
              <w:jc w:val="center"/>
              <w:rPr>
                <w:rFonts w:hint="default" w:ascii="宋体" w:hAnsi="Times New Roman" w:eastAsia="宋体" w:cs="Lucida Sans"/>
                <w:color w:val="000000"/>
                <w:sz w:val="18"/>
                <w:szCs w:val="32"/>
              </w:rPr>
            </w:pPr>
            <w:r>
              <w:rPr>
                <w:rFonts w:hint="default" w:ascii="宋体" w:hAnsi="Times New Roman" w:eastAsia="宋体" w:cs="Lucida Sans"/>
                <w:color w:val="000000"/>
                <w:sz w:val="18"/>
                <w:szCs w:val="32"/>
              </w:rPr>
              <w:t>10</w:t>
            </w:r>
          </w:p>
        </w:tc>
        <w:tc>
          <w:tcPr>
            <w:tcW w:w="1841" w:type="dxa"/>
            <w:shd w:val="solid" w:color="E2EFD9" w:fill="auto"/>
            <w:vAlign w:val="center"/>
          </w:tcPr>
          <w:p w14:paraId="2D3E5A59">
            <w:pPr>
              <w:keepNext w:val="0"/>
              <w:keepLines w:val="0"/>
              <w:suppressLineNumbers w:val="0"/>
              <w:spacing w:before="0" w:beforeAutospacing="0" w:after="0" w:afterAutospacing="0"/>
              <w:ind w:left="0" w:right="0"/>
              <w:jc w:val="center"/>
              <w:rPr>
                <w:rFonts w:hint="default" w:ascii="黑体" w:hAnsi="Times New Roman" w:eastAsia="黑体" w:cs="Lucida Sans"/>
                <w:color w:val="000000"/>
                <w:sz w:val="18"/>
                <w:szCs w:val="32"/>
              </w:rPr>
            </w:pPr>
            <w:r>
              <w:rPr>
                <w:rFonts w:hint="default" w:ascii="黑体" w:hAnsi="Times New Roman" w:eastAsia="黑体" w:cs="Lucida Sans"/>
                <w:color w:val="000000"/>
                <w:sz w:val="18"/>
                <w:szCs w:val="32"/>
              </w:rPr>
              <w:t>10</w:t>
            </w:r>
          </w:p>
        </w:tc>
      </w:tr>
      <w:tr w14:paraId="3F435803">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23" w:hRule="atLeast"/>
          <w:jc w:val="center"/>
        </w:trPr>
        <w:tc>
          <w:tcPr>
            <w:tcW w:w="652" w:type="dxa"/>
            <w:vMerge w:val="continue"/>
            <w:shd w:val="solid" w:color="E2EFD9" w:fill="auto"/>
            <w:vAlign w:val="center"/>
          </w:tcPr>
          <w:p w14:paraId="52713443">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081" w:type="dxa"/>
            <w:vMerge w:val="continue"/>
            <w:shd w:val="solid" w:color="E2EFD9" w:fill="auto"/>
            <w:vAlign w:val="center"/>
          </w:tcPr>
          <w:p w14:paraId="259CCB37">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250" w:type="dxa"/>
            <w:vMerge w:val="continue"/>
            <w:shd w:val="solid" w:color="E2EFD9" w:fill="auto"/>
            <w:vAlign w:val="center"/>
          </w:tcPr>
          <w:p w14:paraId="2713D5B8">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312" w:type="dxa"/>
            <w:shd w:val="solid" w:color="E2EFD9" w:fill="auto"/>
            <w:vAlign w:val="center"/>
          </w:tcPr>
          <w:p w14:paraId="7C21B713">
            <w:pPr>
              <w:keepNext w:val="0"/>
              <w:keepLines w:val="0"/>
              <w:suppressLineNumbers w:val="0"/>
              <w:spacing w:before="0" w:beforeAutospacing="0" w:after="0" w:afterAutospacing="0"/>
              <w:ind w:left="0" w:right="0"/>
              <w:rPr>
                <w:rFonts w:hint="default" w:ascii="宋体" w:hAnsi="Times New Roman" w:eastAsia="宋体" w:cs="Lucida Sans"/>
                <w:color w:val="000000"/>
                <w:sz w:val="18"/>
                <w:szCs w:val="32"/>
              </w:rPr>
            </w:pPr>
            <w:r>
              <w:rPr>
                <w:rFonts w:hint="default" w:ascii="宋体" w:hAnsi="Times New Roman" w:eastAsia="宋体" w:cs="Lucida Sans"/>
                <w:color w:val="000000"/>
                <w:sz w:val="18"/>
                <w:szCs w:val="32"/>
              </w:rPr>
              <w:t>指标3：指导并完成合同履约监管系统搭建</w:t>
            </w:r>
          </w:p>
        </w:tc>
        <w:tc>
          <w:tcPr>
            <w:tcW w:w="1127" w:type="dxa"/>
            <w:shd w:val="solid" w:color="E2EFD9" w:fill="auto"/>
            <w:vAlign w:val="center"/>
          </w:tcPr>
          <w:p w14:paraId="54B8C5BE">
            <w:pPr>
              <w:keepNext w:val="0"/>
              <w:keepLines w:val="0"/>
              <w:suppressLineNumbers w:val="0"/>
              <w:spacing w:before="0" w:beforeAutospacing="0" w:after="0" w:afterAutospacing="0"/>
              <w:ind w:left="0" w:right="0"/>
              <w:rPr>
                <w:rFonts w:hint="default" w:ascii="宋体" w:hAnsi="Times New Roman" w:eastAsia="宋体" w:cs="Lucida Sans"/>
                <w:color w:val="000000"/>
                <w:sz w:val="18"/>
                <w:szCs w:val="32"/>
              </w:rPr>
            </w:pPr>
            <w:r>
              <w:rPr>
                <w:rFonts w:hint="default" w:ascii="宋体" w:hAnsi="Times New Roman" w:eastAsia="宋体" w:cs="Lucida Sans"/>
                <w:color w:val="000000"/>
                <w:sz w:val="18"/>
                <w:szCs w:val="32"/>
              </w:rPr>
              <w:t>＝</w:t>
            </w:r>
          </w:p>
        </w:tc>
        <w:tc>
          <w:tcPr>
            <w:tcW w:w="971" w:type="dxa"/>
            <w:shd w:val="solid" w:color="E2EFD9" w:fill="auto"/>
            <w:vAlign w:val="center"/>
          </w:tcPr>
          <w:p w14:paraId="3A2C36CB">
            <w:pPr>
              <w:keepNext w:val="0"/>
              <w:keepLines w:val="0"/>
              <w:suppressLineNumbers w:val="0"/>
              <w:spacing w:before="0" w:beforeAutospacing="0" w:after="0" w:afterAutospacing="0"/>
              <w:ind w:left="0" w:right="0"/>
              <w:rPr>
                <w:rFonts w:hint="default" w:ascii="宋体" w:hAnsi="Times New Roman" w:eastAsia="宋体" w:cs="Lucida Sans"/>
                <w:color w:val="000000"/>
                <w:sz w:val="18"/>
                <w:szCs w:val="32"/>
              </w:rPr>
            </w:pPr>
            <w:r>
              <w:rPr>
                <w:rFonts w:hint="default" w:ascii="宋体" w:hAnsi="Times New Roman" w:eastAsia="宋体" w:cs="Lucida Sans"/>
                <w:color w:val="000000"/>
                <w:sz w:val="18"/>
                <w:szCs w:val="32"/>
              </w:rPr>
              <w:t>1</w:t>
            </w:r>
          </w:p>
        </w:tc>
        <w:tc>
          <w:tcPr>
            <w:tcW w:w="1061" w:type="dxa"/>
            <w:shd w:val="solid" w:color="E2EFD9" w:fill="auto"/>
            <w:vAlign w:val="center"/>
          </w:tcPr>
          <w:p w14:paraId="3FA22377">
            <w:pPr>
              <w:keepNext w:val="0"/>
              <w:keepLines w:val="0"/>
              <w:suppressLineNumbers w:val="0"/>
              <w:spacing w:before="0" w:beforeAutospacing="0" w:after="0" w:afterAutospacing="0"/>
              <w:ind w:left="0" w:right="0"/>
              <w:rPr>
                <w:rFonts w:hint="default" w:ascii="宋体" w:hAnsi="Times New Roman" w:eastAsia="宋体" w:cs="Lucida Sans"/>
                <w:color w:val="000000"/>
                <w:sz w:val="18"/>
                <w:szCs w:val="32"/>
              </w:rPr>
            </w:pPr>
            <w:r>
              <w:rPr>
                <w:rFonts w:hint="default" w:ascii="宋体" w:hAnsi="Times New Roman" w:eastAsia="宋体" w:cs="Lucida Sans"/>
                <w:color w:val="000000"/>
                <w:sz w:val="18"/>
                <w:szCs w:val="32"/>
              </w:rPr>
              <w:t>套</w:t>
            </w:r>
          </w:p>
        </w:tc>
        <w:tc>
          <w:tcPr>
            <w:tcW w:w="938" w:type="dxa"/>
            <w:shd w:val="solid" w:color="E2EFD9" w:fill="auto"/>
            <w:vAlign w:val="center"/>
          </w:tcPr>
          <w:p w14:paraId="1E09CCF1">
            <w:pPr>
              <w:keepNext w:val="0"/>
              <w:keepLines w:val="0"/>
              <w:suppressLineNumbers w:val="0"/>
              <w:spacing w:before="0" w:beforeAutospacing="0" w:after="0" w:afterAutospacing="0"/>
              <w:ind w:left="0" w:right="0"/>
              <w:jc w:val="center"/>
              <w:rPr>
                <w:rFonts w:hint="default" w:ascii="宋体" w:hAnsi="Times New Roman" w:eastAsia="宋体" w:cs="Lucida Sans"/>
                <w:color w:val="000000"/>
                <w:sz w:val="18"/>
                <w:szCs w:val="32"/>
              </w:rPr>
            </w:pPr>
            <w:r>
              <w:rPr>
                <w:rFonts w:hint="default" w:ascii="宋体" w:hAnsi="Times New Roman" w:eastAsia="宋体" w:cs="Lucida Sans"/>
                <w:color w:val="000000"/>
                <w:sz w:val="18"/>
                <w:szCs w:val="32"/>
              </w:rPr>
              <w:t>10</w:t>
            </w:r>
          </w:p>
        </w:tc>
        <w:tc>
          <w:tcPr>
            <w:tcW w:w="1841" w:type="dxa"/>
            <w:shd w:val="solid" w:color="E2EFD9" w:fill="auto"/>
            <w:vAlign w:val="center"/>
          </w:tcPr>
          <w:p w14:paraId="2E5FCAB3">
            <w:pPr>
              <w:keepNext w:val="0"/>
              <w:keepLines w:val="0"/>
              <w:suppressLineNumbers w:val="0"/>
              <w:spacing w:before="0" w:beforeAutospacing="0" w:after="0" w:afterAutospacing="0"/>
              <w:ind w:left="0" w:right="0"/>
              <w:jc w:val="center"/>
              <w:rPr>
                <w:rFonts w:hint="default" w:ascii="黑体" w:hAnsi="Times New Roman" w:eastAsia="黑体" w:cs="Lucida Sans"/>
                <w:color w:val="000000"/>
                <w:sz w:val="18"/>
                <w:szCs w:val="32"/>
              </w:rPr>
            </w:pPr>
            <w:r>
              <w:rPr>
                <w:rFonts w:hint="default" w:ascii="黑体" w:hAnsi="Times New Roman" w:eastAsia="黑体" w:cs="Lucida Sans"/>
                <w:color w:val="000000"/>
                <w:sz w:val="18"/>
                <w:szCs w:val="32"/>
              </w:rPr>
              <w:t>10</w:t>
            </w:r>
          </w:p>
        </w:tc>
      </w:tr>
      <w:tr w14:paraId="7CB39123">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23" w:hRule="atLeast"/>
          <w:jc w:val="center"/>
        </w:trPr>
        <w:tc>
          <w:tcPr>
            <w:tcW w:w="652" w:type="dxa"/>
            <w:vMerge w:val="continue"/>
            <w:shd w:val="solid" w:color="E2EFD9" w:fill="auto"/>
            <w:vAlign w:val="center"/>
          </w:tcPr>
          <w:p w14:paraId="46A88286">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081" w:type="dxa"/>
            <w:vMerge w:val="continue"/>
            <w:vAlign w:val="center"/>
          </w:tcPr>
          <w:p w14:paraId="37DE3250">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250" w:type="dxa"/>
            <w:vMerge w:val="continue"/>
            <w:shd w:val="solid" w:color="E2EFD9" w:fill="auto"/>
            <w:vAlign w:val="center"/>
          </w:tcPr>
          <w:p w14:paraId="0DD06AC8">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312" w:type="dxa"/>
            <w:vAlign w:val="center"/>
          </w:tcPr>
          <w:p w14:paraId="367444A0">
            <w:pPr>
              <w:keepNext w:val="0"/>
              <w:keepLines w:val="0"/>
              <w:suppressLineNumbers w:val="0"/>
              <w:spacing w:before="0" w:beforeAutospacing="0" w:after="0" w:afterAutospacing="0"/>
              <w:ind w:left="0" w:right="0"/>
              <w:rPr>
                <w:rFonts w:hint="default" w:ascii="宋体" w:hAnsi="Times New Roman" w:eastAsia="宋体" w:cs="Lucida Sans"/>
                <w:color w:val="000000"/>
                <w:sz w:val="18"/>
                <w:szCs w:val="32"/>
              </w:rPr>
            </w:pPr>
            <w:r>
              <w:rPr>
                <w:rFonts w:hint="default" w:ascii="宋体" w:hAnsi="Times New Roman" w:eastAsia="宋体" w:cs="Lucida Sans"/>
                <w:color w:val="000000"/>
                <w:sz w:val="18"/>
                <w:szCs w:val="32"/>
              </w:rPr>
              <w:t>指标2：提升广元市社会信用体系城市信用监测指标排名</w:t>
            </w:r>
          </w:p>
        </w:tc>
        <w:tc>
          <w:tcPr>
            <w:tcW w:w="1127" w:type="dxa"/>
            <w:shd w:val="solid" w:color="E2EFD9" w:fill="auto"/>
            <w:vAlign w:val="center"/>
          </w:tcPr>
          <w:p w14:paraId="77750EAD">
            <w:pPr>
              <w:keepNext w:val="0"/>
              <w:keepLines w:val="0"/>
              <w:suppressLineNumbers w:val="0"/>
              <w:spacing w:before="0" w:beforeAutospacing="0" w:after="0" w:afterAutospacing="0"/>
              <w:ind w:left="0" w:right="0"/>
              <w:rPr>
                <w:rFonts w:hint="default" w:ascii="宋体" w:hAnsi="Times New Roman" w:eastAsia="宋体" w:cs="Lucida Sans"/>
                <w:color w:val="000000"/>
                <w:sz w:val="18"/>
                <w:szCs w:val="32"/>
              </w:rPr>
            </w:pPr>
            <w:r>
              <w:rPr>
                <w:rFonts w:hint="default" w:ascii="宋体" w:hAnsi="Times New Roman" w:eastAsia="宋体" w:cs="Lucida Sans"/>
                <w:color w:val="000000"/>
                <w:sz w:val="18"/>
                <w:szCs w:val="32"/>
              </w:rPr>
              <w:t>≤</w:t>
            </w:r>
          </w:p>
        </w:tc>
        <w:tc>
          <w:tcPr>
            <w:tcW w:w="971" w:type="dxa"/>
            <w:vAlign w:val="center"/>
          </w:tcPr>
          <w:p w14:paraId="4371E610">
            <w:pPr>
              <w:keepNext w:val="0"/>
              <w:keepLines w:val="0"/>
              <w:suppressLineNumbers w:val="0"/>
              <w:spacing w:before="0" w:beforeAutospacing="0" w:after="0" w:afterAutospacing="0"/>
              <w:ind w:left="0" w:right="0"/>
              <w:rPr>
                <w:rFonts w:hint="default" w:ascii="宋体" w:hAnsi="Times New Roman" w:eastAsia="宋体" w:cs="Lucida Sans"/>
                <w:color w:val="000000"/>
                <w:sz w:val="18"/>
                <w:szCs w:val="32"/>
              </w:rPr>
            </w:pPr>
            <w:r>
              <w:rPr>
                <w:rFonts w:hint="default" w:ascii="宋体" w:hAnsi="Times New Roman" w:eastAsia="宋体" w:cs="Lucida Sans"/>
                <w:color w:val="000000"/>
                <w:sz w:val="18"/>
                <w:szCs w:val="32"/>
              </w:rPr>
              <w:t>70</w:t>
            </w:r>
          </w:p>
        </w:tc>
        <w:tc>
          <w:tcPr>
            <w:tcW w:w="1061" w:type="dxa"/>
            <w:shd w:val="solid" w:color="E2EFD9" w:fill="auto"/>
            <w:vAlign w:val="center"/>
          </w:tcPr>
          <w:p w14:paraId="4DD40C90">
            <w:pPr>
              <w:keepNext w:val="0"/>
              <w:keepLines w:val="0"/>
              <w:suppressLineNumbers w:val="0"/>
              <w:spacing w:before="0" w:beforeAutospacing="0" w:after="0" w:afterAutospacing="0"/>
              <w:ind w:left="0" w:right="0"/>
              <w:rPr>
                <w:rFonts w:hint="default" w:ascii="宋体" w:hAnsi="Times New Roman" w:eastAsia="宋体" w:cs="Lucida Sans"/>
                <w:color w:val="000000"/>
                <w:sz w:val="18"/>
                <w:szCs w:val="32"/>
              </w:rPr>
            </w:pPr>
            <w:r>
              <w:rPr>
                <w:rFonts w:hint="default" w:ascii="宋体" w:hAnsi="Times New Roman" w:eastAsia="宋体" w:cs="Lucida Sans"/>
                <w:color w:val="000000"/>
                <w:sz w:val="18"/>
                <w:szCs w:val="32"/>
              </w:rPr>
              <w:t>名</w:t>
            </w:r>
          </w:p>
        </w:tc>
        <w:tc>
          <w:tcPr>
            <w:tcW w:w="938" w:type="dxa"/>
            <w:vAlign w:val="center"/>
          </w:tcPr>
          <w:p w14:paraId="3FDDED81">
            <w:pPr>
              <w:keepNext w:val="0"/>
              <w:keepLines w:val="0"/>
              <w:suppressLineNumbers w:val="0"/>
              <w:spacing w:before="0" w:beforeAutospacing="0" w:after="0" w:afterAutospacing="0"/>
              <w:ind w:left="0" w:right="0"/>
              <w:jc w:val="center"/>
              <w:rPr>
                <w:rFonts w:hint="default" w:ascii="宋体" w:hAnsi="Times New Roman" w:eastAsia="宋体" w:cs="Lucida Sans"/>
                <w:color w:val="000000"/>
                <w:sz w:val="18"/>
                <w:szCs w:val="32"/>
              </w:rPr>
            </w:pPr>
            <w:r>
              <w:rPr>
                <w:rFonts w:hint="default" w:ascii="宋体" w:hAnsi="Times New Roman" w:eastAsia="宋体" w:cs="Lucida Sans"/>
                <w:color w:val="000000"/>
                <w:sz w:val="18"/>
                <w:szCs w:val="32"/>
              </w:rPr>
              <w:t>10</w:t>
            </w:r>
          </w:p>
        </w:tc>
        <w:tc>
          <w:tcPr>
            <w:tcW w:w="1841" w:type="dxa"/>
            <w:shd w:val="solid" w:color="E2EFD9" w:fill="auto"/>
            <w:vAlign w:val="center"/>
          </w:tcPr>
          <w:p w14:paraId="7E30D037">
            <w:pPr>
              <w:keepNext w:val="0"/>
              <w:keepLines w:val="0"/>
              <w:suppressLineNumbers w:val="0"/>
              <w:spacing w:before="0" w:beforeAutospacing="0" w:after="0" w:afterAutospacing="0"/>
              <w:ind w:left="0" w:right="0"/>
              <w:jc w:val="center"/>
              <w:rPr>
                <w:rFonts w:hint="default" w:ascii="黑体" w:hAnsi="Times New Roman" w:eastAsia="黑体" w:cs="Lucida Sans"/>
                <w:color w:val="000000"/>
                <w:sz w:val="18"/>
                <w:szCs w:val="32"/>
              </w:rPr>
            </w:pPr>
            <w:r>
              <w:rPr>
                <w:rFonts w:hint="default" w:ascii="黑体" w:hAnsi="Times New Roman" w:eastAsia="黑体" w:cs="Lucida Sans"/>
                <w:color w:val="000000"/>
                <w:sz w:val="18"/>
                <w:szCs w:val="32"/>
              </w:rPr>
              <w:t>10</w:t>
            </w:r>
          </w:p>
        </w:tc>
      </w:tr>
      <w:tr w14:paraId="015B9A77">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23" w:hRule="atLeast"/>
          <w:jc w:val="center"/>
        </w:trPr>
        <w:tc>
          <w:tcPr>
            <w:tcW w:w="652" w:type="dxa"/>
            <w:vMerge w:val="continue"/>
            <w:shd w:val="solid" w:color="E2EFD9" w:fill="auto"/>
            <w:vAlign w:val="center"/>
          </w:tcPr>
          <w:p w14:paraId="27F6B857">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081" w:type="dxa"/>
            <w:vMerge w:val="continue"/>
            <w:shd w:val="solid" w:color="E2EFD9" w:fill="auto"/>
            <w:vAlign w:val="center"/>
          </w:tcPr>
          <w:p w14:paraId="0E2D0B4A">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250" w:type="dxa"/>
            <w:vMerge w:val="restart"/>
            <w:tcBorders>
              <w:bottom w:val="single" w:color="000000" w:sz="4" w:space="0"/>
            </w:tcBorders>
            <w:shd w:val="solid" w:color="E2EFD9" w:fill="auto"/>
            <w:vAlign w:val="center"/>
          </w:tcPr>
          <w:p w14:paraId="14FD7B05">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color w:val="000000"/>
                <w:sz w:val="24"/>
                <w:szCs w:val="24"/>
              </w:rPr>
            </w:pPr>
            <w:r>
              <w:rPr>
                <w:rFonts w:hint="default" w:ascii="宋体" w:hAnsi="Times New Roman" w:eastAsia="宋体" w:cs="宋体"/>
                <w:color w:val="000000"/>
                <w:kern w:val="0"/>
                <w:sz w:val="24"/>
                <w:szCs w:val="24"/>
              </w:rPr>
              <w:t>质量指标</w:t>
            </w:r>
          </w:p>
        </w:tc>
        <w:tc>
          <w:tcPr>
            <w:tcW w:w="1312" w:type="dxa"/>
            <w:shd w:val="solid" w:color="E2EFD9" w:fill="auto"/>
            <w:vAlign w:val="center"/>
          </w:tcPr>
          <w:p w14:paraId="53F6EEE7">
            <w:pPr>
              <w:keepNext w:val="0"/>
              <w:keepLines w:val="0"/>
              <w:suppressLineNumbers w:val="0"/>
              <w:spacing w:before="0" w:beforeAutospacing="0" w:after="0" w:afterAutospacing="0"/>
              <w:ind w:left="0" w:right="0"/>
              <w:rPr>
                <w:rFonts w:hint="default" w:ascii="宋体" w:hAnsi="Times New Roman" w:eastAsia="宋体" w:cs="Lucida Sans"/>
                <w:color w:val="000000"/>
                <w:sz w:val="18"/>
                <w:szCs w:val="32"/>
              </w:rPr>
            </w:pPr>
            <w:r>
              <w:rPr>
                <w:rFonts w:hint="default" w:ascii="宋体" w:hAnsi="Times New Roman" w:eastAsia="宋体" w:cs="Lucida Sans"/>
                <w:color w:val="000000"/>
                <w:sz w:val="18"/>
                <w:szCs w:val="32"/>
              </w:rPr>
              <w:t>指标1：指导完成广元市创建全国社会信用体系建设示范区，在国家级新闻网站及信用专业网站宣传广元信用建设重要事项</w:t>
            </w:r>
          </w:p>
        </w:tc>
        <w:tc>
          <w:tcPr>
            <w:tcW w:w="1127" w:type="dxa"/>
            <w:shd w:val="solid" w:color="E2EFD9" w:fill="auto"/>
            <w:vAlign w:val="center"/>
          </w:tcPr>
          <w:p w14:paraId="0DE1D0C9">
            <w:pPr>
              <w:keepNext w:val="0"/>
              <w:keepLines w:val="0"/>
              <w:suppressLineNumbers w:val="0"/>
              <w:spacing w:before="0" w:beforeAutospacing="0" w:after="0" w:afterAutospacing="0"/>
              <w:ind w:left="0" w:right="0"/>
              <w:rPr>
                <w:rFonts w:hint="default" w:ascii="宋体" w:hAnsi="Times New Roman" w:eastAsia="宋体" w:cs="Lucida Sans"/>
                <w:color w:val="000000"/>
                <w:sz w:val="18"/>
                <w:szCs w:val="32"/>
              </w:rPr>
            </w:pPr>
            <w:r>
              <w:rPr>
                <w:rFonts w:hint="default" w:ascii="宋体" w:hAnsi="Times New Roman" w:eastAsia="宋体" w:cs="Lucida Sans"/>
                <w:color w:val="000000"/>
                <w:sz w:val="18"/>
                <w:szCs w:val="32"/>
              </w:rPr>
              <w:t>定性</w:t>
            </w:r>
          </w:p>
        </w:tc>
        <w:tc>
          <w:tcPr>
            <w:tcW w:w="971" w:type="dxa"/>
            <w:shd w:val="solid" w:color="E2EFD9" w:fill="auto"/>
            <w:vAlign w:val="center"/>
          </w:tcPr>
          <w:p w14:paraId="07348308">
            <w:pPr>
              <w:keepNext w:val="0"/>
              <w:keepLines w:val="0"/>
              <w:suppressLineNumbers w:val="0"/>
              <w:spacing w:before="0" w:beforeAutospacing="0" w:after="0" w:afterAutospacing="0"/>
              <w:ind w:left="0" w:right="0"/>
              <w:rPr>
                <w:rFonts w:hint="default" w:ascii="宋体" w:hAnsi="Times New Roman" w:eastAsia="宋体" w:cs="Lucida Sans"/>
                <w:color w:val="000000"/>
                <w:sz w:val="18"/>
                <w:szCs w:val="32"/>
              </w:rPr>
            </w:pPr>
            <w:r>
              <w:rPr>
                <w:rFonts w:hint="default" w:ascii="宋体" w:hAnsi="Times New Roman" w:eastAsia="宋体" w:cs="Lucida Sans"/>
                <w:color w:val="000000"/>
                <w:sz w:val="18"/>
                <w:szCs w:val="32"/>
              </w:rPr>
              <w:t>形成示范区自评报告，并完成示范区创建活动。</w:t>
            </w:r>
          </w:p>
        </w:tc>
        <w:tc>
          <w:tcPr>
            <w:tcW w:w="1061" w:type="dxa"/>
            <w:shd w:val="solid" w:color="E2EFD9" w:fill="auto"/>
            <w:vAlign w:val="center"/>
          </w:tcPr>
          <w:p w14:paraId="59861952">
            <w:pPr>
              <w:keepNext w:val="0"/>
              <w:keepLines w:val="0"/>
              <w:suppressLineNumbers w:val="0"/>
              <w:spacing w:before="0" w:beforeAutospacing="0" w:after="0" w:afterAutospacing="0" w:line="300" w:lineRule="exact"/>
              <w:ind w:left="0" w:right="0"/>
              <w:jc w:val="center"/>
              <w:rPr>
                <w:rFonts w:hint="default" w:ascii="宋体" w:hAnsi="Times New Roman" w:eastAsia="宋体" w:cs="宋体"/>
                <w:color w:val="000000"/>
                <w:sz w:val="24"/>
                <w:szCs w:val="24"/>
              </w:rPr>
            </w:pPr>
          </w:p>
        </w:tc>
        <w:tc>
          <w:tcPr>
            <w:tcW w:w="938" w:type="dxa"/>
            <w:shd w:val="solid" w:color="E2EFD9" w:fill="auto"/>
            <w:vAlign w:val="center"/>
          </w:tcPr>
          <w:p w14:paraId="697F2F5D">
            <w:pPr>
              <w:keepNext w:val="0"/>
              <w:keepLines w:val="0"/>
              <w:suppressLineNumbers w:val="0"/>
              <w:spacing w:before="0" w:beforeAutospacing="0" w:after="0" w:afterAutospacing="0"/>
              <w:ind w:left="0" w:right="0"/>
              <w:rPr>
                <w:rFonts w:hint="default" w:ascii="微软雅黑" w:hAnsi="Times New Roman" w:eastAsia="微软雅黑" w:cs="Lucida Sans"/>
                <w:i/>
                <w:color w:val="000000"/>
                <w:sz w:val="16"/>
                <w:szCs w:val="32"/>
              </w:rPr>
            </w:pPr>
            <w:r>
              <w:rPr>
                <w:rFonts w:hint="default" w:ascii="微软雅黑" w:hAnsi="Times New Roman" w:eastAsia="微软雅黑" w:cs="Lucida Sans"/>
                <w:i/>
                <w:color w:val="000000"/>
                <w:sz w:val="16"/>
                <w:szCs w:val="32"/>
              </w:rPr>
              <w:t>形成示范区自评报告，并完成示范区创建活动。</w:t>
            </w:r>
          </w:p>
        </w:tc>
        <w:tc>
          <w:tcPr>
            <w:tcW w:w="1841" w:type="dxa"/>
            <w:shd w:val="solid" w:color="E2EFD9" w:fill="auto"/>
            <w:vAlign w:val="center"/>
          </w:tcPr>
          <w:p w14:paraId="5D044275">
            <w:pPr>
              <w:keepNext w:val="0"/>
              <w:keepLines w:val="0"/>
              <w:suppressLineNumbers w:val="0"/>
              <w:spacing w:before="0" w:beforeAutospacing="0" w:after="0" w:afterAutospacing="0"/>
              <w:ind w:left="0" w:right="0"/>
              <w:rPr>
                <w:rFonts w:hint="default" w:ascii="宋体" w:hAnsi="Times New Roman" w:eastAsia="宋体" w:cs="Lucida Sans"/>
                <w:color w:val="000000"/>
                <w:sz w:val="18"/>
                <w:szCs w:val="32"/>
              </w:rPr>
            </w:pPr>
            <w:r>
              <w:rPr>
                <w:rFonts w:hint="default" w:ascii="宋体" w:hAnsi="Times New Roman" w:eastAsia="宋体" w:cs="Lucida Sans"/>
                <w:color w:val="000000"/>
                <w:sz w:val="18"/>
                <w:szCs w:val="32"/>
              </w:rPr>
              <w:t>10</w:t>
            </w:r>
          </w:p>
        </w:tc>
      </w:tr>
      <w:tr w14:paraId="47B69DEB">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23" w:hRule="atLeast"/>
          <w:jc w:val="center"/>
        </w:trPr>
        <w:tc>
          <w:tcPr>
            <w:tcW w:w="652" w:type="dxa"/>
            <w:vMerge w:val="continue"/>
            <w:shd w:val="solid" w:color="E2EFD9" w:fill="auto"/>
            <w:vAlign w:val="center"/>
          </w:tcPr>
          <w:p w14:paraId="02399CBC">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081" w:type="dxa"/>
            <w:vMerge w:val="continue"/>
            <w:vAlign w:val="center"/>
          </w:tcPr>
          <w:p w14:paraId="301491B8">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250" w:type="dxa"/>
            <w:vMerge w:val="continue"/>
            <w:shd w:val="solid" w:color="E2EFD9" w:fill="auto"/>
            <w:vAlign w:val="center"/>
          </w:tcPr>
          <w:p w14:paraId="6C7A547E">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312" w:type="dxa"/>
            <w:vAlign w:val="center"/>
          </w:tcPr>
          <w:p w14:paraId="2B1D6A4D">
            <w:pPr>
              <w:keepNext w:val="0"/>
              <w:keepLines w:val="0"/>
              <w:suppressLineNumbers w:val="0"/>
              <w:spacing w:before="0" w:beforeAutospacing="0" w:after="0" w:afterAutospacing="0"/>
              <w:ind w:left="0" w:right="0"/>
              <w:rPr>
                <w:rFonts w:hint="default" w:ascii="宋体" w:hAnsi="Times New Roman" w:eastAsia="宋体" w:cs="Lucida Sans"/>
                <w:color w:val="000000"/>
                <w:sz w:val="18"/>
                <w:szCs w:val="32"/>
              </w:rPr>
            </w:pPr>
            <w:r>
              <w:rPr>
                <w:rFonts w:hint="default" w:ascii="宋体" w:hAnsi="Times New Roman" w:eastAsia="宋体" w:cs="Lucida Sans"/>
                <w:color w:val="000000"/>
                <w:sz w:val="18"/>
                <w:szCs w:val="32"/>
              </w:rPr>
              <w:t>指标2：提升广元市社会信用体系城市信用监测指标排名</w:t>
            </w:r>
          </w:p>
        </w:tc>
        <w:tc>
          <w:tcPr>
            <w:tcW w:w="1127" w:type="dxa"/>
            <w:shd w:val="solid" w:color="E2EFD9" w:fill="auto"/>
            <w:vAlign w:val="center"/>
          </w:tcPr>
          <w:p w14:paraId="3E8820A3">
            <w:pPr>
              <w:keepNext w:val="0"/>
              <w:keepLines w:val="0"/>
              <w:suppressLineNumbers w:val="0"/>
              <w:spacing w:before="0" w:beforeAutospacing="0" w:after="0" w:afterAutospacing="0"/>
              <w:ind w:left="0" w:right="0"/>
              <w:rPr>
                <w:rFonts w:hint="default" w:ascii="宋体" w:hAnsi="Times New Roman" w:eastAsia="宋体" w:cs="Lucida Sans"/>
                <w:color w:val="000000"/>
                <w:sz w:val="18"/>
                <w:szCs w:val="32"/>
              </w:rPr>
            </w:pPr>
            <w:r>
              <w:rPr>
                <w:rFonts w:hint="default" w:ascii="宋体" w:hAnsi="Times New Roman" w:eastAsia="宋体" w:cs="Lucida Sans"/>
                <w:color w:val="000000"/>
                <w:sz w:val="18"/>
                <w:szCs w:val="32"/>
              </w:rPr>
              <w:t>定性</w:t>
            </w:r>
          </w:p>
        </w:tc>
        <w:tc>
          <w:tcPr>
            <w:tcW w:w="971" w:type="dxa"/>
            <w:vAlign w:val="center"/>
          </w:tcPr>
          <w:p w14:paraId="4134D106">
            <w:pPr>
              <w:keepNext w:val="0"/>
              <w:keepLines w:val="0"/>
              <w:suppressLineNumbers w:val="0"/>
              <w:spacing w:before="0" w:beforeAutospacing="0" w:after="0" w:afterAutospacing="0"/>
              <w:ind w:left="0" w:right="0"/>
              <w:rPr>
                <w:rFonts w:hint="default" w:ascii="宋体" w:hAnsi="Times New Roman" w:eastAsia="宋体" w:cs="Lucida Sans"/>
                <w:color w:val="000000"/>
                <w:sz w:val="18"/>
                <w:szCs w:val="32"/>
              </w:rPr>
            </w:pPr>
            <w:r>
              <w:rPr>
                <w:rFonts w:hint="default" w:ascii="宋体" w:hAnsi="Times New Roman" w:eastAsia="宋体" w:cs="Lucida Sans"/>
                <w:color w:val="000000"/>
                <w:sz w:val="18"/>
                <w:szCs w:val="32"/>
              </w:rPr>
              <w:t>2022年第四季度月均排名不低于70名。</w:t>
            </w:r>
          </w:p>
        </w:tc>
        <w:tc>
          <w:tcPr>
            <w:tcW w:w="1061" w:type="dxa"/>
            <w:shd w:val="solid" w:color="E2EFD9" w:fill="auto"/>
            <w:vAlign w:val="center"/>
          </w:tcPr>
          <w:p w14:paraId="18DDD826">
            <w:pPr>
              <w:keepNext w:val="0"/>
              <w:keepLines w:val="0"/>
              <w:suppressLineNumbers w:val="0"/>
              <w:spacing w:before="0" w:beforeAutospacing="0" w:after="0" w:afterAutospacing="0" w:line="300" w:lineRule="exact"/>
              <w:ind w:left="0" w:right="0"/>
              <w:jc w:val="center"/>
              <w:rPr>
                <w:rFonts w:hint="default" w:ascii="宋体" w:hAnsi="Times New Roman" w:eastAsia="宋体" w:cs="宋体"/>
                <w:color w:val="000000"/>
                <w:sz w:val="24"/>
                <w:szCs w:val="24"/>
              </w:rPr>
            </w:pPr>
          </w:p>
        </w:tc>
        <w:tc>
          <w:tcPr>
            <w:tcW w:w="938" w:type="dxa"/>
            <w:vAlign w:val="center"/>
          </w:tcPr>
          <w:p w14:paraId="6D8ABC4D">
            <w:pPr>
              <w:keepNext w:val="0"/>
              <w:keepLines w:val="0"/>
              <w:suppressLineNumbers w:val="0"/>
              <w:spacing w:before="0" w:beforeAutospacing="0" w:after="0" w:afterAutospacing="0"/>
              <w:ind w:left="0" w:right="0"/>
              <w:rPr>
                <w:rFonts w:hint="default" w:ascii="微软雅黑" w:hAnsi="Times New Roman" w:eastAsia="微软雅黑" w:cs="Lucida Sans"/>
                <w:i/>
                <w:color w:val="000000"/>
                <w:sz w:val="16"/>
                <w:szCs w:val="32"/>
              </w:rPr>
            </w:pPr>
            <w:r>
              <w:rPr>
                <w:rFonts w:hint="default" w:ascii="微软雅黑" w:hAnsi="Times New Roman" w:eastAsia="微软雅黑" w:cs="Lucida Sans"/>
                <w:i/>
                <w:color w:val="000000"/>
                <w:sz w:val="16"/>
                <w:szCs w:val="32"/>
              </w:rPr>
              <w:t>2022年第四季度月均排名为 47名。</w:t>
            </w:r>
          </w:p>
        </w:tc>
        <w:tc>
          <w:tcPr>
            <w:tcW w:w="1841" w:type="dxa"/>
            <w:shd w:val="solid" w:color="E2EFD9" w:fill="auto"/>
            <w:vAlign w:val="center"/>
          </w:tcPr>
          <w:p w14:paraId="33A4955E">
            <w:pPr>
              <w:keepNext w:val="0"/>
              <w:keepLines w:val="0"/>
              <w:suppressLineNumbers w:val="0"/>
              <w:spacing w:before="0" w:beforeAutospacing="0" w:after="0" w:afterAutospacing="0"/>
              <w:ind w:left="0" w:right="0"/>
              <w:rPr>
                <w:rFonts w:hint="default" w:ascii="宋体" w:hAnsi="Times New Roman" w:eastAsia="宋体" w:cs="Lucida Sans"/>
                <w:color w:val="000000"/>
                <w:sz w:val="18"/>
                <w:szCs w:val="32"/>
              </w:rPr>
            </w:pPr>
            <w:r>
              <w:rPr>
                <w:rFonts w:hint="default" w:ascii="宋体" w:hAnsi="Times New Roman" w:eastAsia="宋体" w:cs="Lucida Sans"/>
                <w:color w:val="000000"/>
                <w:sz w:val="18"/>
                <w:szCs w:val="32"/>
              </w:rPr>
              <w:t>10</w:t>
            </w:r>
          </w:p>
        </w:tc>
      </w:tr>
      <w:tr w14:paraId="3340BD83">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23" w:hRule="atLeast"/>
          <w:jc w:val="center"/>
        </w:trPr>
        <w:tc>
          <w:tcPr>
            <w:tcW w:w="652" w:type="dxa"/>
            <w:vMerge w:val="continue"/>
            <w:shd w:val="solid" w:color="E2EFD9" w:fill="auto"/>
            <w:vAlign w:val="center"/>
          </w:tcPr>
          <w:p w14:paraId="640B3B8F">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081" w:type="dxa"/>
            <w:vMerge w:val="continue"/>
            <w:shd w:val="solid" w:color="E2EFD9" w:fill="auto"/>
            <w:vAlign w:val="center"/>
          </w:tcPr>
          <w:p w14:paraId="70CDBF06">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250" w:type="dxa"/>
            <w:vMerge w:val="continue"/>
            <w:shd w:val="solid" w:color="E2EFD9" w:fill="auto"/>
            <w:vAlign w:val="center"/>
          </w:tcPr>
          <w:p w14:paraId="7BBDB660">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312" w:type="dxa"/>
            <w:shd w:val="solid" w:color="E2EFD9" w:fill="auto"/>
            <w:vAlign w:val="center"/>
          </w:tcPr>
          <w:p w14:paraId="60BDBAD1">
            <w:pPr>
              <w:keepNext w:val="0"/>
              <w:keepLines w:val="0"/>
              <w:suppressLineNumbers w:val="0"/>
              <w:spacing w:before="0" w:beforeAutospacing="0" w:after="0" w:afterAutospacing="0"/>
              <w:ind w:left="0" w:right="0"/>
              <w:rPr>
                <w:rFonts w:hint="default" w:ascii="宋体" w:hAnsi="Times New Roman" w:eastAsia="宋体" w:cs="Lucida Sans"/>
                <w:color w:val="000000"/>
                <w:sz w:val="18"/>
                <w:szCs w:val="32"/>
              </w:rPr>
            </w:pPr>
            <w:r>
              <w:rPr>
                <w:rFonts w:hint="default" w:ascii="宋体" w:hAnsi="Times New Roman" w:eastAsia="宋体" w:cs="Lucida Sans"/>
                <w:color w:val="000000"/>
                <w:sz w:val="18"/>
                <w:szCs w:val="32"/>
              </w:rPr>
              <w:t>指标3：指导并完成合同履约监管系统搭建</w:t>
            </w:r>
          </w:p>
        </w:tc>
        <w:tc>
          <w:tcPr>
            <w:tcW w:w="1127" w:type="dxa"/>
            <w:shd w:val="solid" w:color="E2EFD9" w:fill="auto"/>
            <w:vAlign w:val="center"/>
          </w:tcPr>
          <w:p w14:paraId="3813E079">
            <w:pPr>
              <w:keepNext w:val="0"/>
              <w:keepLines w:val="0"/>
              <w:suppressLineNumbers w:val="0"/>
              <w:spacing w:before="0" w:beforeAutospacing="0" w:after="0" w:afterAutospacing="0"/>
              <w:ind w:left="0" w:right="0"/>
              <w:rPr>
                <w:rFonts w:hint="default" w:ascii="宋体" w:hAnsi="Times New Roman" w:eastAsia="宋体" w:cs="Lucida Sans"/>
                <w:color w:val="000000"/>
                <w:sz w:val="18"/>
                <w:szCs w:val="32"/>
              </w:rPr>
            </w:pPr>
            <w:r>
              <w:rPr>
                <w:rFonts w:hint="default" w:ascii="宋体" w:hAnsi="Times New Roman" w:eastAsia="宋体" w:cs="Lucida Sans"/>
                <w:color w:val="000000"/>
                <w:sz w:val="18"/>
                <w:szCs w:val="32"/>
              </w:rPr>
              <w:t>定性</w:t>
            </w:r>
          </w:p>
        </w:tc>
        <w:tc>
          <w:tcPr>
            <w:tcW w:w="971" w:type="dxa"/>
            <w:shd w:val="solid" w:color="E2EFD9" w:fill="auto"/>
            <w:vAlign w:val="center"/>
          </w:tcPr>
          <w:p w14:paraId="33DCDE3D">
            <w:pPr>
              <w:keepNext w:val="0"/>
              <w:keepLines w:val="0"/>
              <w:suppressLineNumbers w:val="0"/>
              <w:spacing w:before="0" w:beforeAutospacing="0" w:after="0" w:afterAutospacing="0"/>
              <w:ind w:left="0" w:right="0"/>
              <w:rPr>
                <w:rFonts w:hint="default" w:ascii="宋体" w:hAnsi="Times New Roman" w:eastAsia="宋体" w:cs="Lucida Sans"/>
                <w:color w:val="000000"/>
                <w:sz w:val="18"/>
                <w:szCs w:val="32"/>
              </w:rPr>
            </w:pPr>
            <w:r>
              <w:rPr>
                <w:rFonts w:hint="default" w:ascii="宋体" w:hAnsi="Times New Roman" w:eastAsia="宋体" w:cs="Lucida Sans"/>
                <w:color w:val="000000"/>
                <w:sz w:val="18"/>
                <w:szCs w:val="32"/>
              </w:rPr>
              <w:t>搭建完成，系统投入运行。</w:t>
            </w:r>
          </w:p>
        </w:tc>
        <w:tc>
          <w:tcPr>
            <w:tcW w:w="1061" w:type="dxa"/>
            <w:shd w:val="solid" w:color="E2EFD9" w:fill="auto"/>
            <w:vAlign w:val="center"/>
          </w:tcPr>
          <w:p w14:paraId="70D52283">
            <w:pPr>
              <w:keepNext w:val="0"/>
              <w:keepLines w:val="0"/>
              <w:suppressLineNumbers w:val="0"/>
              <w:spacing w:before="0" w:beforeAutospacing="0" w:after="0" w:afterAutospacing="0" w:line="300" w:lineRule="exact"/>
              <w:ind w:left="0" w:right="0"/>
              <w:jc w:val="center"/>
              <w:rPr>
                <w:rFonts w:hint="default" w:ascii="宋体" w:hAnsi="Times New Roman" w:eastAsia="宋体" w:cs="宋体"/>
                <w:color w:val="000000"/>
                <w:sz w:val="24"/>
                <w:szCs w:val="24"/>
              </w:rPr>
            </w:pPr>
          </w:p>
        </w:tc>
        <w:tc>
          <w:tcPr>
            <w:tcW w:w="938" w:type="dxa"/>
            <w:shd w:val="solid" w:color="E2EFD9" w:fill="auto"/>
            <w:vAlign w:val="center"/>
          </w:tcPr>
          <w:p w14:paraId="7E446DA9">
            <w:pPr>
              <w:keepNext w:val="0"/>
              <w:keepLines w:val="0"/>
              <w:suppressLineNumbers w:val="0"/>
              <w:spacing w:before="0" w:beforeAutospacing="0" w:after="0" w:afterAutospacing="0"/>
              <w:ind w:left="0" w:right="0"/>
              <w:rPr>
                <w:rFonts w:hint="default" w:ascii="微软雅黑" w:hAnsi="Times New Roman" w:eastAsia="微软雅黑" w:cs="Lucida Sans"/>
                <w:i/>
                <w:color w:val="000000"/>
                <w:sz w:val="16"/>
                <w:szCs w:val="32"/>
              </w:rPr>
            </w:pPr>
            <w:r>
              <w:rPr>
                <w:rFonts w:hint="default" w:ascii="微软雅黑" w:hAnsi="Times New Roman" w:eastAsia="微软雅黑" w:cs="Lucida Sans"/>
                <w:i/>
                <w:color w:val="000000"/>
                <w:sz w:val="16"/>
                <w:szCs w:val="32"/>
              </w:rPr>
              <w:t>搭建完成，系统投入运行。</w:t>
            </w:r>
          </w:p>
        </w:tc>
        <w:tc>
          <w:tcPr>
            <w:tcW w:w="1841" w:type="dxa"/>
            <w:shd w:val="solid" w:color="E2EFD9" w:fill="auto"/>
            <w:vAlign w:val="center"/>
          </w:tcPr>
          <w:p w14:paraId="30DE6BE5">
            <w:pPr>
              <w:keepNext w:val="0"/>
              <w:keepLines w:val="0"/>
              <w:suppressLineNumbers w:val="0"/>
              <w:spacing w:before="0" w:beforeAutospacing="0" w:after="0" w:afterAutospacing="0"/>
              <w:ind w:left="0" w:right="0"/>
              <w:rPr>
                <w:rFonts w:hint="default" w:ascii="宋体" w:hAnsi="Times New Roman" w:eastAsia="宋体" w:cs="Lucida Sans"/>
                <w:color w:val="000000"/>
                <w:sz w:val="18"/>
                <w:szCs w:val="32"/>
              </w:rPr>
            </w:pPr>
            <w:r>
              <w:rPr>
                <w:rFonts w:hint="default" w:ascii="宋体" w:hAnsi="Times New Roman" w:eastAsia="宋体" w:cs="Lucida Sans"/>
                <w:color w:val="000000"/>
                <w:sz w:val="18"/>
                <w:szCs w:val="32"/>
              </w:rPr>
              <w:t>5</w:t>
            </w:r>
          </w:p>
        </w:tc>
      </w:tr>
      <w:tr w14:paraId="40BF5111">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23" w:hRule="atLeast"/>
          <w:jc w:val="center"/>
        </w:trPr>
        <w:tc>
          <w:tcPr>
            <w:tcW w:w="652" w:type="dxa"/>
            <w:vMerge w:val="continue"/>
            <w:shd w:val="solid" w:color="E2EFD9" w:fill="auto"/>
            <w:vAlign w:val="center"/>
          </w:tcPr>
          <w:p w14:paraId="76A59590">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081" w:type="dxa"/>
            <w:vMerge w:val="continue"/>
            <w:vAlign w:val="center"/>
          </w:tcPr>
          <w:p w14:paraId="497A98CF">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250" w:type="dxa"/>
            <w:vMerge w:val="restart"/>
            <w:tcBorders>
              <w:bottom w:val="single" w:color="000000" w:sz="4" w:space="0"/>
            </w:tcBorders>
            <w:shd w:val="solid" w:color="E2EFD9" w:fill="auto"/>
            <w:vAlign w:val="center"/>
          </w:tcPr>
          <w:p w14:paraId="29DC527A">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color w:val="000000"/>
                <w:sz w:val="24"/>
                <w:szCs w:val="24"/>
              </w:rPr>
            </w:pPr>
            <w:r>
              <w:rPr>
                <w:rFonts w:hint="default" w:ascii="宋体" w:hAnsi="Times New Roman" w:eastAsia="宋体" w:cs="宋体"/>
                <w:color w:val="000000"/>
                <w:kern w:val="0"/>
                <w:sz w:val="24"/>
                <w:szCs w:val="24"/>
              </w:rPr>
              <w:t>时效指标</w:t>
            </w:r>
          </w:p>
        </w:tc>
        <w:tc>
          <w:tcPr>
            <w:tcW w:w="1312" w:type="dxa"/>
            <w:vAlign w:val="center"/>
          </w:tcPr>
          <w:p w14:paraId="646E3C10">
            <w:pPr>
              <w:keepNext w:val="0"/>
              <w:keepLines w:val="0"/>
              <w:suppressLineNumbers w:val="0"/>
              <w:spacing w:before="0" w:beforeAutospacing="0" w:after="0" w:afterAutospacing="0"/>
              <w:ind w:left="0" w:right="0"/>
              <w:rPr>
                <w:rFonts w:hint="default" w:ascii="宋体" w:hAnsi="Times New Roman" w:eastAsia="宋体" w:cs="Lucida Sans"/>
                <w:color w:val="000000"/>
                <w:sz w:val="18"/>
                <w:szCs w:val="32"/>
              </w:rPr>
            </w:pPr>
            <w:r>
              <w:rPr>
                <w:rFonts w:hint="default" w:ascii="宋体" w:hAnsi="Times New Roman" w:eastAsia="宋体" w:cs="Lucida Sans"/>
                <w:color w:val="000000"/>
                <w:sz w:val="18"/>
                <w:szCs w:val="32"/>
              </w:rPr>
              <w:t>指标1：完成时间</w:t>
            </w:r>
          </w:p>
        </w:tc>
        <w:tc>
          <w:tcPr>
            <w:tcW w:w="1127" w:type="dxa"/>
            <w:shd w:val="solid" w:color="E2EFD9" w:fill="auto"/>
            <w:vAlign w:val="center"/>
          </w:tcPr>
          <w:p w14:paraId="093FDCA2">
            <w:pPr>
              <w:keepNext w:val="0"/>
              <w:keepLines w:val="0"/>
              <w:suppressLineNumbers w:val="0"/>
              <w:spacing w:before="0" w:beforeAutospacing="0" w:after="0" w:afterAutospacing="0"/>
              <w:ind w:left="0" w:right="0"/>
              <w:rPr>
                <w:rFonts w:hint="default" w:ascii="宋体" w:hAnsi="Times New Roman" w:eastAsia="宋体" w:cs="Lucida Sans"/>
                <w:color w:val="000000"/>
                <w:sz w:val="18"/>
                <w:szCs w:val="32"/>
              </w:rPr>
            </w:pPr>
            <w:r>
              <w:rPr>
                <w:rFonts w:hint="default" w:ascii="宋体" w:hAnsi="Times New Roman" w:eastAsia="宋体" w:cs="Lucida Sans"/>
                <w:color w:val="000000"/>
                <w:sz w:val="18"/>
                <w:szCs w:val="32"/>
              </w:rPr>
              <w:t>≤</w:t>
            </w:r>
          </w:p>
        </w:tc>
        <w:tc>
          <w:tcPr>
            <w:tcW w:w="971" w:type="dxa"/>
            <w:vAlign w:val="center"/>
          </w:tcPr>
          <w:p w14:paraId="6297ED8F">
            <w:pPr>
              <w:keepNext w:val="0"/>
              <w:keepLines w:val="0"/>
              <w:suppressLineNumbers w:val="0"/>
              <w:spacing w:before="0" w:beforeAutospacing="0" w:after="0" w:afterAutospacing="0"/>
              <w:ind w:left="0" w:right="0"/>
              <w:rPr>
                <w:rFonts w:hint="default" w:ascii="宋体" w:hAnsi="Times New Roman" w:eastAsia="宋体" w:cs="Lucida Sans"/>
                <w:color w:val="000000"/>
                <w:sz w:val="18"/>
                <w:szCs w:val="32"/>
              </w:rPr>
            </w:pPr>
            <w:r>
              <w:rPr>
                <w:rFonts w:hint="default" w:ascii="宋体" w:hAnsi="Times New Roman" w:eastAsia="宋体" w:cs="Lucida Sans"/>
                <w:color w:val="000000"/>
                <w:sz w:val="18"/>
                <w:szCs w:val="32"/>
              </w:rPr>
              <w:t>12</w:t>
            </w:r>
          </w:p>
        </w:tc>
        <w:tc>
          <w:tcPr>
            <w:tcW w:w="1061" w:type="dxa"/>
            <w:shd w:val="solid" w:color="E2EFD9" w:fill="auto"/>
            <w:vAlign w:val="center"/>
          </w:tcPr>
          <w:p w14:paraId="1847ECAA">
            <w:pPr>
              <w:keepNext w:val="0"/>
              <w:keepLines w:val="0"/>
              <w:suppressLineNumbers w:val="0"/>
              <w:spacing w:before="0" w:beforeAutospacing="0" w:after="0" w:afterAutospacing="0"/>
              <w:ind w:left="0" w:right="0"/>
              <w:rPr>
                <w:rFonts w:hint="default" w:ascii="宋体" w:hAnsi="Times New Roman" w:eastAsia="宋体" w:cs="Lucida Sans"/>
                <w:color w:val="000000"/>
                <w:sz w:val="18"/>
                <w:szCs w:val="32"/>
              </w:rPr>
            </w:pPr>
            <w:r>
              <w:rPr>
                <w:rFonts w:hint="default" w:ascii="宋体" w:hAnsi="Times New Roman" w:eastAsia="宋体" w:cs="Lucida Sans"/>
                <w:color w:val="000000"/>
                <w:sz w:val="18"/>
                <w:szCs w:val="32"/>
              </w:rPr>
              <w:t>月</w:t>
            </w:r>
          </w:p>
        </w:tc>
        <w:tc>
          <w:tcPr>
            <w:tcW w:w="938" w:type="dxa"/>
            <w:vAlign w:val="center"/>
          </w:tcPr>
          <w:p w14:paraId="38AFB87C">
            <w:pPr>
              <w:keepNext w:val="0"/>
              <w:keepLines w:val="0"/>
              <w:suppressLineNumbers w:val="0"/>
              <w:spacing w:before="0" w:beforeAutospacing="0" w:after="0" w:afterAutospacing="0"/>
              <w:ind w:left="0" w:right="0"/>
              <w:rPr>
                <w:rFonts w:hint="default" w:ascii="微软雅黑" w:hAnsi="Times New Roman" w:eastAsia="微软雅黑" w:cs="Lucida Sans"/>
                <w:i/>
                <w:color w:val="000000"/>
                <w:sz w:val="16"/>
                <w:szCs w:val="32"/>
              </w:rPr>
            </w:pPr>
            <w:r>
              <w:rPr>
                <w:rFonts w:hint="default" w:ascii="微软雅黑" w:hAnsi="Times New Roman" w:eastAsia="微软雅黑" w:cs="Lucida Sans"/>
                <w:i/>
                <w:color w:val="000000"/>
                <w:sz w:val="16"/>
                <w:szCs w:val="32"/>
              </w:rPr>
              <w:t>20个月</w:t>
            </w:r>
          </w:p>
        </w:tc>
        <w:tc>
          <w:tcPr>
            <w:tcW w:w="1841" w:type="dxa"/>
            <w:shd w:val="solid" w:color="E2EFD9" w:fill="auto"/>
            <w:vAlign w:val="center"/>
          </w:tcPr>
          <w:p w14:paraId="2D5E1822">
            <w:pPr>
              <w:keepNext w:val="0"/>
              <w:keepLines w:val="0"/>
              <w:suppressLineNumbers w:val="0"/>
              <w:spacing w:before="0" w:beforeAutospacing="0" w:after="0" w:afterAutospacing="0"/>
              <w:ind w:left="0" w:right="0"/>
              <w:rPr>
                <w:rFonts w:hint="default" w:ascii="宋体" w:hAnsi="Times New Roman" w:eastAsia="宋体" w:cs="Lucida Sans"/>
                <w:color w:val="000000"/>
                <w:sz w:val="18"/>
                <w:szCs w:val="32"/>
              </w:rPr>
            </w:pPr>
            <w:r>
              <w:rPr>
                <w:rFonts w:hint="default" w:ascii="宋体" w:hAnsi="Times New Roman" w:eastAsia="宋体" w:cs="Lucida Sans"/>
                <w:color w:val="000000"/>
                <w:sz w:val="18"/>
                <w:szCs w:val="32"/>
              </w:rPr>
              <w:t>5</w:t>
            </w:r>
          </w:p>
        </w:tc>
      </w:tr>
      <w:tr w14:paraId="119062F4">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23" w:hRule="atLeast"/>
          <w:jc w:val="center"/>
        </w:trPr>
        <w:tc>
          <w:tcPr>
            <w:tcW w:w="652" w:type="dxa"/>
            <w:vMerge w:val="continue"/>
            <w:shd w:val="solid" w:color="E2EFD9" w:fill="auto"/>
            <w:vAlign w:val="center"/>
          </w:tcPr>
          <w:p w14:paraId="756A7452">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081" w:type="dxa"/>
            <w:vMerge w:val="continue"/>
            <w:shd w:val="solid" w:color="E2EFD9" w:fill="auto"/>
            <w:vAlign w:val="center"/>
          </w:tcPr>
          <w:p w14:paraId="41A90A43">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250" w:type="dxa"/>
            <w:vMerge w:val="continue"/>
            <w:shd w:val="solid" w:color="E2EFD9" w:fill="auto"/>
            <w:vAlign w:val="center"/>
          </w:tcPr>
          <w:p w14:paraId="7376C938">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312" w:type="dxa"/>
            <w:shd w:val="solid" w:color="E2EFD9" w:fill="auto"/>
            <w:vAlign w:val="center"/>
          </w:tcPr>
          <w:p w14:paraId="62C450BD">
            <w:pPr>
              <w:keepNext w:val="0"/>
              <w:keepLines w:val="0"/>
              <w:suppressLineNumbers w:val="0"/>
              <w:spacing w:before="0" w:beforeAutospacing="0" w:after="0" w:afterAutospacing="0" w:line="300" w:lineRule="exact"/>
              <w:ind w:left="0" w:right="0"/>
              <w:rPr>
                <w:rFonts w:hint="default" w:ascii="宋体" w:hAnsi="Times New Roman" w:eastAsia="宋体" w:cs="宋体"/>
                <w:color w:val="000000"/>
                <w:sz w:val="24"/>
                <w:szCs w:val="24"/>
              </w:rPr>
            </w:pPr>
          </w:p>
        </w:tc>
        <w:tc>
          <w:tcPr>
            <w:tcW w:w="1127" w:type="dxa"/>
            <w:shd w:val="solid" w:color="E2EFD9" w:fill="auto"/>
            <w:vAlign w:val="center"/>
          </w:tcPr>
          <w:p w14:paraId="52BF3659">
            <w:pPr>
              <w:keepNext w:val="0"/>
              <w:keepLines w:val="0"/>
              <w:suppressLineNumbers w:val="0"/>
              <w:spacing w:before="0" w:beforeAutospacing="0" w:after="0" w:afterAutospacing="0" w:line="300" w:lineRule="exact"/>
              <w:ind w:left="0" w:right="0"/>
              <w:jc w:val="center"/>
              <w:rPr>
                <w:rFonts w:hint="default" w:ascii="宋体" w:hAnsi="Times New Roman" w:eastAsia="宋体" w:cs="宋体"/>
                <w:color w:val="000000"/>
                <w:sz w:val="24"/>
                <w:szCs w:val="24"/>
              </w:rPr>
            </w:pPr>
          </w:p>
        </w:tc>
        <w:tc>
          <w:tcPr>
            <w:tcW w:w="971" w:type="dxa"/>
            <w:shd w:val="solid" w:color="E2EFD9" w:fill="auto"/>
            <w:vAlign w:val="center"/>
          </w:tcPr>
          <w:p w14:paraId="2BFE569B">
            <w:pPr>
              <w:keepNext w:val="0"/>
              <w:keepLines w:val="0"/>
              <w:suppressLineNumbers w:val="0"/>
              <w:spacing w:before="0" w:beforeAutospacing="0" w:after="0" w:afterAutospacing="0" w:line="300" w:lineRule="exact"/>
              <w:ind w:left="0" w:right="0"/>
              <w:jc w:val="center"/>
              <w:rPr>
                <w:rFonts w:hint="default" w:ascii="宋体" w:hAnsi="Times New Roman" w:eastAsia="宋体" w:cs="宋体"/>
                <w:color w:val="000000"/>
                <w:sz w:val="24"/>
                <w:szCs w:val="24"/>
              </w:rPr>
            </w:pPr>
          </w:p>
        </w:tc>
        <w:tc>
          <w:tcPr>
            <w:tcW w:w="1061" w:type="dxa"/>
            <w:shd w:val="solid" w:color="E2EFD9" w:fill="auto"/>
            <w:vAlign w:val="center"/>
          </w:tcPr>
          <w:p w14:paraId="1C34FA9D">
            <w:pPr>
              <w:keepNext w:val="0"/>
              <w:keepLines w:val="0"/>
              <w:suppressLineNumbers w:val="0"/>
              <w:spacing w:before="0" w:beforeAutospacing="0" w:after="0" w:afterAutospacing="0" w:line="300" w:lineRule="exact"/>
              <w:ind w:left="0" w:right="0"/>
              <w:jc w:val="center"/>
              <w:rPr>
                <w:rFonts w:hint="default" w:ascii="宋体" w:hAnsi="Times New Roman" w:eastAsia="宋体" w:cs="宋体"/>
                <w:color w:val="000000"/>
                <w:sz w:val="24"/>
                <w:szCs w:val="24"/>
              </w:rPr>
            </w:pPr>
          </w:p>
        </w:tc>
        <w:tc>
          <w:tcPr>
            <w:tcW w:w="938" w:type="dxa"/>
            <w:shd w:val="solid" w:color="E2EFD9" w:fill="auto"/>
            <w:vAlign w:val="center"/>
          </w:tcPr>
          <w:p w14:paraId="4B135F68">
            <w:pPr>
              <w:keepNext w:val="0"/>
              <w:keepLines w:val="0"/>
              <w:suppressLineNumbers w:val="0"/>
              <w:spacing w:before="0" w:beforeAutospacing="0" w:after="0" w:afterAutospacing="0" w:line="300" w:lineRule="exact"/>
              <w:ind w:left="0" w:right="0"/>
              <w:jc w:val="center"/>
              <w:rPr>
                <w:rFonts w:hint="default" w:ascii="宋体" w:hAnsi="Times New Roman" w:eastAsia="宋体" w:cs="宋体"/>
                <w:color w:val="000000"/>
                <w:sz w:val="24"/>
                <w:szCs w:val="24"/>
              </w:rPr>
            </w:pPr>
          </w:p>
        </w:tc>
        <w:tc>
          <w:tcPr>
            <w:tcW w:w="1841" w:type="dxa"/>
            <w:shd w:val="solid" w:color="E2EFD9" w:fill="auto"/>
            <w:vAlign w:val="center"/>
          </w:tcPr>
          <w:p w14:paraId="24EA7351">
            <w:pPr>
              <w:keepNext w:val="0"/>
              <w:keepLines w:val="0"/>
              <w:suppressLineNumbers w:val="0"/>
              <w:spacing w:before="0" w:beforeAutospacing="0" w:after="0" w:afterAutospacing="0" w:line="300" w:lineRule="exact"/>
              <w:ind w:left="0" w:right="0"/>
              <w:jc w:val="center"/>
              <w:rPr>
                <w:rFonts w:hint="default" w:ascii="宋体" w:hAnsi="Times New Roman" w:eastAsia="宋体" w:cs="宋体"/>
                <w:color w:val="000000"/>
                <w:sz w:val="24"/>
                <w:szCs w:val="24"/>
              </w:rPr>
            </w:pPr>
          </w:p>
        </w:tc>
      </w:tr>
      <w:tr w14:paraId="34A9B7C2">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23" w:hRule="atLeast"/>
          <w:jc w:val="center"/>
        </w:trPr>
        <w:tc>
          <w:tcPr>
            <w:tcW w:w="652" w:type="dxa"/>
            <w:vMerge w:val="continue"/>
            <w:shd w:val="solid" w:color="E2EFD9" w:fill="auto"/>
            <w:vAlign w:val="center"/>
          </w:tcPr>
          <w:p w14:paraId="5BB6CFF8">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081" w:type="dxa"/>
            <w:vMerge w:val="continue"/>
            <w:vAlign w:val="center"/>
          </w:tcPr>
          <w:p w14:paraId="012B863E">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250" w:type="dxa"/>
            <w:shd w:val="solid" w:color="E2EFD9" w:fill="auto"/>
            <w:vAlign w:val="center"/>
          </w:tcPr>
          <w:p w14:paraId="249D5D82">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color w:val="000000"/>
                <w:sz w:val="24"/>
                <w:szCs w:val="24"/>
              </w:rPr>
            </w:pPr>
            <w:r>
              <w:rPr>
                <w:rFonts w:hint="eastAsia" w:ascii="宋体" w:hAnsi="Times New Roman" w:eastAsia="宋体" w:cs="宋体"/>
                <w:color w:val="000000"/>
                <w:kern w:val="0"/>
                <w:sz w:val="24"/>
                <w:szCs w:val="24"/>
              </w:rPr>
              <w:t>......</w:t>
            </w:r>
          </w:p>
        </w:tc>
        <w:tc>
          <w:tcPr>
            <w:tcW w:w="1312" w:type="dxa"/>
            <w:vAlign w:val="center"/>
          </w:tcPr>
          <w:p w14:paraId="7C540FC4">
            <w:pPr>
              <w:keepNext w:val="0"/>
              <w:keepLines w:val="0"/>
              <w:suppressLineNumbers w:val="0"/>
              <w:spacing w:before="0" w:beforeAutospacing="0" w:after="0" w:afterAutospacing="0" w:line="300" w:lineRule="exact"/>
              <w:ind w:left="0" w:right="0"/>
              <w:rPr>
                <w:rFonts w:hint="default" w:ascii="宋体" w:hAnsi="Times New Roman" w:eastAsia="宋体" w:cs="宋体"/>
                <w:color w:val="000000"/>
                <w:sz w:val="24"/>
                <w:szCs w:val="24"/>
              </w:rPr>
            </w:pPr>
          </w:p>
        </w:tc>
        <w:tc>
          <w:tcPr>
            <w:tcW w:w="1127" w:type="dxa"/>
            <w:shd w:val="solid" w:color="E2EFD9" w:fill="auto"/>
            <w:vAlign w:val="center"/>
          </w:tcPr>
          <w:p w14:paraId="345BFC31">
            <w:pPr>
              <w:keepNext w:val="0"/>
              <w:keepLines w:val="0"/>
              <w:suppressLineNumbers w:val="0"/>
              <w:spacing w:before="0" w:beforeAutospacing="0" w:after="0" w:afterAutospacing="0" w:line="300" w:lineRule="exact"/>
              <w:ind w:left="0" w:right="0"/>
              <w:jc w:val="center"/>
              <w:rPr>
                <w:rFonts w:hint="default" w:ascii="宋体" w:hAnsi="Times New Roman" w:eastAsia="宋体" w:cs="宋体"/>
                <w:color w:val="000000"/>
                <w:sz w:val="24"/>
                <w:szCs w:val="24"/>
              </w:rPr>
            </w:pPr>
          </w:p>
        </w:tc>
        <w:tc>
          <w:tcPr>
            <w:tcW w:w="971" w:type="dxa"/>
            <w:vAlign w:val="center"/>
          </w:tcPr>
          <w:p w14:paraId="553A0503">
            <w:pPr>
              <w:keepNext w:val="0"/>
              <w:keepLines w:val="0"/>
              <w:suppressLineNumbers w:val="0"/>
              <w:spacing w:before="0" w:beforeAutospacing="0" w:after="0" w:afterAutospacing="0" w:line="300" w:lineRule="exact"/>
              <w:ind w:left="0" w:right="0"/>
              <w:jc w:val="center"/>
              <w:rPr>
                <w:rFonts w:hint="default" w:ascii="宋体" w:hAnsi="Times New Roman" w:eastAsia="宋体" w:cs="宋体"/>
                <w:color w:val="000000"/>
                <w:sz w:val="24"/>
                <w:szCs w:val="24"/>
              </w:rPr>
            </w:pPr>
          </w:p>
        </w:tc>
        <w:tc>
          <w:tcPr>
            <w:tcW w:w="1061" w:type="dxa"/>
            <w:shd w:val="solid" w:color="E2EFD9" w:fill="auto"/>
            <w:vAlign w:val="center"/>
          </w:tcPr>
          <w:p w14:paraId="1C245719">
            <w:pPr>
              <w:keepNext w:val="0"/>
              <w:keepLines w:val="0"/>
              <w:suppressLineNumbers w:val="0"/>
              <w:spacing w:before="0" w:beforeAutospacing="0" w:after="0" w:afterAutospacing="0" w:line="300" w:lineRule="exact"/>
              <w:ind w:left="0" w:right="0"/>
              <w:jc w:val="center"/>
              <w:rPr>
                <w:rFonts w:hint="default" w:ascii="宋体" w:hAnsi="Times New Roman" w:eastAsia="宋体" w:cs="宋体"/>
                <w:color w:val="000000"/>
                <w:sz w:val="24"/>
                <w:szCs w:val="24"/>
              </w:rPr>
            </w:pPr>
          </w:p>
        </w:tc>
        <w:tc>
          <w:tcPr>
            <w:tcW w:w="938" w:type="dxa"/>
            <w:vAlign w:val="center"/>
          </w:tcPr>
          <w:p w14:paraId="02358F5D">
            <w:pPr>
              <w:keepNext w:val="0"/>
              <w:keepLines w:val="0"/>
              <w:suppressLineNumbers w:val="0"/>
              <w:spacing w:before="0" w:beforeAutospacing="0" w:after="0" w:afterAutospacing="0" w:line="300" w:lineRule="exact"/>
              <w:ind w:left="0" w:right="0"/>
              <w:jc w:val="center"/>
              <w:rPr>
                <w:rFonts w:hint="default" w:ascii="宋体" w:hAnsi="Times New Roman" w:eastAsia="宋体" w:cs="宋体"/>
                <w:color w:val="000000"/>
                <w:sz w:val="24"/>
                <w:szCs w:val="24"/>
              </w:rPr>
            </w:pPr>
          </w:p>
        </w:tc>
        <w:tc>
          <w:tcPr>
            <w:tcW w:w="1841" w:type="dxa"/>
            <w:shd w:val="solid" w:color="E2EFD9" w:fill="auto"/>
            <w:vAlign w:val="center"/>
          </w:tcPr>
          <w:p w14:paraId="1C742054">
            <w:pPr>
              <w:keepNext w:val="0"/>
              <w:keepLines w:val="0"/>
              <w:suppressLineNumbers w:val="0"/>
              <w:spacing w:before="0" w:beforeAutospacing="0" w:after="0" w:afterAutospacing="0" w:line="300" w:lineRule="exact"/>
              <w:ind w:left="0" w:right="0"/>
              <w:jc w:val="center"/>
              <w:rPr>
                <w:rFonts w:hint="default" w:ascii="宋体" w:hAnsi="Times New Roman" w:eastAsia="宋体" w:cs="宋体"/>
                <w:color w:val="000000"/>
                <w:sz w:val="24"/>
                <w:szCs w:val="24"/>
              </w:rPr>
            </w:pPr>
          </w:p>
        </w:tc>
      </w:tr>
      <w:tr w14:paraId="11FF2EB7">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23" w:hRule="atLeast"/>
          <w:jc w:val="center"/>
        </w:trPr>
        <w:tc>
          <w:tcPr>
            <w:tcW w:w="652" w:type="dxa"/>
            <w:vMerge w:val="continue"/>
            <w:shd w:val="solid" w:color="E2EFD9" w:fill="auto"/>
            <w:vAlign w:val="center"/>
          </w:tcPr>
          <w:p w14:paraId="7F40F871">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081" w:type="dxa"/>
            <w:vMerge w:val="restart"/>
            <w:tcBorders>
              <w:bottom w:val="single" w:color="000000" w:sz="4" w:space="0"/>
            </w:tcBorders>
            <w:shd w:val="solid" w:color="E2EFD9" w:fill="auto"/>
            <w:vAlign w:val="center"/>
          </w:tcPr>
          <w:p w14:paraId="09DAE5F5">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color w:val="000000"/>
                <w:sz w:val="24"/>
                <w:szCs w:val="24"/>
              </w:rPr>
            </w:pPr>
            <w:r>
              <w:rPr>
                <w:rFonts w:hint="default" w:ascii="宋体" w:hAnsi="Times New Roman" w:eastAsia="宋体" w:cs="宋体"/>
                <w:color w:val="000000"/>
                <w:kern w:val="0"/>
                <w:sz w:val="24"/>
                <w:szCs w:val="24"/>
              </w:rPr>
              <w:t>效益指标</w:t>
            </w:r>
          </w:p>
        </w:tc>
        <w:tc>
          <w:tcPr>
            <w:tcW w:w="1250" w:type="dxa"/>
            <w:vMerge w:val="restart"/>
            <w:tcBorders>
              <w:bottom w:val="single" w:color="000000" w:sz="4" w:space="0"/>
            </w:tcBorders>
            <w:shd w:val="solid" w:color="E2EFD9" w:fill="auto"/>
            <w:vAlign w:val="center"/>
          </w:tcPr>
          <w:p w14:paraId="155BFFD1">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color w:val="000000"/>
                <w:kern w:val="0"/>
                <w:sz w:val="24"/>
                <w:szCs w:val="24"/>
              </w:rPr>
            </w:pPr>
            <w:r>
              <w:rPr>
                <w:rFonts w:hint="default" w:ascii="宋体" w:hAnsi="Times New Roman" w:eastAsia="宋体" w:cs="宋体"/>
                <w:color w:val="000000"/>
                <w:kern w:val="0"/>
                <w:sz w:val="24"/>
                <w:szCs w:val="24"/>
              </w:rPr>
              <w:t>经济效益</w:t>
            </w:r>
          </w:p>
          <w:p w14:paraId="552A1AC4">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color w:val="000000"/>
                <w:sz w:val="24"/>
                <w:szCs w:val="24"/>
              </w:rPr>
            </w:pPr>
            <w:r>
              <w:rPr>
                <w:rFonts w:hint="default" w:ascii="宋体" w:hAnsi="Times New Roman" w:eastAsia="宋体" w:cs="宋体"/>
                <w:color w:val="000000"/>
                <w:kern w:val="0"/>
                <w:sz w:val="24"/>
                <w:szCs w:val="24"/>
              </w:rPr>
              <w:t>指标</w:t>
            </w:r>
          </w:p>
        </w:tc>
        <w:tc>
          <w:tcPr>
            <w:tcW w:w="1312" w:type="dxa"/>
            <w:shd w:val="solid" w:color="E2EFD9" w:fill="auto"/>
            <w:vAlign w:val="center"/>
          </w:tcPr>
          <w:p w14:paraId="39A0DCDB">
            <w:pPr>
              <w:keepNext w:val="0"/>
              <w:keepLines w:val="0"/>
              <w:suppressLineNumbers w:val="0"/>
              <w:spacing w:before="0" w:beforeAutospacing="0" w:after="0" w:afterAutospacing="0" w:line="300" w:lineRule="exact"/>
              <w:ind w:left="0" w:right="0"/>
              <w:rPr>
                <w:rFonts w:hint="default" w:ascii="宋体" w:hAnsi="Times New Roman" w:eastAsia="宋体" w:cs="宋体"/>
                <w:color w:val="000000"/>
                <w:sz w:val="24"/>
                <w:szCs w:val="24"/>
              </w:rPr>
            </w:pPr>
          </w:p>
        </w:tc>
        <w:tc>
          <w:tcPr>
            <w:tcW w:w="1127" w:type="dxa"/>
            <w:shd w:val="solid" w:color="E2EFD9" w:fill="auto"/>
            <w:vAlign w:val="center"/>
          </w:tcPr>
          <w:p w14:paraId="665D9B94">
            <w:pPr>
              <w:keepNext w:val="0"/>
              <w:keepLines w:val="0"/>
              <w:suppressLineNumbers w:val="0"/>
              <w:spacing w:before="0" w:beforeAutospacing="0" w:after="0" w:afterAutospacing="0" w:line="300" w:lineRule="exact"/>
              <w:ind w:left="0" w:right="0"/>
              <w:jc w:val="center"/>
              <w:rPr>
                <w:rFonts w:hint="default" w:ascii="宋体" w:hAnsi="Times New Roman" w:eastAsia="宋体" w:cs="宋体"/>
                <w:color w:val="000000"/>
                <w:sz w:val="24"/>
                <w:szCs w:val="24"/>
              </w:rPr>
            </w:pPr>
          </w:p>
        </w:tc>
        <w:tc>
          <w:tcPr>
            <w:tcW w:w="971" w:type="dxa"/>
            <w:shd w:val="solid" w:color="E2EFD9" w:fill="auto"/>
            <w:vAlign w:val="center"/>
          </w:tcPr>
          <w:p w14:paraId="59FB23D4">
            <w:pPr>
              <w:keepNext w:val="0"/>
              <w:keepLines w:val="0"/>
              <w:suppressLineNumbers w:val="0"/>
              <w:spacing w:before="0" w:beforeAutospacing="0" w:after="0" w:afterAutospacing="0" w:line="300" w:lineRule="exact"/>
              <w:ind w:left="0" w:right="0"/>
              <w:jc w:val="center"/>
              <w:rPr>
                <w:rFonts w:hint="default" w:ascii="宋体" w:hAnsi="Times New Roman" w:eastAsia="宋体" w:cs="宋体"/>
                <w:color w:val="000000"/>
                <w:sz w:val="24"/>
                <w:szCs w:val="24"/>
              </w:rPr>
            </w:pPr>
          </w:p>
        </w:tc>
        <w:tc>
          <w:tcPr>
            <w:tcW w:w="1061" w:type="dxa"/>
            <w:shd w:val="solid" w:color="E2EFD9" w:fill="auto"/>
            <w:vAlign w:val="center"/>
          </w:tcPr>
          <w:p w14:paraId="26D16A55">
            <w:pPr>
              <w:keepNext w:val="0"/>
              <w:keepLines w:val="0"/>
              <w:suppressLineNumbers w:val="0"/>
              <w:spacing w:before="0" w:beforeAutospacing="0" w:after="0" w:afterAutospacing="0" w:line="300" w:lineRule="exact"/>
              <w:ind w:left="0" w:right="0"/>
              <w:jc w:val="center"/>
              <w:rPr>
                <w:rFonts w:hint="default" w:ascii="宋体" w:hAnsi="Times New Roman" w:eastAsia="宋体" w:cs="宋体"/>
                <w:color w:val="000000"/>
                <w:sz w:val="24"/>
                <w:szCs w:val="24"/>
              </w:rPr>
            </w:pPr>
          </w:p>
        </w:tc>
        <w:tc>
          <w:tcPr>
            <w:tcW w:w="938" w:type="dxa"/>
            <w:shd w:val="solid" w:color="E2EFD9" w:fill="auto"/>
            <w:vAlign w:val="center"/>
          </w:tcPr>
          <w:p w14:paraId="6CBBA54A">
            <w:pPr>
              <w:keepNext w:val="0"/>
              <w:keepLines w:val="0"/>
              <w:suppressLineNumbers w:val="0"/>
              <w:spacing w:before="0" w:beforeAutospacing="0" w:after="0" w:afterAutospacing="0" w:line="300" w:lineRule="exact"/>
              <w:ind w:left="0" w:right="0"/>
              <w:jc w:val="center"/>
              <w:rPr>
                <w:rFonts w:hint="default" w:ascii="宋体" w:hAnsi="Times New Roman" w:eastAsia="宋体" w:cs="宋体"/>
                <w:color w:val="000000"/>
                <w:sz w:val="24"/>
                <w:szCs w:val="24"/>
              </w:rPr>
            </w:pPr>
          </w:p>
        </w:tc>
        <w:tc>
          <w:tcPr>
            <w:tcW w:w="1841" w:type="dxa"/>
            <w:shd w:val="solid" w:color="E2EFD9" w:fill="auto"/>
            <w:vAlign w:val="center"/>
          </w:tcPr>
          <w:p w14:paraId="62985C22">
            <w:pPr>
              <w:keepNext w:val="0"/>
              <w:keepLines w:val="0"/>
              <w:suppressLineNumbers w:val="0"/>
              <w:spacing w:before="0" w:beforeAutospacing="0" w:after="0" w:afterAutospacing="0" w:line="300" w:lineRule="exact"/>
              <w:ind w:left="0" w:right="0"/>
              <w:jc w:val="center"/>
              <w:rPr>
                <w:rFonts w:hint="default" w:ascii="宋体" w:hAnsi="Times New Roman" w:eastAsia="宋体" w:cs="宋体"/>
                <w:color w:val="000000"/>
                <w:sz w:val="24"/>
                <w:szCs w:val="24"/>
              </w:rPr>
            </w:pPr>
          </w:p>
        </w:tc>
      </w:tr>
      <w:tr w14:paraId="028C33E2">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23" w:hRule="atLeast"/>
          <w:jc w:val="center"/>
        </w:trPr>
        <w:tc>
          <w:tcPr>
            <w:tcW w:w="652" w:type="dxa"/>
            <w:vMerge w:val="continue"/>
            <w:shd w:val="solid" w:color="E2EFD9" w:fill="auto"/>
            <w:vAlign w:val="center"/>
          </w:tcPr>
          <w:p w14:paraId="1DE6FE21">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081" w:type="dxa"/>
            <w:vMerge w:val="continue"/>
            <w:vAlign w:val="center"/>
          </w:tcPr>
          <w:p w14:paraId="0DDD1DD6">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250" w:type="dxa"/>
            <w:vMerge w:val="continue"/>
            <w:shd w:val="solid" w:color="E2EFD9" w:fill="auto"/>
            <w:vAlign w:val="center"/>
          </w:tcPr>
          <w:p w14:paraId="6D63A245">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312" w:type="dxa"/>
            <w:vAlign w:val="center"/>
          </w:tcPr>
          <w:p w14:paraId="47A00225">
            <w:pPr>
              <w:keepNext w:val="0"/>
              <w:keepLines w:val="0"/>
              <w:suppressLineNumbers w:val="0"/>
              <w:spacing w:before="0" w:beforeAutospacing="0" w:after="0" w:afterAutospacing="0" w:line="300" w:lineRule="exact"/>
              <w:ind w:left="0" w:right="0"/>
              <w:rPr>
                <w:rFonts w:hint="default" w:ascii="宋体" w:hAnsi="Times New Roman" w:eastAsia="宋体" w:cs="宋体"/>
                <w:color w:val="000000"/>
                <w:sz w:val="24"/>
                <w:szCs w:val="24"/>
              </w:rPr>
            </w:pPr>
          </w:p>
        </w:tc>
        <w:tc>
          <w:tcPr>
            <w:tcW w:w="1127" w:type="dxa"/>
            <w:shd w:val="solid" w:color="E2EFD9" w:fill="auto"/>
            <w:vAlign w:val="center"/>
          </w:tcPr>
          <w:p w14:paraId="49EECC6A">
            <w:pPr>
              <w:keepNext w:val="0"/>
              <w:keepLines w:val="0"/>
              <w:suppressLineNumbers w:val="0"/>
              <w:spacing w:before="0" w:beforeAutospacing="0" w:after="0" w:afterAutospacing="0" w:line="300" w:lineRule="exact"/>
              <w:ind w:left="0" w:right="0"/>
              <w:jc w:val="center"/>
              <w:rPr>
                <w:rFonts w:hint="default" w:ascii="宋体" w:hAnsi="Times New Roman" w:eastAsia="宋体" w:cs="宋体"/>
                <w:color w:val="000000"/>
                <w:sz w:val="24"/>
                <w:szCs w:val="24"/>
              </w:rPr>
            </w:pPr>
          </w:p>
        </w:tc>
        <w:tc>
          <w:tcPr>
            <w:tcW w:w="971" w:type="dxa"/>
            <w:vAlign w:val="center"/>
          </w:tcPr>
          <w:p w14:paraId="11D7606F">
            <w:pPr>
              <w:keepNext w:val="0"/>
              <w:keepLines w:val="0"/>
              <w:suppressLineNumbers w:val="0"/>
              <w:spacing w:before="0" w:beforeAutospacing="0" w:after="0" w:afterAutospacing="0" w:line="300" w:lineRule="exact"/>
              <w:ind w:left="0" w:right="0"/>
              <w:jc w:val="center"/>
              <w:rPr>
                <w:rFonts w:hint="default" w:ascii="宋体" w:hAnsi="Times New Roman" w:eastAsia="宋体" w:cs="宋体"/>
                <w:color w:val="000000"/>
                <w:sz w:val="24"/>
                <w:szCs w:val="24"/>
              </w:rPr>
            </w:pPr>
          </w:p>
        </w:tc>
        <w:tc>
          <w:tcPr>
            <w:tcW w:w="1061" w:type="dxa"/>
            <w:shd w:val="solid" w:color="E2EFD9" w:fill="auto"/>
            <w:vAlign w:val="center"/>
          </w:tcPr>
          <w:p w14:paraId="621DD72C">
            <w:pPr>
              <w:keepNext w:val="0"/>
              <w:keepLines w:val="0"/>
              <w:suppressLineNumbers w:val="0"/>
              <w:spacing w:before="0" w:beforeAutospacing="0" w:after="0" w:afterAutospacing="0" w:line="300" w:lineRule="exact"/>
              <w:ind w:left="0" w:right="0"/>
              <w:jc w:val="center"/>
              <w:rPr>
                <w:rFonts w:hint="default" w:ascii="宋体" w:hAnsi="Times New Roman" w:eastAsia="宋体" w:cs="宋体"/>
                <w:color w:val="000000"/>
                <w:sz w:val="24"/>
                <w:szCs w:val="24"/>
              </w:rPr>
            </w:pPr>
          </w:p>
        </w:tc>
        <w:tc>
          <w:tcPr>
            <w:tcW w:w="938" w:type="dxa"/>
            <w:vAlign w:val="center"/>
          </w:tcPr>
          <w:p w14:paraId="2269D453">
            <w:pPr>
              <w:keepNext w:val="0"/>
              <w:keepLines w:val="0"/>
              <w:suppressLineNumbers w:val="0"/>
              <w:spacing w:before="0" w:beforeAutospacing="0" w:after="0" w:afterAutospacing="0" w:line="300" w:lineRule="exact"/>
              <w:ind w:left="0" w:right="0"/>
              <w:jc w:val="center"/>
              <w:rPr>
                <w:rFonts w:hint="default" w:ascii="宋体" w:hAnsi="Times New Roman" w:eastAsia="宋体" w:cs="宋体"/>
                <w:color w:val="000000"/>
                <w:sz w:val="24"/>
                <w:szCs w:val="24"/>
              </w:rPr>
            </w:pPr>
          </w:p>
        </w:tc>
        <w:tc>
          <w:tcPr>
            <w:tcW w:w="1841" w:type="dxa"/>
            <w:shd w:val="solid" w:color="E2EFD9" w:fill="auto"/>
            <w:vAlign w:val="center"/>
          </w:tcPr>
          <w:p w14:paraId="20BC1353">
            <w:pPr>
              <w:keepNext w:val="0"/>
              <w:keepLines w:val="0"/>
              <w:suppressLineNumbers w:val="0"/>
              <w:spacing w:before="0" w:beforeAutospacing="0" w:after="0" w:afterAutospacing="0" w:line="300" w:lineRule="exact"/>
              <w:ind w:left="0" w:right="0"/>
              <w:jc w:val="center"/>
              <w:rPr>
                <w:rFonts w:hint="default" w:ascii="宋体" w:hAnsi="Times New Roman" w:eastAsia="宋体" w:cs="宋体"/>
                <w:color w:val="000000"/>
                <w:sz w:val="24"/>
                <w:szCs w:val="24"/>
              </w:rPr>
            </w:pPr>
          </w:p>
        </w:tc>
      </w:tr>
      <w:tr w14:paraId="03117699">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23" w:hRule="atLeast"/>
          <w:jc w:val="center"/>
        </w:trPr>
        <w:tc>
          <w:tcPr>
            <w:tcW w:w="652" w:type="dxa"/>
            <w:vMerge w:val="continue"/>
            <w:shd w:val="solid" w:color="E2EFD9" w:fill="auto"/>
            <w:vAlign w:val="center"/>
          </w:tcPr>
          <w:p w14:paraId="1D358E3F">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081" w:type="dxa"/>
            <w:vMerge w:val="continue"/>
            <w:shd w:val="solid" w:color="E2EFD9" w:fill="auto"/>
            <w:vAlign w:val="center"/>
          </w:tcPr>
          <w:p w14:paraId="2513766F">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250" w:type="dxa"/>
            <w:vMerge w:val="restart"/>
            <w:shd w:val="solid" w:color="E2EFD9" w:fill="auto"/>
            <w:vAlign w:val="center"/>
          </w:tcPr>
          <w:p w14:paraId="1FE8A527">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color w:val="000000"/>
                <w:kern w:val="0"/>
                <w:sz w:val="24"/>
                <w:szCs w:val="24"/>
              </w:rPr>
            </w:pPr>
            <w:r>
              <w:rPr>
                <w:rFonts w:hint="default" w:ascii="宋体" w:hAnsi="Times New Roman" w:eastAsia="宋体" w:cs="宋体"/>
                <w:color w:val="000000"/>
                <w:kern w:val="0"/>
                <w:sz w:val="24"/>
                <w:szCs w:val="24"/>
              </w:rPr>
              <w:t>社会效益</w:t>
            </w:r>
          </w:p>
          <w:p w14:paraId="24E7BC5B">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color w:val="000000"/>
                <w:sz w:val="24"/>
                <w:szCs w:val="24"/>
              </w:rPr>
            </w:pPr>
            <w:r>
              <w:rPr>
                <w:rFonts w:hint="default" w:ascii="宋体" w:hAnsi="Times New Roman" w:eastAsia="宋体" w:cs="宋体"/>
                <w:color w:val="000000"/>
                <w:kern w:val="0"/>
                <w:sz w:val="24"/>
                <w:szCs w:val="24"/>
              </w:rPr>
              <w:t>指标</w:t>
            </w:r>
          </w:p>
        </w:tc>
        <w:tc>
          <w:tcPr>
            <w:tcW w:w="1312" w:type="dxa"/>
            <w:shd w:val="solid" w:color="E2EFD9" w:fill="auto"/>
            <w:vAlign w:val="center"/>
          </w:tcPr>
          <w:p w14:paraId="5ADA7E17">
            <w:pPr>
              <w:keepNext w:val="0"/>
              <w:keepLines w:val="0"/>
              <w:suppressLineNumbers w:val="0"/>
              <w:spacing w:before="0" w:beforeAutospacing="0" w:after="0" w:afterAutospacing="0"/>
              <w:ind w:left="0" w:right="0"/>
              <w:rPr>
                <w:rFonts w:hint="default" w:ascii="宋体" w:hAnsi="Times New Roman" w:eastAsia="宋体" w:cs="Lucida Sans"/>
                <w:color w:val="000000"/>
                <w:sz w:val="18"/>
                <w:szCs w:val="32"/>
              </w:rPr>
            </w:pPr>
            <w:r>
              <w:rPr>
                <w:rFonts w:hint="default" w:ascii="宋体" w:hAnsi="Times New Roman" w:eastAsia="宋体" w:cs="Lucida Sans"/>
                <w:color w:val="000000"/>
                <w:sz w:val="18"/>
                <w:szCs w:val="32"/>
              </w:rPr>
              <w:t>指标1：营商环境</w:t>
            </w:r>
          </w:p>
        </w:tc>
        <w:tc>
          <w:tcPr>
            <w:tcW w:w="1127" w:type="dxa"/>
            <w:shd w:val="solid" w:color="E2EFD9" w:fill="auto"/>
            <w:vAlign w:val="center"/>
          </w:tcPr>
          <w:p w14:paraId="759090B4">
            <w:pPr>
              <w:keepNext w:val="0"/>
              <w:keepLines w:val="0"/>
              <w:suppressLineNumbers w:val="0"/>
              <w:spacing w:before="0" w:beforeAutospacing="0" w:after="0" w:afterAutospacing="0"/>
              <w:ind w:left="0" w:right="0"/>
              <w:rPr>
                <w:rFonts w:hint="default" w:ascii="宋体" w:hAnsi="Times New Roman" w:eastAsia="宋体" w:cs="Lucida Sans"/>
                <w:color w:val="000000"/>
                <w:sz w:val="18"/>
                <w:szCs w:val="32"/>
              </w:rPr>
            </w:pPr>
            <w:r>
              <w:rPr>
                <w:rFonts w:hint="default" w:ascii="宋体" w:hAnsi="Times New Roman" w:eastAsia="宋体" w:cs="Lucida Sans"/>
                <w:color w:val="000000"/>
                <w:sz w:val="18"/>
                <w:szCs w:val="32"/>
              </w:rPr>
              <w:t>定性</w:t>
            </w:r>
          </w:p>
        </w:tc>
        <w:tc>
          <w:tcPr>
            <w:tcW w:w="971" w:type="dxa"/>
            <w:shd w:val="solid" w:color="E2EFD9" w:fill="auto"/>
            <w:vAlign w:val="center"/>
          </w:tcPr>
          <w:p w14:paraId="0FFE34B0">
            <w:pPr>
              <w:keepNext w:val="0"/>
              <w:keepLines w:val="0"/>
              <w:suppressLineNumbers w:val="0"/>
              <w:spacing w:before="0" w:beforeAutospacing="0" w:after="0" w:afterAutospacing="0"/>
              <w:ind w:left="0" w:right="0"/>
              <w:rPr>
                <w:rFonts w:hint="default" w:ascii="宋体" w:hAnsi="Times New Roman" w:eastAsia="宋体" w:cs="Lucida Sans"/>
                <w:color w:val="000000"/>
                <w:sz w:val="18"/>
                <w:szCs w:val="32"/>
              </w:rPr>
            </w:pPr>
            <w:r>
              <w:rPr>
                <w:rFonts w:hint="default" w:ascii="宋体" w:hAnsi="Times New Roman" w:eastAsia="宋体" w:cs="Lucida Sans"/>
                <w:color w:val="000000"/>
                <w:sz w:val="18"/>
                <w:szCs w:val="32"/>
              </w:rPr>
              <w:t>增强“信用广元”城市品牌影响力，提升营商环境水平。</w:t>
            </w:r>
          </w:p>
        </w:tc>
        <w:tc>
          <w:tcPr>
            <w:tcW w:w="1061" w:type="dxa"/>
            <w:shd w:val="solid" w:color="E2EFD9" w:fill="auto"/>
            <w:vAlign w:val="center"/>
          </w:tcPr>
          <w:p w14:paraId="62D2F671">
            <w:pPr>
              <w:keepNext w:val="0"/>
              <w:keepLines w:val="0"/>
              <w:suppressLineNumbers w:val="0"/>
              <w:spacing w:before="0" w:beforeAutospacing="0" w:after="0" w:afterAutospacing="0"/>
              <w:ind w:left="0" w:right="0"/>
              <w:rPr>
                <w:rFonts w:hint="default" w:ascii="宋体" w:hAnsi="Times New Roman" w:eastAsia="宋体" w:cs="Times New Roman"/>
                <w:color w:val="000000"/>
                <w:sz w:val="18"/>
                <w:szCs w:val="32"/>
              </w:rPr>
            </w:pPr>
          </w:p>
        </w:tc>
        <w:tc>
          <w:tcPr>
            <w:tcW w:w="938" w:type="dxa"/>
            <w:shd w:val="solid" w:color="E2EFD9" w:fill="auto"/>
            <w:vAlign w:val="center"/>
          </w:tcPr>
          <w:p w14:paraId="1D75EC87">
            <w:pPr>
              <w:keepNext w:val="0"/>
              <w:keepLines w:val="0"/>
              <w:suppressLineNumbers w:val="0"/>
              <w:spacing w:before="0" w:beforeAutospacing="0" w:after="0" w:afterAutospacing="0"/>
              <w:ind w:left="0" w:right="0"/>
              <w:rPr>
                <w:rFonts w:hint="default" w:ascii="微软雅黑" w:hAnsi="Times New Roman" w:eastAsia="微软雅黑" w:cs="Times New Roman"/>
                <w:i/>
                <w:color w:val="000000"/>
                <w:sz w:val="16"/>
                <w:szCs w:val="32"/>
              </w:rPr>
            </w:pPr>
            <w:r>
              <w:rPr>
                <w:rFonts w:hint="default" w:ascii="微软雅黑" w:hAnsi="Times New Roman" w:eastAsia="微软雅黑" w:cs="Times New Roman"/>
                <w:i/>
                <w:color w:val="000000"/>
                <w:sz w:val="16"/>
                <w:szCs w:val="32"/>
              </w:rPr>
              <w:t>2022年和2023年全省营商环境测评市场监管指标都是“优秀”等次</w:t>
            </w:r>
          </w:p>
        </w:tc>
        <w:tc>
          <w:tcPr>
            <w:tcW w:w="1841" w:type="dxa"/>
            <w:shd w:val="solid" w:color="E2EFD9" w:fill="auto"/>
            <w:vAlign w:val="center"/>
          </w:tcPr>
          <w:p w14:paraId="076DB2A7">
            <w:pPr>
              <w:keepNext w:val="0"/>
              <w:keepLines w:val="0"/>
              <w:suppressLineNumbers w:val="0"/>
              <w:spacing w:before="0" w:beforeAutospacing="0" w:after="0" w:afterAutospacing="0"/>
              <w:ind w:left="0" w:right="0"/>
              <w:rPr>
                <w:rFonts w:hint="default" w:ascii="宋体" w:hAnsi="Times New Roman" w:eastAsia="宋体" w:cs="Lucida Sans"/>
                <w:color w:val="000000"/>
                <w:sz w:val="18"/>
                <w:szCs w:val="32"/>
              </w:rPr>
            </w:pPr>
            <w:r>
              <w:rPr>
                <w:rFonts w:hint="default" w:ascii="宋体" w:hAnsi="Times New Roman" w:eastAsia="宋体" w:cs="Lucida Sans"/>
                <w:color w:val="000000"/>
                <w:sz w:val="18"/>
                <w:szCs w:val="32"/>
              </w:rPr>
              <w:t>10</w:t>
            </w:r>
          </w:p>
        </w:tc>
      </w:tr>
      <w:tr w14:paraId="47A6F1B2">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23" w:hRule="atLeast"/>
          <w:jc w:val="center"/>
        </w:trPr>
        <w:tc>
          <w:tcPr>
            <w:tcW w:w="652" w:type="dxa"/>
            <w:vMerge w:val="continue"/>
            <w:shd w:val="solid" w:color="E2EFD9" w:fill="auto"/>
            <w:vAlign w:val="center"/>
          </w:tcPr>
          <w:p w14:paraId="0000078C">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081" w:type="dxa"/>
            <w:vMerge w:val="continue"/>
            <w:vAlign w:val="center"/>
          </w:tcPr>
          <w:p w14:paraId="7D859592">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250" w:type="dxa"/>
            <w:vMerge w:val="continue"/>
            <w:shd w:val="solid" w:color="E2EFD9" w:fill="auto"/>
            <w:vAlign w:val="center"/>
          </w:tcPr>
          <w:p w14:paraId="4541C8B0">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312" w:type="dxa"/>
            <w:vAlign w:val="center"/>
          </w:tcPr>
          <w:p w14:paraId="1CD976F7">
            <w:pPr>
              <w:keepNext w:val="0"/>
              <w:keepLines w:val="0"/>
              <w:suppressLineNumbers w:val="0"/>
              <w:spacing w:before="0" w:beforeAutospacing="0" w:after="0" w:afterAutospacing="0" w:line="300" w:lineRule="exact"/>
              <w:ind w:left="0" w:right="0"/>
              <w:rPr>
                <w:rFonts w:hint="default" w:ascii="宋体" w:hAnsi="Times New Roman" w:eastAsia="宋体" w:cs="宋体"/>
                <w:color w:val="000000"/>
                <w:sz w:val="24"/>
                <w:szCs w:val="24"/>
              </w:rPr>
            </w:pPr>
          </w:p>
        </w:tc>
        <w:tc>
          <w:tcPr>
            <w:tcW w:w="1127" w:type="dxa"/>
            <w:shd w:val="solid" w:color="E2EFD9" w:fill="auto"/>
            <w:vAlign w:val="center"/>
          </w:tcPr>
          <w:p w14:paraId="35E90F63">
            <w:pPr>
              <w:keepNext w:val="0"/>
              <w:keepLines w:val="0"/>
              <w:suppressLineNumbers w:val="0"/>
              <w:spacing w:before="0" w:beforeAutospacing="0" w:after="0" w:afterAutospacing="0" w:line="300" w:lineRule="exact"/>
              <w:ind w:left="0" w:right="0"/>
              <w:jc w:val="center"/>
              <w:rPr>
                <w:rFonts w:hint="default" w:ascii="宋体" w:hAnsi="Times New Roman" w:eastAsia="宋体" w:cs="宋体"/>
                <w:color w:val="000000"/>
                <w:sz w:val="24"/>
                <w:szCs w:val="24"/>
              </w:rPr>
            </w:pPr>
          </w:p>
        </w:tc>
        <w:tc>
          <w:tcPr>
            <w:tcW w:w="971" w:type="dxa"/>
            <w:vAlign w:val="center"/>
          </w:tcPr>
          <w:p w14:paraId="641B1978">
            <w:pPr>
              <w:keepNext w:val="0"/>
              <w:keepLines w:val="0"/>
              <w:suppressLineNumbers w:val="0"/>
              <w:spacing w:before="0" w:beforeAutospacing="0" w:after="0" w:afterAutospacing="0" w:line="300" w:lineRule="exact"/>
              <w:ind w:left="0" w:right="0"/>
              <w:jc w:val="center"/>
              <w:rPr>
                <w:rFonts w:hint="default" w:ascii="宋体" w:hAnsi="Times New Roman" w:eastAsia="宋体" w:cs="宋体"/>
                <w:color w:val="000000"/>
                <w:sz w:val="24"/>
                <w:szCs w:val="24"/>
              </w:rPr>
            </w:pPr>
          </w:p>
        </w:tc>
        <w:tc>
          <w:tcPr>
            <w:tcW w:w="1061" w:type="dxa"/>
            <w:shd w:val="solid" w:color="E2EFD9" w:fill="auto"/>
            <w:vAlign w:val="center"/>
          </w:tcPr>
          <w:p w14:paraId="5CC1848F">
            <w:pPr>
              <w:keepNext w:val="0"/>
              <w:keepLines w:val="0"/>
              <w:suppressLineNumbers w:val="0"/>
              <w:spacing w:before="0" w:beforeAutospacing="0" w:after="0" w:afterAutospacing="0" w:line="300" w:lineRule="exact"/>
              <w:ind w:left="0" w:right="0"/>
              <w:jc w:val="center"/>
              <w:rPr>
                <w:rFonts w:hint="default" w:ascii="宋体" w:hAnsi="Times New Roman" w:eastAsia="宋体" w:cs="宋体"/>
                <w:color w:val="000000"/>
                <w:sz w:val="24"/>
                <w:szCs w:val="24"/>
              </w:rPr>
            </w:pPr>
          </w:p>
        </w:tc>
        <w:tc>
          <w:tcPr>
            <w:tcW w:w="938" w:type="dxa"/>
            <w:vAlign w:val="center"/>
          </w:tcPr>
          <w:p w14:paraId="512C0B9A">
            <w:pPr>
              <w:keepNext w:val="0"/>
              <w:keepLines w:val="0"/>
              <w:suppressLineNumbers w:val="0"/>
              <w:spacing w:before="0" w:beforeAutospacing="0" w:after="0" w:afterAutospacing="0" w:line="300" w:lineRule="exact"/>
              <w:ind w:left="0" w:right="0"/>
              <w:jc w:val="center"/>
              <w:rPr>
                <w:rFonts w:hint="default" w:ascii="宋体" w:hAnsi="Times New Roman" w:eastAsia="宋体" w:cs="宋体"/>
                <w:color w:val="000000"/>
                <w:sz w:val="24"/>
                <w:szCs w:val="24"/>
              </w:rPr>
            </w:pPr>
          </w:p>
        </w:tc>
        <w:tc>
          <w:tcPr>
            <w:tcW w:w="1841" w:type="dxa"/>
            <w:shd w:val="solid" w:color="E2EFD9" w:fill="auto"/>
            <w:vAlign w:val="center"/>
          </w:tcPr>
          <w:p w14:paraId="459242DF">
            <w:pPr>
              <w:keepNext w:val="0"/>
              <w:keepLines w:val="0"/>
              <w:suppressLineNumbers w:val="0"/>
              <w:spacing w:before="0" w:beforeAutospacing="0" w:after="0" w:afterAutospacing="0" w:line="300" w:lineRule="exact"/>
              <w:ind w:left="0" w:right="0"/>
              <w:jc w:val="center"/>
              <w:rPr>
                <w:rFonts w:hint="default" w:ascii="宋体" w:hAnsi="Times New Roman" w:eastAsia="宋体" w:cs="宋体"/>
                <w:color w:val="000000"/>
                <w:sz w:val="24"/>
                <w:szCs w:val="24"/>
              </w:rPr>
            </w:pPr>
          </w:p>
        </w:tc>
      </w:tr>
      <w:tr w14:paraId="6BD1B36E">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23" w:hRule="atLeast"/>
          <w:jc w:val="center"/>
        </w:trPr>
        <w:tc>
          <w:tcPr>
            <w:tcW w:w="652" w:type="dxa"/>
            <w:vMerge w:val="continue"/>
            <w:shd w:val="solid" w:color="E2EFD9" w:fill="auto"/>
            <w:vAlign w:val="center"/>
          </w:tcPr>
          <w:p w14:paraId="5827E212">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081" w:type="dxa"/>
            <w:vMerge w:val="continue"/>
            <w:shd w:val="solid" w:color="E2EFD9" w:fill="auto"/>
            <w:vAlign w:val="center"/>
          </w:tcPr>
          <w:p w14:paraId="78606637">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250" w:type="dxa"/>
            <w:shd w:val="solid" w:color="E2EFD9" w:fill="auto"/>
            <w:vAlign w:val="center"/>
          </w:tcPr>
          <w:p w14:paraId="6127E948">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color w:val="000000"/>
                <w:sz w:val="24"/>
                <w:szCs w:val="24"/>
              </w:rPr>
            </w:pPr>
            <w:r>
              <w:rPr>
                <w:rFonts w:hint="eastAsia" w:ascii="宋体" w:hAnsi="Times New Roman" w:eastAsia="宋体" w:cs="宋体"/>
                <w:color w:val="000000"/>
                <w:kern w:val="0"/>
                <w:sz w:val="24"/>
                <w:szCs w:val="24"/>
              </w:rPr>
              <w:t>......</w:t>
            </w:r>
          </w:p>
        </w:tc>
        <w:tc>
          <w:tcPr>
            <w:tcW w:w="1312" w:type="dxa"/>
            <w:shd w:val="solid" w:color="E2EFD9" w:fill="auto"/>
            <w:vAlign w:val="center"/>
          </w:tcPr>
          <w:p w14:paraId="52023179">
            <w:pPr>
              <w:keepNext w:val="0"/>
              <w:keepLines w:val="0"/>
              <w:suppressLineNumbers w:val="0"/>
              <w:spacing w:before="0" w:beforeAutospacing="0" w:after="0" w:afterAutospacing="0" w:line="300" w:lineRule="exact"/>
              <w:ind w:left="0" w:right="0"/>
              <w:rPr>
                <w:rFonts w:hint="default" w:ascii="宋体" w:hAnsi="Times New Roman" w:eastAsia="宋体" w:cs="宋体"/>
                <w:color w:val="000000"/>
                <w:sz w:val="24"/>
                <w:szCs w:val="24"/>
              </w:rPr>
            </w:pPr>
          </w:p>
        </w:tc>
        <w:tc>
          <w:tcPr>
            <w:tcW w:w="1127" w:type="dxa"/>
            <w:shd w:val="solid" w:color="E2EFD9" w:fill="auto"/>
            <w:vAlign w:val="center"/>
          </w:tcPr>
          <w:p w14:paraId="4DC34874">
            <w:pPr>
              <w:keepNext w:val="0"/>
              <w:keepLines w:val="0"/>
              <w:suppressLineNumbers w:val="0"/>
              <w:spacing w:before="0" w:beforeAutospacing="0" w:after="0" w:afterAutospacing="0" w:line="300" w:lineRule="exact"/>
              <w:ind w:left="0" w:right="0"/>
              <w:jc w:val="center"/>
              <w:rPr>
                <w:rFonts w:hint="default" w:ascii="宋体" w:hAnsi="Times New Roman" w:eastAsia="宋体" w:cs="宋体"/>
                <w:color w:val="000000"/>
                <w:sz w:val="24"/>
                <w:szCs w:val="24"/>
              </w:rPr>
            </w:pPr>
          </w:p>
        </w:tc>
        <w:tc>
          <w:tcPr>
            <w:tcW w:w="971" w:type="dxa"/>
            <w:shd w:val="solid" w:color="E2EFD9" w:fill="auto"/>
            <w:vAlign w:val="center"/>
          </w:tcPr>
          <w:p w14:paraId="161AB089">
            <w:pPr>
              <w:keepNext w:val="0"/>
              <w:keepLines w:val="0"/>
              <w:suppressLineNumbers w:val="0"/>
              <w:spacing w:before="0" w:beforeAutospacing="0" w:after="0" w:afterAutospacing="0" w:line="300" w:lineRule="exact"/>
              <w:ind w:left="0" w:right="0"/>
              <w:jc w:val="center"/>
              <w:rPr>
                <w:rFonts w:hint="default" w:ascii="宋体" w:hAnsi="Times New Roman" w:eastAsia="宋体" w:cs="宋体"/>
                <w:color w:val="000000"/>
                <w:sz w:val="24"/>
                <w:szCs w:val="24"/>
              </w:rPr>
            </w:pPr>
          </w:p>
        </w:tc>
        <w:tc>
          <w:tcPr>
            <w:tcW w:w="1061" w:type="dxa"/>
            <w:shd w:val="solid" w:color="E2EFD9" w:fill="auto"/>
            <w:vAlign w:val="center"/>
          </w:tcPr>
          <w:p w14:paraId="739D31D8">
            <w:pPr>
              <w:keepNext w:val="0"/>
              <w:keepLines w:val="0"/>
              <w:suppressLineNumbers w:val="0"/>
              <w:spacing w:before="0" w:beforeAutospacing="0" w:after="0" w:afterAutospacing="0" w:line="300" w:lineRule="exact"/>
              <w:ind w:left="0" w:right="0"/>
              <w:jc w:val="center"/>
              <w:rPr>
                <w:rFonts w:hint="default" w:ascii="宋体" w:hAnsi="Times New Roman" w:eastAsia="宋体" w:cs="宋体"/>
                <w:color w:val="000000"/>
                <w:sz w:val="24"/>
                <w:szCs w:val="24"/>
              </w:rPr>
            </w:pPr>
          </w:p>
        </w:tc>
        <w:tc>
          <w:tcPr>
            <w:tcW w:w="938" w:type="dxa"/>
            <w:shd w:val="solid" w:color="E2EFD9" w:fill="auto"/>
            <w:vAlign w:val="center"/>
          </w:tcPr>
          <w:p w14:paraId="4143CA74">
            <w:pPr>
              <w:keepNext w:val="0"/>
              <w:keepLines w:val="0"/>
              <w:suppressLineNumbers w:val="0"/>
              <w:spacing w:before="0" w:beforeAutospacing="0" w:after="0" w:afterAutospacing="0" w:line="300" w:lineRule="exact"/>
              <w:ind w:left="0" w:right="0"/>
              <w:jc w:val="center"/>
              <w:rPr>
                <w:rFonts w:hint="default" w:ascii="宋体" w:hAnsi="Times New Roman" w:eastAsia="宋体" w:cs="宋体"/>
                <w:color w:val="000000"/>
                <w:sz w:val="24"/>
                <w:szCs w:val="24"/>
              </w:rPr>
            </w:pPr>
          </w:p>
        </w:tc>
        <w:tc>
          <w:tcPr>
            <w:tcW w:w="1841" w:type="dxa"/>
            <w:shd w:val="solid" w:color="E2EFD9" w:fill="auto"/>
            <w:vAlign w:val="center"/>
          </w:tcPr>
          <w:p w14:paraId="3607CC32">
            <w:pPr>
              <w:keepNext w:val="0"/>
              <w:keepLines w:val="0"/>
              <w:suppressLineNumbers w:val="0"/>
              <w:spacing w:before="0" w:beforeAutospacing="0" w:after="0" w:afterAutospacing="0" w:line="300" w:lineRule="exact"/>
              <w:ind w:left="0" w:right="0"/>
              <w:jc w:val="center"/>
              <w:rPr>
                <w:rFonts w:hint="default" w:ascii="宋体" w:hAnsi="Times New Roman" w:eastAsia="宋体" w:cs="宋体"/>
                <w:color w:val="000000"/>
                <w:sz w:val="24"/>
                <w:szCs w:val="24"/>
              </w:rPr>
            </w:pPr>
          </w:p>
        </w:tc>
      </w:tr>
      <w:tr w14:paraId="05B7BC42">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23" w:hRule="atLeast"/>
          <w:jc w:val="center"/>
        </w:trPr>
        <w:tc>
          <w:tcPr>
            <w:tcW w:w="652" w:type="dxa"/>
            <w:vMerge w:val="continue"/>
            <w:shd w:val="solid" w:color="E2EFD9" w:fill="auto"/>
            <w:vAlign w:val="center"/>
          </w:tcPr>
          <w:p w14:paraId="67620FA5">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081" w:type="dxa"/>
            <w:vAlign w:val="center"/>
          </w:tcPr>
          <w:p w14:paraId="5D1F382D">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color w:val="000000"/>
                <w:kern w:val="0"/>
                <w:sz w:val="24"/>
                <w:szCs w:val="24"/>
              </w:rPr>
            </w:pPr>
            <w:r>
              <w:rPr>
                <w:rFonts w:hint="default" w:ascii="宋体" w:hAnsi="Times New Roman" w:eastAsia="宋体" w:cs="宋体"/>
                <w:color w:val="000000"/>
                <w:kern w:val="0"/>
                <w:sz w:val="24"/>
                <w:szCs w:val="24"/>
              </w:rPr>
              <w:t>满意度</w:t>
            </w:r>
          </w:p>
          <w:p w14:paraId="7AD2BA3A">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color w:val="000000"/>
                <w:sz w:val="24"/>
                <w:szCs w:val="24"/>
              </w:rPr>
            </w:pPr>
            <w:r>
              <w:rPr>
                <w:rFonts w:hint="default" w:ascii="宋体" w:hAnsi="Times New Roman" w:eastAsia="宋体" w:cs="宋体"/>
                <w:color w:val="000000"/>
                <w:kern w:val="0"/>
                <w:sz w:val="24"/>
                <w:szCs w:val="24"/>
              </w:rPr>
              <w:t>指标</w:t>
            </w:r>
          </w:p>
        </w:tc>
        <w:tc>
          <w:tcPr>
            <w:tcW w:w="1250" w:type="dxa"/>
            <w:shd w:val="solid" w:color="E2EFD9" w:fill="auto"/>
            <w:vAlign w:val="center"/>
          </w:tcPr>
          <w:p w14:paraId="7583D050">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color w:val="000000"/>
                <w:kern w:val="0"/>
                <w:sz w:val="24"/>
                <w:szCs w:val="24"/>
              </w:rPr>
            </w:pPr>
            <w:r>
              <w:rPr>
                <w:rFonts w:hint="default" w:ascii="宋体" w:hAnsi="Times New Roman" w:eastAsia="宋体" w:cs="宋体"/>
                <w:color w:val="000000"/>
                <w:kern w:val="0"/>
                <w:sz w:val="24"/>
                <w:szCs w:val="24"/>
              </w:rPr>
              <w:t>服务对象</w:t>
            </w:r>
          </w:p>
          <w:p w14:paraId="125B7273">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color w:val="000000"/>
                <w:sz w:val="24"/>
                <w:szCs w:val="24"/>
              </w:rPr>
            </w:pPr>
            <w:r>
              <w:rPr>
                <w:rFonts w:hint="default" w:ascii="宋体" w:hAnsi="Times New Roman" w:eastAsia="宋体" w:cs="宋体"/>
                <w:color w:val="000000"/>
                <w:kern w:val="0"/>
                <w:sz w:val="24"/>
                <w:szCs w:val="24"/>
              </w:rPr>
              <w:t>满意度指标</w:t>
            </w:r>
          </w:p>
        </w:tc>
        <w:tc>
          <w:tcPr>
            <w:tcW w:w="1312" w:type="dxa"/>
            <w:vAlign w:val="center"/>
          </w:tcPr>
          <w:p w14:paraId="4D8D137E">
            <w:pPr>
              <w:keepNext w:val="0"/>
              <w:keepLines w:val="0"/>
              <w:suppressLineNumbers w:val="0"/>
              <w:spacing w:before="0" w:beforeAutospacing="0" w:after="0" w:afterAutospacing="0"/>
              <w:ind w:left="0" w:right="0"/>
              <w:rPr>
                <w:rFonts w:hint="default" w:ascii="宋体" w:hAnsi="Times New Roman" w:eastAsia="宋体" w:cs="Lucida Sans"/>
                <w:color w:val="000000"/>
                <w:sz w:val="18"/>
                <w:szCs w:val="32"/>
              </w:rPr>
            </w:pPr>
            <w:r>
              <w:rPr>
                <w:rFonts w:hint="default" w:ascii="宋体" w:hAnsi="Times New Roman" w:eastAsia="宋体" w:cs="Lucida Sans"/>
                <w:color w:val="000000"/>
                <w:sz w:val="18"/>
                <w:szCs w:val="32"/>
              </w:rPr>
              <w:t>指标1：公众满意度</w:t>
            </w:r>
          </w:p>
        </w:tc>
        <w:tc>
          <w:tcPr>
            <w:tcW w:w="1127" w:type="dxa"/>
            <w:shd w:val="solid" w:color="E2EFD9" w:fill="auto"/>
            <w:vAlign w:val="center"/>
          </w:tcPr>
          <w:p w14:paraId="432101F0">
            <w:pPr>
              <w:keepNext w:val="0"/>
              <w:keepLines w:val="0"/>
              <w:suppressLineNumbers w:val="0"/>
              <w:spacing w:before="0" w:beforeAutospacing="0" w:after="0" w:afterAutospacing="0"/>
              <w:ind w:left="0" w:right="0"/>
              <w:rPr>
                <w:rFonts w:hint="default" w:ascii="宋体" w:hAnsi="Times New Roman" w:eastAsia="宋体" w:cs="Lucida Sans"/>
                <w:color w:val="000000"/>
                <w:sz w:val="18"/>
                <w:szCs w:val="32"/>
              </w:rPr>
            </w:pPr>
            <w:r>
              <w:rPr>
                <w:rFonts w:hint="default" w:ascii="宋体" w:hAnsi="Times New Roman" w:eastAsia="宋体" w:cs="Lucida Sans"/>
                <w:color w:val="000000"/>
                <w:sz w:val="18"/>
                <w:szCs w:val="32"/>
              </w:rPr>
              <w:t>≥</w:t>
            </w:r>
          </w:p>
        </w:tc>
        <w:tc>
          <w:tcPr>
            <w:tcW w:w="971" w:type="dxa"/>
            <w:vAlign w:val="center"/>
          </w:tcPr>
          <w:p w14:paraId="49878ADE">
            <w:pPr>
              <w:keepNext w:val="0"/>
              <w:keepLines w:val="0"/>
              <w:suppressLineNumbers w:val="0"/>
              <w:spacing w:before="0" w:beforeAutospacing="0" w:after="0" w:afterAutospacing="0"/>
              <w:ind w:left="0" w:right="0"/>
              <w:rPr>
                <w:rFonts w:hint="default" w:ascii="宋体" w:hAnsi="Times New Roman" w:eastAsia="宋体" w:cs="Lucida Sans"/>
                <w:color w:val="000000"/>
                <w:sz w:val="18"/>
                <w:szCs w:val="32"/>
              </w:rPr>
            </w:pPr>
            <w:r>
              <w:rPr>
                <w:rFonts w:hint="default" w:ascii="宋体" w:hAnsi="Times New Roman" w:eastAsia="宋体" w:cs="Lucida Sans"/>
                <w:color w:val="000000"/>
                <w:sz w:val="18"/>
                <w:szCs w:val="32"/>
              </w:rPr>
              <w:t>90</w:t>
            </w:r>
          </w:p>
        </w:tc>
        <w:tc>
          <w:tcPr>
            <w:tcW w:w="1061" w:type="dxa"/>
            <w:shd w:val="solid" w:color="E2EFD9" w:fill="auto"/>
            <w:vAlign w:val="center"/>
          </w:tcPr>
          <w:p w14:paraId="561DA4A9">
            <w:pPr>
              <w:keepNext w:val="0"/>
              <w:keepLines w:val="0"/>
              <w:suppressLineNumbers w:val="0"/>
              <w:spacing w:before="0" w:beforeAutospacing="0" w:after="0" w:afterAutospacing="0"/>
              <w:ind w:left="0" w:right="0"/>
              <w:rPr>
                <w:rFonts w:hint="default" w:ascii="宋体" w:hAnsi="Times New Roman" w:eastAsia="宋体" w:cs="Lucida Sans"/>
                <w:color w:val="000000"/>
                <w:sz w:val="18"/>
                <w:szCs w:val="32"/>
              </w:rPr>
            </w:pPr>
            <w:r>
              <w:rPr>
                <w:rFonts w:hint="default" w:ascii="宋体" w:hAnsi="Times New Roman" w:eastAsia="宋体" w:cs="Lucida Sans"/>
                <w:color w:val="000000"/>
                <w:sz w:val="18"/>
                <w:szCs w:val="32"/>
              </w:rPr>
              <w:t>%</w:t>
            </w:r>
          </w:p>
        </w:tc>
        <w:tc>
          <w:tcPr>
            <w:tcW w:w="938" w:type="dxa"/>
            <w:vAlign w:val="center"/>
          </w:tcPr>
          <w:p w14:paraId="586ADBAA">
            <w:pPr>
              <w:keepNext w:val="0"/>
              <w:keepLines w:val="0"/>
              <w:suppressLineNumbers w:val="0"/>
              <w:spacing w:before="0" w:beforeAutospacing="0" w:after="0" w:afterAutospacing="0"/>
              <w:ind w:left="0" w:right="0"/>
              <w:jc w:val="right"/>
              <w:rPr>
                <w:rFonts w:hint="default" w:ascii="微软雅黑" w:hAnsi="Times New Roman" w:eastAsia="微软雅黑" w:cs="Lucida Sans"/>
                <w:i/>
                <w:color w:val="000000"/>
                <w:sz w:val="16"/>
                <w:szCs w:val="32"/>
              </w:rPr>
            </w:pPr>
            <w:r>
              <w:rPr>
                <w:rFonts w:hint="default" w:ascii="微软雅黑" w:hAnsi="Times New Roman" w:eastAsia="微软雅黑" w:cs="Lucida Sans"/>
                <w:i/>
                <w:color w:val="000000"/>
                <w:sz w:val="16"/>
                <w:szCs w:val="32"/>
              </w:rPr>
              <w:t>90</w:t>
            </w:r>
          </w:p>
        </w:tc>
        <w:tc>
          <w:tcPr>
            <w:tcW w:w="1841" w:type="dxa"/>
            <w:shd w:val="solid" w:color="E2EFD9" w:fill="auto"/>
            <w:vAlign w:val="center"/>
          </w:tcPr>
          <w:p w14:paraId="5B7554EA">
            <w:pPr>
              <w:keepNext w:val="0"/>
              <w:keepLines w:val="0"/>
              <w:suppressLineNumbers w:val="0"/>
              <w:spacing w:before="0" w:beforeAutospacing="0" w:after="0" w:afterAutospacing="0"/>
              <w:ind w:left="0" w:right="0"/>
              <w:rPr>
                <w:rFonts w:hint="default" w:ascii="宋体" w:hAnsi="Times New Roman" w:eastAsia="宋体" w:cs="Lucida Sans"/>
                <w:color w:val="000000"/>
                <w:sz w:val="18"/>
                <w:szCs w:val="32"/>
              </w:rPr>
            </w:pPr>
            <w:r>
              <w:rPr>
                <w:rFonts w:hint="default" w:ascii="宋体" w:hAnsi="Times New Roman" w:eastAsia="宋体" w:cs="Lucida Sans"/>
                <w:color w:val="000000"/>
                <w:sz w:val="18"/>
                <w:szCs w:val="32"/>
              </w:rPr>
              <w:t>10</w:t>
            </w:r>
          </w:p>
        </w:tc>
      </w:tr>
      <w:tr w14:paraId="61B83716">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23" w:hRule="atLeast"/>
          <w:jc w:val="center"/>
        </w:trPr>
        <w:tc>
          <w:tcPr>
            <w:tcW w:w="652" w:type="dxa"/>
            <w:vMerge w:val="continue"/>
            <w:shd w:val="solid" w:color="E2EFD9" w:fill="auto"/>
            <w:vAlign w:val="center"/>
          </w:tcPr>
          <w:p w14:paraId="347026DE">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081" w:type="dxa"/>
            <w:vMerge w:val="restart"/>
            <w:tcBorders>
              <w:bottom w:val="single" w:color="000000" w:sz="4" w:space="0"/>
            </w:tcBorders>
            <w:shd w:val="solid" w:color="E2EFD9" w:fill="auto"/>
            <w:vAlign w:val="center"/>
          </w:tcPr>
          <w:p w14:paraId="34589FA4">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color w:val="000000"/>
                <w:sz w:val="24"/>
                <w:szCs w:val="24"/>
              </w:rPr>
            </w:pPr>
            <w:r>
              <w:rPr>
                <w:rFonts w:hint="default" w:ascii="宋体" w:hAnsi="Times New Roman" w:eastAsia="宋体" w:cs="宋体"/>
                <w:color w:val="000000"/>
                <w:kern w:val="0"/>
                <w:sz w:val="24"/>
                <w:szCs w:val="24"/>
              </w:rPr>
              <w:t>成本指标</w:t>
            </w:r>
          </w:p>
        </w:tc>
        <w:tc>
          <w:tcPr>
            <w:tcW w:w="1250" w:type="dxa"/>
            <w:shd w:val="solid" w:color="E2EFD9" w:fill="auto"/>
            <w:vAlign w:val="center"/>
          </w:tcPr>
          <w:p w14:paraId="12D05F92">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color w:val="000000"/>
                <w:kern w:val="0"/>
                <w:sz w:val="24"/>
                <w:szCs w:val="24"/>
              </w:rPr>
            </w:pPr>
            <w:r>
              <w:rPr>
                <w:rFonts w:hint="default" w:ascii="宋体" w:hAnsi="Times New Roman" w:eastAsia="宋体" w:cs="宋体"/>
                <w:color w:val="000000"/>
                <w:kern w:val="0"/>
                <w:sz w:val="24"/>
                <w:szCs w:val="24"/>
              </w:rPr>
              <w:t>经济成本</w:t>
            </w:r>
          </w:p>
          <w:p w14:paraId="75071E65">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color w:val="000000"/>
                <w:sz w:val="24"/>
                <w:szCs w:val="24"/>
              </w:rPr>
            </w:pPr>
            <w:r>
              <w:rPr>
                <w:rFonts w:hint="default" w:ascii="宋体" w:hAnsi="Times New Roman" w:eastAsia="宋体" w:cs="宋体"/>
                <w:color w:val="000000"/>
                <w:kern w:val="0"/>
                <w:sz w:val="24"/>
                <w:szCs w:val="24"/>
              </w:rPr>
              <w:t>指标</w:t>
            </w:r>
          </w:p>
        </w:tc>
        <w:tc>
          <w:tcPr>
            <w:tcW w:w="1312" w:type="dxa"/>
            <w:shd w:val="solid" w:color="E2EFD9" w:fill="auto"/>
            <w:vAlign w:val="center"/>
          </w:tcPr>
          <w:p w14:paraId="3BD29228">
            <w:pPr>
              <w:keepNext w:val="0"/>
              <w:keepLines w:val="0"/>
              <w:suppressLineNumbers w:val="0"/>
              <w:spacing w:before="0" w:beforeAutospacing="0" w:after="0" w:afterAutospacing="0" w:line="300" w:lineRule="exact"/>
              <w:ind w:left="0" w:right="0"/>
              <w:rPr>
                <w:rFonts w:hint="default" w:ascii="宋体" w:hAnsi="Times New Roman" w:eastAsia="宋体" w:cs="宋体"/>
                <w:color w:val="000000"/>
                <w:sz w:val="24"/>
                <w:szCs w:val="24"/>
              </w:rPr>
            </w:pPr>
          </w:p>
        </w:tc>
        <w:tc>
          <w:tcPr>
            <w:tcW w:w="1127" w:type="dxa"/>
            <w:shd w:val="solid" w:color="E2EFD9" w:fill="auto"/>
            <w:vAlign w:val="center"/>
          </w:tcPr>
          <w:p w14:paraId="74B1A3CB">
            <w:pPr>
              <w:keepNext w:val="0"/>
              <w:keepLines w:val="0"/>
              <w:suppressLineNumbers w:val="0"/>
              <w:spacing w:before="0" w:beforeAutospacing="0" w:after="0" w:afterAutospacing="0" w:line="300" w:lineRule="exact"/>
              <w:ind w:left="0" w:right="0"/>
              <w:jc w:val="center"/>
              <w:rPr>
                <w:rFonts w:hint="default" w:ascii="宋体" w:hAnsi="Times New Roman" w:eastAsia="宋体" w:cs="宋体"/>
                <w:color w:val="000000"/>
                <w:sz w:val="24"/>
                <w:szCs w:val="24"/>
              </w:rPr>
            </w:pPr>
          </w:p>
        </w:tc>
        <w:tc>
          <w:tcPr>
            <w:tcW w:w="971" w:type="dxa"/>
            <w:shd w:val="solid" w:color="E2EFD9" w:fill="auto"/>
            <w:vAlign w:val="center"/>
          </w:tcPr>
          <w:p w14:paraId="0E3C3E0F">
            <w:pPr>
              <w:keepNext w:val="0"/>
              <w:keepLines w:val="0"/>
              <w:suppressLineNumbers w:val="0"/>
              <w:spacing w:before="0" w:beforeAutospacing="0" w:after="0" w:afterAutospacing="0" w:line="300" w:lineRule="exact"/>
              <w:ind w:left="0" w:right="0"/>
              <w:jc w:val="center"/>
              <w:rPr>
                <w:rFonts w:hint="default" w:ascii="宋体" w:hAnsi="Times New Roman" w:eastAsia="宋体" w:cs="宋体"/>
                <w:color w:val="000000"/>
                <w:sz w:val="24"/>
                <w:szCs w:val="24"/>
              </w:rPr>
            </w:pPr>
          </w:p>
        </w:tc>
        <w:tc>
          <w:tcPr>
            <w:tcW w:w="1061" w:type="dxa"/>
            <w:shd w:val="solid" w:color="E2EFD9" w:fill="auto"/>
            <w:vAlign w:val="center"/>
          </w:tcPr>
          <w:p w14:paraId="4D217246">
            <w:pPr>
              <w:keepNext w:val="0"/>
              <w:keepLines w:val="0"/>
              <w:suppressLineNumbers w:val="0"/>
              <w:spacing w:before="0" w:beforeAutospacing="0" w:after="0" w:afterAutospacing="0" w:line="300" w:lineRule="exact"/>
              <w:ind w:left="0" w:right="0"/>
              <w:jc w:val="center"/>
              <w:rPr>
                <w:rFonts w:hint="default" w:ascii="宋体" w:hAnsi="Times New Roman" w:eastAsia="宋体" w:cs="宋体"/>
                <w:color w:val="000000"/>
                <w:sz w:val="24"/>
                <w:szCs w:val="24"/>
              </w:rPr>
            </w:pPr>
          </w:p>
        </w:tc>
        <w:tc>
          <w:tcPr>
            <w:tcW w:w="938" w:type="dxa"/>
            <w:shd w:val="solid" w:color="E2EFD9" w:fill="auto"/>
            <w:vAlign w:val="center"/>
          </w:tcPr>
          <w:p w14:paraId="355B146F">
            <w:pPr>
              <w:keepNext w:val="0"/>
              <w:keepLines w:val="0"/>
              <w:suppressLineNumbers w:val="0"/>
              <w:spacing w:before="0" w:beforeAutospacing="0" w:after="0" w:afterAutospacing="0" w:line="300" w:lineRule="exact"/>
              <w:ind w:left="0" w:right="0"/>
              <w:jc w:val="center"/>
              <w:rPr>
                <w:rFonts w:hint="default" w:ascii="宋体" w:hAnsi="Times New Roman" w:eastAsia="宋体" w:cs="宋体"/>
                <w:color w:val="000000"/>
                <w:sz w:val="24"/>
                <w:szCs w:val="24"/>
              </w:rPr>
            </w:pPr>
          </w:p>
        </w:tc>
        <w:tc>
          <w:tcPr>
            <w:tcW w:w="1841" w:type="dxa"/>
            <w:shd w:val="solid" w:color="E2EFD9" w:fill="auto"/>
            <w:vAlign w:val="center"/>
          </w:tcPr>
          <w:p w14:paraId="12C3770A">
            <w:pPr>
              <w:keepNext w:val="0"/>
              <w:keepLines w:val="0"/>
              <w:suppressLineNumbers w:val="0"/>
              <w:spacing w:before="0" w:beforeAutospacing="0" w:after="0" w:afterAutospacing="0" w:line="300" w:lineRule="exact"/>
              <w:ind w:left="0" w:right="0"/>
              <w:jc w:val="center"/>
              <w:rPr>
                <w:rFonts w:hint="default" w:ascii="宋体" w:hAnsi="Times New Roman" w:eastAsia="宋体" w:cs="宋体"/>
                <w:color w:val="000000"/>
                <w:sz w:val="24"/>
                <w:szCs w:val="24"/>
              </w:rPr>
            </w:pPr>
          </w:p>
        </w:tc>
      </w:tr>
      <w:tr w14:paraId="2C1EF852">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23" w:hRule="atLeast"/>
          <w:jc w:val="center"/>
        </w:trPr>
        <w:tc>
          <w:tcPr>
            <w:tcW w:w="652" w:type="dxa"/>
            <w:vMerge w:val="continue"/>
            <w:shd w:val="solid" w:color="E2EFD9" w:fill="auto"/>
            <w:vAlign w:val="center"/>
          </w:tcPr>
          <w:p w14:paraId="2D1AC5CD">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081" w:type="dxa"/>
            <w:vMerge w:val="continue"/>
            <w:vAlign w:val="center"/>
          </w:tcPr>
          <w:p w14:paraId="44F698BD">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250" w:type="dxa"/>
            <w:shd w:val="solid" w:color="E2EFD9" w:fill="auto"/>
            <w:vAlign w:val="center"/>
          </w:tcPr>
          <w:p w14:paraId="5ED2FEFD">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color w:val="000000"/>
                <w:sz w:val="24"/>
                <w:szCs w:val="24"/>
              </w:rPr>
            </w:pPr>
            <w:r>
              <w:rPr>
                <w:rFonts w:hint="eastAsia" w:ascii="宋体" w:hAnsi="Times New Roman" w:eastAsia="宋体" w:cs="宋体"/>
                <w:color w:val="000000"/>
                <w:kern w:val="0"/>
                <w:sz w:val="24"/>
                <w:szCs w:val="24"/>
              </w:rPr>
              <w:t>......</w:t>
            </w:r>
          </w:p>
        </w:tc>
        <w:tc>
          <w:tcPr>
            <w:tcW w:w="1312" w:type="dxa"/>
            <w:vAlign w:val="center"/>
          </w:tcPr>
          <w:p w14:paraId="26D1AFCF">
            <w:pPr>
              <w:keepNext w:val="0"/>
              <w:keepLines w:val="0"/>
              <w:suppressLineNumbers w:val="0"/>
              <w:spacing w:before="0" w:beforeAutospacing="0" w:after="0" w:afterAutospacing="0" w:line="300" w:lineRule="exact"/>
              <w:ind w:left="0" w:right="0"/>
              <w:rPr>
                <w:rFonts w:hint="default" w:ascii="宋体" w:hAnsi="Times New Roman" w:eastAsia="宋体" w:cs="宋体"/>
                <w:color w:val="000000"/>
                <w:sz w:val="24"/>
                <w:szCs w:val="24"/>
              </w:rPr>
            </w:pPr>
          </w:p>
        </w:tc>
        <w:tc>
          <w:tcPr>
            <w:tcW w:w="1127" w:type="dxa"/>
            <w:shd w:val="solid" w:color="E2EFD9" w:fill="auto"/>
            <w:vAlign w:val="center"/>
          </w:tcPr>
          <w:p w14:paraId="4C754774">
            <w:pPr>
              <w:keepNext w:val="0"/>
              <w:keepLines w:val="0"/>
              <w:suppressLineNumbers w:val="0"/>
              <w:spacing w:before="0" w:beforeAutospacing="0" w:after="0" w:afterAutospacing="0" w:line="300" w:lineRule="exact"/>
              <w:ind w:left="0" w:right="0"/>
              <w:jc w:val="center"/>
              <w:rPr>
                <w:rFonts w:hint="default" w:ascii="宋体" w:hAnsi="Times New Roman" w:eastAsia="宋体" w:cs="宋体"/>
                <w:color w:val="000000"/>
                <w:sz w:val="24"/>
                <w:szCs w:val="24"/>
              </w:rPr>
            </w:pPr>
          </w:p>
        </w:tc>
        <w:tc>
          <w:tcPr>
            <w:tcW w:w="971" w:type="dxa"/>
            <w:vAlign w:val="center"/>
          </w:tcPr>
          <w:p w14:paraId="78EBF372">
            <w:pPr>
              <w:keepNext w:val="0"/>
              <w:keepLines w:val="0"/>
              <w:suppressLineNumbers w:val="0"/>
              <w:spacing w:before="0" w:beforeAutospacing="0" w:after="0" w:afterAutospacing="0" w:line="300" w:lineRule="exact"/>
              <w:ind w:left="0" w:right="0"/>
              <w:jc w:val="center"/>
              <w:rPr>
                <w:rFonts w:hint="default" w:ascii="宋体" w:hAnsi="Times New Roman" w:eastAsia="宋体" w:cs="宋体"/>
                <w:color w:val="000000"/>
                <w:sz w:val="24"/>
                <w:szCs w:val="24"/>
              </w:rPr>
            </w:pPr>
          </w:p>
        </w:tc>
        <w:tc>
          <w:tcPr>
            <w:tcW w:w="1061" w:type="dxa"/>
            <w:shd w:val="solid" w:color="E2EFD9" w:fill="auto"/>
            <w:vAlign w:val="center"/>
          </w:tcPr>
          <w:p w14:paraId="264B0DEA">
            <w:pPr>
              <w:keepNext w:val="0"/>
              <w:keepLines w:val="0"/>
              <w:suppressLineNumbers w:val="0"/>
              <w:spacing w:before="0" w:beforeAutospacing="0" w:after="0" w:afterAutospacing="0" w:line="300" w:lineRule="exact"/>
              <w:ind w:left="0" w:right="0"/>
              <w:jc w:val="center"/>
              <w:rPr>
                <w:rFonts w:hint="default" w:ascii="宋体" w:hAnsi="Times New Roman" w:eastAsia="宋体" w:cs="宋体"/>
                <w:color w:val="000000"/>
                <w:sz w:val="24"/>
                <w:szCs w:val="24"/>
              </w:rPr>
            </w:pPr>
          </w:p>
        </w:tc>
        <w:tc>
          <w:tcPr>
            <w:tcW w:w="938" w:type="dxa"/>
            <w:vAlign w:val="center"/>
          </w:tcPr>
          <w:p w14:paraId="057158CC">
            <w:pPr>
              <w:keepNext w:val="0"/>
              <w:keepLines w:val="0"/>
              <w:suppressLineNumbers w:val="0"/>
              <w:spacing w:before="0" w:beforeAutospacing="0" w:after="0" w:afterAutospacing="0" w:line="300" w:lineRule="exact"/>
              <w:ind w:left="0" w:right="0"/>
              <w:jc w:val="center"/>
              <w:rPr>
                <w:rFonts w:hint="default" w:ascii="宋体" w:hAnsi="Times New Roman" w:eastAsia="宋体" w:cs="宋体"/>
                <w:color w:val="000000"/>
                <w:sz w:val="24"/>
                <w:szCs w:val="24"/>
              </w:rPr>
            </w:pPr>
          </w:p>
        </w:tc>
        <w:tc>
          <w:tcPr>
            <w:tcW w:w="1841" w:type="dxa"/>
            <w:shd w:val="solid" w:color="E2EFD9" w:fill="auto"/>
            <w:vAlign w:val="center"/>
          </w:tcPr>
          <w:p w14:paraId="66A5FA4F">
            <w:pPr>
              <w:keepNext w:val="0"/>
              <w:keepLines w:val="0"/>
              <w:suppressLineNumbers w:val="0"/>
              <w:spacing w:before="0" w:beforeAutospacing="0" w:after="0" w:afterAutospacing="0" w:line="300" w:lineRule="exact"/>
              <w:ind w:left="0" w:right="0"/>
              <w:jc w:val="center"/>
              <w:rPr>
                <w:rFonts w:hint="default" w:ascii="宋体" w:hAnsi="Times New Roman" w:eastAsia="宋体" w:cs="宋体"/>
                <w:color w:val="000000"/>
                <w:sz w:val="24"/>
                <w:szCs w:val="24"/>
              </w:rPr>
            </w:pPr>
          </w:p>
        </w:tc>
      </w:tr>
    </w:tbl>
    <w:p w14:paraId="0760C251">
      <w:pPr>
        <w:spacing w:line="600" w:lineRule="exact"/>
        <w:jc w:val="center"/>
        <w:outlineLvl w:val="0"/>
        <w:rPr>
          <w:rFonts w:hint="eastAsia" w:ascii="黑体" w:hAnsi="黑体" w:eastAsia="黑体"/>
          <w:color w:val="auto"/>
          <w:sz w:val="44"/>
          <w:szCs w:val="44"/>
          <w:highlight w:val="none"/>
        </w:rPr>
      </w:pPr>
    </w:p>
    <w:p w14:paraId="4A003C1A">
      <w:pPr>
        <w:widowControl w:val="0"/>
        <w:spacing w:line="578" w:lineRule="exact"/>
        <w:jc w:val="center"/>
        <w:rPr>
          <w:rFonts w:ascii="方正小标宋简体" w:hAnsi="??" w:eastAsia="方正小标宋简体" w:cs="方正小标宋简体"/>
          <w:color w:val="auto"/>
          <w:kern w:val="2"/>
          <w:sz w:val="44"/>
          <w:szCs w:val="44"/>
          <w:lang w:val="en-US" w:eastAsia="zh-CN" w:bidi="ar-SA"/>
        </w:rPr>
      </w:pPr>
      <w:r>
        <w:rPr>
          <w:rFonts w:hint="eastAsia" w:ascii="方正小标宋简体" w:hAnsi="??" w:eastAsia="方正小标宋简体" w:cs="方正小标宋简体"/>
          <w:color w:val="auto"/>
          <w:kern w:val="2"/>
          <w:sz w:val="44"/>
          <w:szCs w:val="44"/>
          <w:lang w:val="en-US" w:eastAsia="zh-CN" w:bidi="ar-SA"/>
        </w:rPr>
        <w:t>2023年度公共信用平台建设项目</w:t>
      </w:r>
    </w:p>
    <w:p w14:paraId="62BDA36B">
      <w:pPr>
        <w:widowControl w:val="0"/>
        <w:spacing w:line="578" w:lineRule="exact"/>
        <w:jc w:val="center"/>
        <w:rPr>
          <w:rFonts w:ascii="方正小标宋简体" w:hAnsi="??" w:eastAsia="方正小标宋简体" w:cs="方正小标宋简体"/>
          <w:color w:val="auto"/>
          <w:kern w:val="2"/>
          <w:sz w:val="44"/>
          <w:szCs w:val="44"/>
          <w:lang w:val="en-US" w:eastAsia="zh-CN" w:bidi="ar-SA"/>
        </w:rPr>
      </w:pPr>
      <w:r>
        <w:rPr>
          <w:rFonts w:hint="eastAsia" w:ascii="方正小标宋简体" w:hAnsi="??" w:eastAsia="方正小标宋简体" w:cs="方正小标宋简体"/>
          <w:color w:val="auto"/>
          <w:kern w:val="2"/>
          <w:sz w:val="44"/>
          <w:szCs w:val="44"/>
          <w:lang w:val="en-US" w:eastAsia="zh-CN" w:bidi="ar-SA"/>
        </w:rPr>
        <w:t>专项预算项目绩效评价报告范本</w:t>
      </w:r>
    </w:p>
    <w:p w14:paraId="28482CAA">
      <w:pPr>
        <w:widowControl w:val="0"/>
        <w:spacing w:line="578" w:lineRule="exact"/>
        <w:ind w:firstLine="640"/>
        <w:jc w:val="center"/>
        <w:rPr>
          <w:rFonts w:ascii="宋体" w:hAnsi="??" w:eastAsia="宋体" w:cs="Times New Roman"/>
          <w:color w:val="auto"/>
          <w:kern w:val="2"/>
          <w:sz w:val="32"/>
          <w:szCs w:val="32"/>
          <w:lang w:val="zh-CN" w:eastAsia="zh-CN" w:bidi="ar-SA"/>
        </w:rPr>
      </w:pPr>
    </w:p>
    <w:p w14:paraId="2E0CA14C">
      <w:pPr>
        <w:adjustRightInd w:val="0"/>
        <w:snapToGrid w:val="0"/>
        <w:spacing w:line="578" w:lineRule="exact"/>
        <w:ind w:firstLine="640" w:firstLineChars="200"/>
        <w:rPr>
          <w:rFonts w:ascii="黑体" w:hAnsi="Times New Roman" w:eastAsia="黑体" w:cs="Times New Roman"/>
          <w:sz w:val="32"/>
          <w:szCs w:val="32"/>
          <w:lang w:val="zh-CN"/>
        </w:rPr>
      </w:pPr>
      <w:r>
        <w:rPr>
          <w:rFonts w:hint="eastAsia" w:ascii="黑体" w:hAnsi="Times New Roman" w:eastAsia="黑体" w:cs="Times New Roman"/>
          <w:sz w:val="32"/>
          <w:szCs w:val="32"/>
        </w:rPr>
        <w:t>一、</w:t>
      </w:r>
      <w:r>
        <w:rPr>
          <w:rFonts w:hint="eastAsia" w:ascii="黑体" w:hAnsi="Times New Roman" w:eastAsia="黑体" w:cs="Times New Roman"/>
          <w:sz w:val="32"/>
          <w:szCs w:val="32"/>
          <w:lang w:val="zh-CN"/>
        </w:rPr>
        <w:t>项目概况</w:t>
      </w:r>
    </w:p>
    <w:p w14:paraId="61E3107A">
      <w:pPr>
        <w:spacing w:line="560" w:lineRule="exact"/>
        <w:ind w:firstLine="640"/>
        <w:rPr>
          <w:rFonts w:ascii="仿宋_GB2312" w:hAnsi="Times New Roman" w:eastAsia="仿宋_GB2312" w:cs="仿宋_GB2312"/>
          <w:sz w:val="32"/>
          <w:szCs w:val="32"/>
        </w:rPr>
      </w:pPr>
      <w:r>
        <w:rPr>
          <w:rFonts w:hint="eastAsia" w:ascii="楷体_GB2312" w:hAnsi="Times New Roman" w:eastAsia="楷体_GB2312" w:cs="Times New Roman"/>
          <w:b/>
          <w:sz w:val="32"/>
          <w:szCs w:val="32"/>
          <w:lang w:val="zh-CN"/>
        </w:rPr>
        <w:t>（一）设立背景及基本情况。</w:t>
      </w:r>
      <w:r>
        <w:rPr>
          <w:rFonts w:ascii="仿宋_GB2312" w:hAnsi="Times New Roman" w:eastAsia="仿宋_GB2312" w:cs="Times New Roman"/>
          <w:sz w:val="32"/>
          <w:szCs w:val="32"/>
        </w:rPr>
        <w:t>由我委代市人民政府承建的</w:t>
      </w:r>
      <w:r>
        <w:rPr>
          <w:rFonts w:hint="eastAsia" w:ascii="仿宋_GB2312" w:hAnsi="Times New Roman" w:eastAsia="仿宋_GB2312" w:cs="Times New Roman"/>
          <w:sz w:val="32"/>
          <w:szCs w:val="32"/>
        </w:rPr>
        <w:t>广元市公共信用平台（一期）</w:t>
      </w:r>
      <w:r>
        <w:rPr>
          <w:rFonts w:ascii="仿宋_GB2312" w:hAnsi="Times New Roman" w:eastAsia="仿宋_GB2312" w:cs="Times New Roman"/>
          <w:sz w:val="32"/>
          <w:szCs w:val="32"/>
        </w:rPr>
        <w:t>项目</w:t>
      </w:r>
      <w:r>
        <w:rPr>
          <w:rFonts w:hint="eastAsia" w:ascii="仿宋_GB2312" w:hAnsi="Times New Roman" w:eastAsia="仿宋_GB2312" w:cs="Times New Roman"/>
          <w:bCs/>
          <w:sz w:val="32"/>
          <w:szCs w:val="32"/>
        </w:rPr>
        <w:t>于2018年启动，2019年3月开工建设，2020年9月开始驻场运维</w:t>
      </w:r>
      <w:r>
        <w:rPr>
          <w:rFonts w:ascii="仿宋_GB2312" w:hAnsi="Times New Roman" w:eastAsia="仿宋_GB2312" w:cs="Times New Roman"/>
          <w:bCs/>
          <w:sz w:val="32"/>
          <w:szCs w:val="32"/>
        </w:rPr>
        <w:t>，2023年</w:t>
      </w:r>
      <w:r>
        <w:rPr>
          <w:rFonts w:hint="eastAsia" w:ascii="仿宋_GB2312" w:hAnsi="Times New Roman" w:eastAsia="仿宋_GB2312" w:cs="Times New Roman"/>
          <w:bCs/>
          <w:sz w:val="32"/>
          <w:szCs w:val="32"/>
        </w:rPr>
        <w:t>8月31日服务期满。</w:t>
      </w:r>
      <w:r>
        <w:rPr>
          <w:rFonts w:ascii="仿宋_GB2312" w:hAnsi="Times New Roman" w:eastAsia="仿宋_GB2312" w:cs="Times New Roman"/>
          <w:bCs/>
          <w:sz w:val="32"/>
          <w:szCs w:val="32"/>
        </w:rPr>
        <w:t>因</w:t>
      </w:r>
      <w:r>
        <w:rPr>
          <w:rFonts w:ascii="仿宋_GB2312" w:hAnsi="Times New Roman" w:eastAsia="仿宋_GB2312" w:cs="Times New Roman"/>
          <w:sz w:val="32"/>
          <w:szCs w:val="32"/>
        </w:rPr>
        <w:t>前期</w:t>
      </w:r>
      <w:r>
        <w:rPr>
          <w:rFonts w:hint="eastAsia" w:ascii="仿宋_GB2312" w:hAnsi="Times New Roman" w:eastAsia="仿宋_GB2312" w:cs="Times New Roman"/>
          <w:sz w:val="32"/>
          <w:szCs w:val="32"/>
        </w:rPr>
        <w:t>广元市公共信用平台建设项目（二期</w:t>
      </w:r>
      <w:r>
        <w:rPr>
          <w:rFonts w:ascii="仿宋_GB2312" w:hAnsi="Times New Roman" w:eastAsia="仿宋_GB2312" w:cs="Times New Roman"/>
          <w:sz w:val="32"/>
          <w:szCs w:val="32"/>
        </w:rPr>
        <w:t>）</w:t>
      </w:r>
      <w:r>
        <w:rPr>
          <w:rFonts w:hint="eastAsia" w:ascii="仿宋_GB2312" w:hAnsi="Times New Roman" w:eastAsia="仿宋_GB2312" w:cs="Times New Roman"/>
          <w:sz w:val="32"/>
          <w:szCs w:val="32"/>
        </w:rPr>
        <w:t>纳入“广元市新型智慧城市建设项目”（“城市大脑”项目）整体建设</w:t>
      </w:r>
      <w:r>
        <w:rPr>
          <w:rFonts w:ascii="仿宋_GB2312" w:hAnsi="Times New Roman" w:eastAsia="仿宋_GB2312" w:cs="Times New Roman"/>
          <w:sz w:val="32"/>
          <w:szCs w:val="32"/>
        </w:rPr>
        <w:t>，并</w:t>
      </w:r>
      <w:r>
        <w:rPr>
          <w:rFonts w:hint="eastAsia" w:ascii="仿宋_GB2312" w:hAnsi="Times New Roman" w:eastAsia="仿宋_GB2312" w:cs="Times New Roman"/>
          <w:sz w:val="32"/>
          <w:szCs w:val="32"/>
        </w:rPr>
        <w:t>估算总投资500万元（含三年驻场运维费用）</w:t>
      </w:r>
      <w:r>
        <w:rPr>
          <w:rFonts w:ascii="仿宋_GB2312" w:hAnsi="Times New Roman" w:eastAsia="仿宋_GB2312" w:cs="Times New Roman"/>
          <w:sz w:val="32"/>
          <w:szCs w:val="32"/>
        </w:rPr>
        <w:t>，</w:t>
      </w:r>
      <w:r>
        <w:rPr>
          <w:rFonts w:hint="eastAsia" w:ascii="仿宋_GB2312" w:hAnsi="Times New Roman" w:eastAsia="仿宋_GB2312" w:cs="Times New Roman"/>
          <w:sz w:val="32"/>
          <w:szCs w:val="32"/>
        </w:rPr>
        <w:t>由于</w:t>
      </w:r>
      <w:r>
        <w:rPr>
          <w:rFonts w:ascii="仿宋_GB2312" w:hAnsi="Times New Roman" w:eastAsia="仿宋_GB2312" w:cs="Times New Roman"/>
          <w:sz w:val="32"/>
          <w:szCs w:val="32"/>
        </w:rPr>
        <w:t>“</w:t>
      </w:r>
      <w:r>
        <w:rPr>
          <w:rFonts w:hint="eastAsia" w:ascii="仿宋_GB2312" w:hAnsi="Times New Roman" w:eastAsia="仿宋_GB2312" w:cs="Times New Roman"/>
          <w:sz w:val="32"/>
          <w:szCs w:val="32"/>
        </w:rPr>
        <w:t>城市大脑</w:t>
      </w:r>
      <w:r>
        <w:rPr>
          <w:rFonts w:ascii="仿宋_GB2312" w:hAnsi="Times New Roman" w:eastAsia="仿宋_GB2312" w:cs="Times New Roman"/>
          <w:sz w:val="32"/>
          <w:szCs w:val="32"/>
        </w:rPr>
        <w:t>”</w:t>
      </w:r>
      <w:r>
        <w:rPr>
          <w:rFonts w:hint="eastAsia" w:ascii="仿宋_GB2312" w:hAnsi="Times New Roman" w:eastAsia="仿宋_GB2312" w:cs="Times New Roman"/>
          <w:sz w:val="32"/>
          <w:szCs w:val="32"/>
        </w:rPr>
        <w:t>项目建设</w:t>
      </w:r>
      <w:r>
        <w:rPr>
          <w:rFonts w:ascii="仿宋_GB2312" w:hAnsi="Times New Roman" w:eastAsia="仿宋_GB2312" w:cs="Times New Roman"/>
          <w:sz w:val="32"/>
          <w:szCs w:val="32"/>
        </w:rPr>
        <w:t>进度</w:t>
      </w:r>
      <w:r>
        <w:rPr>
          <w:rFonts w:hint="eastAsia" w:ascii="仿宋_GB2312" w:hAnsi="Times New Roman" w:eastAsia="仿宋_GB2312" w:cs="Times New Roman"/>
          <w:sz w:val="32"/>
          <w:szCs w:val="32"/>
        </w:rPr>
        <w:t>缓慢未得到实际推进，</w:t>
      </w:r>
      <w:r>
        <w:rPr>
          <w:rFonts w:ascii="仿宋_GB2312" w:hAnsi="Times New Roman" w:eastAsia="仿宋_GB2312" w:cs="Times New Roman"/>
          <w:sz w:val="32"/>
          <w:szCs w:val="32"/>
        </w:rPr>
        <w:t>且</w:t>
      </w:r>
      <w:r>
        <w:rPr>
          <w:rFonts w:ascii="仿宋_GB2312" w:hAnsi="Times New Roman" w:eastAsia="仿宋_GB2312" w:cs="Times New Roman"/>
          <w:bCs/>
          <w:sz w:val="32"/>
          <w:szCs w:val="32"/>
        </w:rPr>
        <w:t>当时正</w:t>
      </w:r>
      <w:r>
        <w:rPr>
          <w:rFonts w:ascii="仿宋_GB2312" w:hAnsi="Times New Roman" w:eastAsia="仿宋_GB2312" w:cs="Times New Roman"/>
          <w:sz w:val="32"/>
          <w:szCs w:val="32"/>
        </w:rPr>
        <w:t>值我市创建全国第四批社会信用体系建设示范区的关键期</w:t>
      </w:r>
      <w:r>
        <w:rPr>
          <w:rFonts w:hint="eastAsia" w:ascii="仿宋_GB2312" w:hAnsi="Times New Roman" w:eastAsia="仿宋_GB2312" w:cs="Times New Roman"/>
          <w:sz w:val="32"/>
          <w:szCs w:val="32"/>
        </w:rPr>
        <w:t>，</w:t>
      </w:r>
      <w:r>
        <w:rPr>
          <w:rFonts w:ascii="仿宋_GB2312" w:hAnsi="Times New Roman" w:eastAsia="仿宋_GB2312" w:cs="Times New Roman"/>
          <w:sz w:val="32"/>
          <w:szCs w:val="32"/>
        </w:rPr>
        <w:t>为保障</w:t>
      </w:r>
      <w:r>
        <w:rPr>
          <w:rFonts w:hint="eastAsia" w:ascii="仿宋_GB2312" w:hAnsi="Times New Roman" w:eastAsia="仿宋_GB2312" w:cs="Times New Roman"/>
          <w:sz w:val="32"/>
          <w:szCs w:val="32"/>
        </w:rPr>
        <w:t>信用平台</w:t>
      </w:r>
      <w:r>
        <w:rPr>
          <w:rFonts w:ascii="仿宋_GB2312" w:hAnsi="Times New Roman" w:eastAsia="仿宋_GB2312" w:cs="Times New Roman"/>
          <w:sz w:val="32"/>
          <w:szCs w:val="32"/>
        </w:rPr>
        <w:t>正常运转</w:t>
      </w:r>
      <w:r>
        <w:rPr>
          <w:rFonts w:hint="eastAsia" w:ascii="仿宋_GB2312" w:hAnsi="Times New Roman" w:eastAsia="仿宋_GB2312" w:cs="Times New Roman"/>
          <w:sz w:val="32"/>
          <w:szCs w:val="32"/>
        </w:rPr>
        <w:t>，</w:t>
      </w:r>
      <w:r>
        <w:rPr>
          <w:rFonts w:ascii="仿宋_GB2312" w:hAnsi="Times New Roman" w:eastAsia="仿宋_GB2312" w:cs="Times New Roman"/>
          <w:sz w:val="32"/>
          <w:szCs w:val="32"/>
        </w:rPr>
        <w:t>确保一举拿下示范区国字号金招牌。</w:t>
      </w:r>
      <w:r>
        <w:rPr>
          <w:rFonts w:hint="eastAsia" w:ascii="仿宋_GB2312" w:hAnsi="Times New Roman" w:eastAsia="仿宋_GB2312" w:cs="Calibri"/>
          <w:sz w:val="32"/>
          <w:szCs w:val="32"/>
          <w:shd w:val="clear" w:color="000000" w:fill="auto"/>
        </w:rPr>
        <w:t>同时根据《四川省社会信用条例》第五条“县级以上地方人民政府应当加强对社会信用工作的领导，建立健全社会信用体系建设统筹协调机制，将社会信用体系建设纳入国民经济和社会发展规划，所需费用纳入本级预算，并将社会信用体系建设工作纳入目标责任制考核体系”之规定，</w:t>
      </w:r>
      <w:r>
        <w:rPr>
          <w:rFonts w:ascii="仿宋_GB2312" w:hAnsi="Times New Roman" w:eastAsia="仿宋_GB2312" w:cs="Calibri"/>
          <w:sz w:val="32"/>
          <w:szCs w:val="32"/>
          <w:shd w:val="clear" w:color="000000" w:fill="auto"/>
        </w:rPr>
        <w:t>特申请广元市公共信用信息平台年度运维费用，并对广元市公共信用平台建设项目（一期）进行审计鉴证及财务决算。</w:t>
      </w:r>
    </w:p>
    <w:p w14:paraId="7BCE7AB4">
      <w:pPr>
        <w:adjustRightInd w:val="0"/>
        <w:snapToGrid w:val="0"/>
        <w:spacing w:line="578" w:lineRule="exact"/>
        <w:ind w:firstLine="643" w:firstLineChars="200"/>
        <w:rPr>
          <w:rFonts w:ascii="楷体_GB2312" w:hAnsi="Times New Roman" w:eastAsia="楷体_GB2312" w:cs="Times New Roman"/>
          <w:b/>
          <w:color w:val="FF0000"/>
          <w:sz w:val="32"/>
          <w:szCs w:val="32"/>
          <w:lang w:val="zh-CN"/>
        </w:rPr>
      </w:pPr>
      <w:r>
        <w:rPr>
          <w:rFonts w:hint="eastAsia" w:ascii="楷体_GB2312" w:hAnsi="Times New Roman" w:eastAsia="楷体_GB2312" w:cs="Times New Roman"/>
          <w:b/>
          <w:sz w:val="32"/>
          <w:szCs w:val="32"/>
          <w:lang w:val="zh-CN"/>
        </w:rPr>
        <w:t>（二）</w:t>
      </w:r>
      <w:r>
        <w:rPr>
          <w:rFonts w:ascii="楷体_GB2312" w:hAnsi="Times New Roman" w:eastAsia="楷体_GB2312" w:cs="Times New Roman"/>
          <w:b/>
          <w:sz w:val="32"/>
          <w:szCs w:val="32"/>
        </w:rPr>
        <w:t>实施目的及支持方向</w:t>
      </w:r>
      <w:r>
        <w:rPr>
          <w:rFonts w:hint="eastAsia" w:ascii="楷体_GB2312" w:hAnsi="Times New Roman" w:eastAsia="楷体_GB2312" w:cs="Times New Roman"/>
          <w:b/>
          <w:sz w:val="32"/>
          <w:szCs w:val="32"/>
        </w:rPr>
        <w:t>。</w:t>
      </w:r>
      <w:r>
        <w:rPr>
          <w:rFonts w:hint="eastAsia" w:ascii="仿宋_GB2312" w:hAnsi="Times New Roman" w:eastAsia="仿宋_GB2312" w:cs="仿宋_GB2312"/>
          <w:sz w:val="32"/>
          <w:szCs w:val="32"/>
        </w:rPr>
        <w:t>项目资金由市发展改革委向市政府、市财政局申报，同意后，严格按照</w:t>
      </w:r>
      <w:r>
        <w:rPr>
          <w:rFonts w:hint="eastAsia" w:ascii="仿宋" w:hAnsi="Times New Roman" w:eastAsia="仿宋" w:cs="Times New Roman"/>
          <w:sz w:val="32"/>
          <w:szCs w:val="32"/>
        </w:rPr>
        <w:t>政府采购</w:t>
      </w:r>
      <w:r>
        <w:rPr>
          <w:rFonts w:hint="eastAsia" w:ascii="仿宋_GB2312" w:hAnsi="Times New Roman" w:eastAsia="仿宋_GB2312" w:cs="仿宋_GB2312"/>
          <w:sz w:val="32"/>
          <w:szCs w:val="32"/>
        </w:rPr>
        <w:t>流程进行，符合资金管理办法等相关规定。</w:t>
      </w:r>
    </w:p>
    <w:p w14:paraId="41EBCF47">
      <w:pPr>
        <w:adjustRightInd w:val="0"/>
        <w:snapToGrid w:val="0"/>
        <w:spacing w:line="576" w:lineRule="exact"/>
        <w:ind w:firstLine="720"/>
        <w:rPr>
          <w:rFonts w:ascii="仿宋_GB2312" w:hAnsi="Times New Roman" w:eastAsia="仿宋_GB2312" w:cs="仿宋_GB2312"/>
          <w:color w:val="FF0000"/>
          <w:kern w:val="0"/>
          <w:sz w:val="32"/>
          <w:szCs w:val="32"/>
          <w:shd w:val="clear" w:color="auto" w:fill="FFFFFF"/>
          <w:lang w:val="zh-CN"/>
        </w:rPr>
      </w:pPr>
      <w:r>
        <w:rPr>
          <w:rFonts w:hint="eastAsia" w:ascii="楷体_GB2312" w:hAnsi="Times New Roman" w:eastAsia="楷体_GB2312" w:cs="Times New Roman"/>
          <w:b/>
          <w:sz w:val="32"/>
          <w:szCs w:val="32"/>
          <w:lang w:val="zh-CN"/>
        </w:rPr>
        <w:t>（三）</w:t>
      </w:r>
      <w:r>
        <w:rPr>
          <w:rFonts w:ascii="楷体_GB2312" w:hAnsi="Times New Roman" w:eastAsia="楷体_GB2312" w:cs="Times New Roman"/>
          <w:b/>
          <w:sz w:val="32"/>
          <w:szCs w:val="32"/>
        </w:rPr>
        <w:t>预算安排及分配管理</w:t>
      </w:r>
      <w:r>
        <w:rPr>
          <w:rFonts w:hint="eastAsia" w:ascii="楷体_GB2312" w:hAnsi="Times New Roman" w:eastAsia="楷体_GB2312" w:cs="Times New Roman"/>
          <w:b/>
          <w:sz w:val="32"/>
          <w:szCs w:val="32"/>
          <w:lang w:val="zh-CN"/>
        </w:rPr>
        <w:t>。</w:t>
      </w:r>
      <w:r>
        <w:rPr>
          <w:rFonts w:hint="eastAsia" w:ascii="仿宋_GB2312" w:hAnsi="Times New Roman" w:eastAsia="仿宋_GB2312" w:cs="Times New Roman"/>
          <w:sz w:val="32"/>
          <w:szCs w:val="32"/>
          <w:lang w:val="zh-CN"/>
        </w:rPr>
        <w:t>广元市公共信用平台度运维费用及完成专项财务审计及鉴证服务</w:t>
      </w:r>
      <w:r>
        <w:rPr>
          <w:rFonts w:hint="eastAsia" w:ascii="仿宋_GB2312" w:hAnsi="Times New Roman" w:eastAsia="仿宋_GB2312" w:cs="仿宋_GB2312"/>
          <w:sz w:val="32"/>
          <w:szCs w:val="32"/>
        </w:rPr>
        <w:t>项目预算安排31.33万元，严格按照相关程序</w:t>
      </w:r>
      <w:r>
        <w:rPr>
          <w:rFonts w:hint="eastAsia" w:ascii="仿宋_GB2312" w:hAnsi="Times New Roman" w:eastAsia="仿宋_GB2312" w:cs="Times New Roman"/>
          <w:sz w:val="32"/>
          <w:szCs w:val="32"/>
        </w:rPr>
        <w:t>程序</w:t>
      </w:r>
      <w:r>
        <w:rPr>
          <w:rFonts w:hint="eastAsia" w:ascii="仿宋_GB2312" w:hAnsi="Times New Roman" w:eastAsia="仿宋_GB2312" w:cs="仿宋_GB2312"/>
          <w:sz w:val="32"/>
          <w:szCs w:val="32"/>
        </w:rPr>
        <w:t>执行</w:t>
      </w:r>
      <w:r>
        <w:rPr>
          <w:rFonts w:hint="eastAsia" w:ascii="仿宋_GB2312" w:hAnsi="Times New Roman" w:eastAsia="仿宋_GB2312" w:cs="Times New Roman"/>
          <w:sz w:val="32"/>
          <w:szCs w:val="32"/>
        </w:rPr>
        <w:t>。</w:t>
      </w:r>
    </w:p>
    <w:p w14:paraId="2F902846">
      <w:pPr>
        <w:adjustRightInd w:val="0"/>
        <w:snapToGrid w:val="0"/>
        <w:spacing w:line="578" w:lineRule="exact"/>
        <w:ind w:firstLine="643" w:firstLineChars="200"/>
        <w:jc w:val="left"/>
        <w:rPr>
          <w:rFonts w:ascii="仿宋_GB2312" w:hAnsi="Times New Roman" w:eastAsia="仿宋_GB2312" w:cs="仿宋_GB2312"/>
          <w:sz w:val="32"/>
          <w:szCs w:val="32"/>
        </w:rPr>
      </w:pPr>
      <w:r>
        <w:rPr>
          <w:rFonts w:hint="eastAsia" w:ascii="楷体_GB2312" w:hAnsi="Times New Roman" w:eastAsia="楷体_GB2312" w:cs="Times New Roman"/>
          <w:b/>
          <w:sz w:val="32"/>
          <w:szCs w:val="32"/>
          <w:lang w:val="zh-CN"/>
        </w:rPr>
        <w:t>（四）项目绩效目标设置。</w:t>
      </w:r>
      <w:r>
        <w:rPr>
          <w:rFonts w:hint="eastAsia" w:ascii="仿宋_GB2312" w:hAnsi="Times New Roman" w:eastAsia="仿宋_GB2312" w:cs="仿宋_GB2312"/>
          <w:sz w:val="32"/>
          <w:szCs w:val="32"/>
          <w:lang w:val="zh-CN"/>
        </w:rPr>
        <w:t>项目主要用于完成广元市公共信用平台2023年度驻场运维服务，和广元市公共信用平台建设项目</w:t>
      </w:r>
      <w:r>
        <w:rPr>
          <w:rFonts w:hint="eastAsia" w:ascii="仿宋_GB2312" w:eastAsia="仿宋_GB2312" w:cs="仿宋_GB2312"/>
          <w:sz w:val="32"/>
          <w:szCs w:val="32"/>
          <w:lang w:val="zh-CN"/>
        </w:rPr>
        <w:t>（</w:t>
      </w:r>
      <w:r>
        <w:rPr>
          <w:rFonts w:hint="eastAsia" w:ascii="仿宋_GB2312" w:hAnsi="Times New Roman" w:eastAsia="仿宋_GB2312" w:cs="仿宋_GB2312"/>
          <w:sz w:val="32"/>
          <w:szCs w:val="32"/>
          <w:lang w:val="zh-CN"/>
        </w:rPr>
        <w:t>一期)专项审计。</w:t>
      </w:r>
    </w:p>
    <w:p w14:paraId="24C1E673">
      <w:pPr>
        <w:adjustRightInd w:val="0"/>
        <w:snapToGrid w:val="0"/>
        <w:spacing w:line="578" w:lineRule="exact"/>
        <w:ind w:firstLine="640" w:firstLineChars="200"/>
        <w:rPr>
          <w:rFonts w:ascii="黑体" w:hAnsi="Times New Roman" w:eastAsia="黑体" w:cs="Times New Roman"/>
          <w:sz w:val="32"/>
          <w:szCs w:val="32"/>
        </w:rPr>
      </w:pPr>
      <w:r>
        <w:rPr>
          <w:rFonts w:hint="eastAsia" w:ascii="黑体" w:hAnsi="Times New Roman" w:eastAsia="黑体" w:cs="Times New Roman"/>
          <w:sz w:val="32"/>
          <w:szCs w:val="32"/>
        </w:rPr>
        <w:t>二、评价实施</w:t>
      </w:r>
    </w:p>
    <w:p w14:paraId="061FBB6F">
      <w:pPr>
        <w:snapToGrid w:val="0"/>
        <w:spacing w:line="600" w:lineRule="exact"/>
        <w:ind w:firstLine="643" w:firstLineChars="200"/>
        <w:jc w:val="left"/>
        <w:rPr>
          <w:rFonts w:ascii="仿宋" w:hAnsi="Times New Roman" w:eastAsia="仿宋" w:cs="Times New Roman"/>
          <w:color w:val="FF0000"/>
          <w:sz w:val="32"/>
          <w:szCs w:val="32"/>
        </w:rPr>
      </w:pPr>
      <w:r>
        <w:rPr>
          <w:rFonts w:hint="eastAsia" w:ascii="楷体_GB2312" w:hAnsi="Times New Roman" w:eastAsia="楷体_GB2312" w:cs="Times New Roman"/>
          <w:b/>
          <w:sz w:val="32"/>
          <w:szCs w:val="32"/>
          <w:lang w:val="zh-CN"/>
        </w:rPr>
        <w:t>（一）评价目的。</w:t>
      </w:r>
      <w:r>
        <w:rPr>
          <w:rFonts w:hint="eastAsia" w:ascii="仿宋_GB2312" w:hAnsi="Times New Roman" w:eastAsia="仿宋_GB2312" w:cs="Times New Roman"/>
          <w:sz w:val="32"/>
          <w:szCs w:val="32"/>
          <w:lang w:val="zh-CN"/>
        </w:rPr>
        <w:t>1.通过项目自评，包括但不限于“信用中国（四川广元）网站、信用信息资源库、信用查询窗口服务系统等”，保障平台和网站正常运行.2.完成专项财务审计及鉴证服务，取得审计报告。</w:t>
      </w:r>
      <w:r>
        <w:rPr>
          <w:rFonts w:hint="eastAsia" w:ascii="仿宋_GB2312" w:hAnsi="Times New Roman" w:eastAsia="仿宋_GB2312" w:cs="Times New Roman"/>
          <w:sz w:val="32"/>
          <w:szCs w:val="32"/>
        </w:rPr>
        <w:t>为项目设立和预算安排提供重要参考依据，进一步提高预算编制科学性、合理性，从源头上防控财政资源配置的低效无效，优化财政支出结构，提高财政资源配置效率和财政资金使用效益</w:t>
      </w:r>
      <w:r>
        <w:rPr>
          <w:rFonts w:hint="eastAsia" w:ascii="仿宋" w:hAnsi="Times New Roman" w:eastAsia="仿宋" w:cs="Times New Roman"/>
          <w:sz w:val="32"/>
          <w:szCs w:val="32"/>
        </w:rPr>
        <w:t>。</w:t>
      </w:r>
    </w:p>
    <w:p w14:paraId="64F79F66">
      <w:pPr>
        <w:adjustRightInd w:val="0"/>
        <w:snapToGrid w:val="0"/>
        <w:spacing w:line="576" w:lineRule="exact"/>
        <w:ind w:firstLine="720"/>
        <w:rPr>
          <w:rFonts w:ascii="仿宋" w:hAnsi="Times New Roman" w:eastAsia="仿宋" w:cs="Times New Roman"/>
          <w:color w:val="FF0000"/>
          <w:sz w:val="32"/>
          <w:szCs w:val="32"/>
        </w:rPr>
      </w:pPr>
      <w:r>
        <w:rPr>
          <w:rFonts w:hint="eastAsia" w:ascii="楷体_GB2312" w:hAnsi="Times New Roman" w:eastAsia="楷体_GB2312" w:cs="Times New Roman"/>
          <w:b/>
          <w:sz w:val="32"/>
          <w:szCs w:val="32"/>
          <w:lang w:val="zh-CN"/>
        </w:rPr>
        <w:t>（二）预设问题及评价重点。</w:t>
      </w:r>
      <w:r>
        <w:rPr>
          <w:rFonts w:hint="eastAsia" w:ascii="仿宋" w:hAnsi="Times New Roman" w:eastAsia="仿宋" w:cs="Times New Roman"/>
          <w:sz w:val="32"/>
          <w:szCs w:val="32"/>
        </w:rPr>
        <w:t>项目申报内容与具体实施内容是否相符、申报目标是否合理可行，资金使用是否合理。</w:t>
      </w:r>
    </w:p>
    <w:p w14:paraId="0942A45F">
      <w:pPr>
        <w:adjustRightInd w:val="0"/>
        <w:snapToGrid w:val="0"/>
        <w:spacing w:line="578" w:lineRule="exact"/>
        <w:ind w:firstLine="643" w:firstLineChars="200"/>
        <w:rPr>
          <w:rFonts w:ascii="仿宋" w:hAnsi="Times New Roman" w:eastAsia="仿宋" w:cs="Times New Roman"/>
          <w:color w:val="FF0000"/>
          <w:sz w:val="32"/>
          <w:szCs w:val="32"/>
        </w:rPr>
      </w:pPr>
      <w:r>
        <w:rPr>
          <w:rFonts w:hint="eastAsia" w:ascii="楷体_GB2312" w:hAnsi="Times New Roman" w:eastAsia="楷体_GB2312" w:cs="Times New Roman"/>
          <w:b/>
          <w:sz w:val="32"/>
          <w:szCs w:val="32"/>
          <w:lang w:val="zh-CN"/>
        </w:rPr>
        <w:t>（三）评价选点。</w:t>
      </w:r>
      <w:r>
        <w:rPr>
          <w:rFonts w:hint="eastAsia" w:ascii="仿宋" w:hAnsi="Times New Roman" w:eastAsia="仿宋" w:cs="Times New Roman"/>
          <w:sz w:val="32"/>
          <w:szCs w:val="32"/>
        </w:rPr>
        <w:t>严格按照项目申报内容实施，</w:t>
      </w:r>
      <w:r>
        <w:rPr>
          <w:rFonts w:ascii="仿宋" w:hAnsi="Times New Roman" w:eastAsia="仿宋" w:cs="Times New Roman"/>
          <w:sz w:val="32"/>
          <w:szCs w:val="32"/>
        </w:rPr>
        <w:t>按照社会信用体系建设评选指标，组织相关专家深入调研，结合创建要求</w:t>
      </w:r>
      <w:r>
        <w:rPr>
          <w:rFonts w:hint="eastAsia" w:ascii="仿宋" w:eastAsia="仿宋" w:cs="Times New Roman"/>
          <w:sz w:val="32"/>
          <w:szCs w:val="32"/>
          <w:lang w:eastAsia="zh-CN"/>
        </w:rPr>
        <w:t>，</w:t>
      </w:r>
      <w:r>
        <w:rPr>
          <w:rFonts w:ascii="仿宋" w:hAnsi="Times New Roman" w:eastAsia="仿宋" w:cs="Times New Roman"/>
          <w:sz w:val="32"/>
          <w:szCs w:val="32"/>
        </w:rPr>
        <w:t>分析广元市信用体系建设短板和问题，形成有效成果资料。制定操作可行的《广元市创建全国社会信用体系建设示范市实施方案》</w:t>
      </w:r>
      <w:r>
        <w:rPr>
          <w:rFonts w:hint="eastAsia" w:ascii="仿宋" w:eastAsia="仿宋" w:cs="Times New Roman"/>
          <w:sz w:val="32"/>
          <w:szCs w:val="32"/>
          <w:lang w:eastAsia="zh-CN"/>
        </w:rPr>
        <w:t>，</w:t>
      </w:r>
      <w:r>
        <w:rPr>
          <w:rFonts w:ascii="仿宋" w:hAnsi="Times New Roman" w:eastAsia="仿宋" w:cs="Times New Roman"/>
          <w:sz w:val="32"/>
          <w:szCs w:val="32"/>
        </w:rPr>
        <w:t>在创建阶段这是业技术人员现场提供创建指导咨询服务，完善合同履约监管机制，同时搭建合同履约监管系统，加强合同数据归集。在新闻媒体宣传广元信用建设</w:t>
      </w:r>
      <w:r>
        <w:rPr>
          <w:rFonts w:hint="eastAsia" w:ascii="仿宋" w:eastAsia="仿宋" w:cs="Times New Roman"/>
          <w:sz w:val="32"/>
          <w:szCs w:val="32"/>
          <w:lang w:eastAsia="zh-CN"/>
        </w:rPr>
        <w:t>，</w:t>
      </w:r>
      <w:r>
        <w:rPr>
          <w:rFonts w:ascii="仿宋" w:hAnsi="Times New Roman" w:eastAsia="仿宋" w:cs="Times New Roman"/>
          <w:sz w:val="32"/>
          <w:szCs w:val="32"/>
        </w:rPr>
        <w:t>提升广元市城市信用综合指数</w:t>
      </w:r>
      <w:r>
        <w:rPr>
          <w:rFonts w:hint="eastAsia" w:ascii="仿宋_GB2312" w:hAnsi="Times New Roman" w:eastAsia="仿宋_GB2312" w:cs="仿宋_GB2312"/>
          <w:sz w:val="32"/>
          <w:szCs w:val="32"/>
        </w:rPr>
        <w:t>。</w:t>
      </w:r>
    </w:p>
    <w:p w14:paraId="420479AE">
      <w:pPr>
        <w:snapToGrid w:val="0"/>
        <w:spacing w:line="600" w:lineRule="exact"/>
        <w:ind w:firstLine="643" w:firstLineChars="200"/>
        <w:rPr>
          <w:rFonts w:ascii="仿宋_GB2312" w:hAnsi="Times New Roman" w:eastAsia="仿宋_GB2312" w:cs="仿宋_GB2312"/>
          <w:color w:val="FF0000"/>
          <w:sz w:val="32"/>
          <w:szCs w:val="32"/>
        </w:rPr>
      </w:pPr>
      <w:r>
        <w:rPr>
          <w:rFonts w:hint="eastAsia" w:ascii="楷体_GB2312" w:hAnsi="Times New Roman" w:eastAsia="楷体_GB2312" w:cs="Times New Roman"/>
          <w:b/>
          <w:sz w:val="32"/>
          <w:szCs w:val="32"/>
          <w:lang w:val="zh-CN"/>
        </w:rPr>
        <w:t>（四）评价方法。</w:t>
      </w:r>
      <w:r>
        <w:rPr>
          <w:rFonts w:hint="eastAsia" w:ascii="仿宋_GB2312" w:hAnsi="Times New Roman" w:eastAsia="仿宋_GB2312" w:cs="仿宋_GB2312"/>
          <w:sz w:val="32"/>
          <w:szCs w:val="32"/>
        </w:rPr>
        <w:t>按照有关规定和工作安排，对项目的立项必要性、投入经济性、目标合理性、方案可行性以及筹资合规性实施评估。</w:t>
      </w:r>
    </w:p>
    <w:p w14:paraId="49FE2AA5">
      <w:pPr>
        <w:spacing w:line="578" w:lineRule="exact"/>
        <w:ind w:firstLine="640"/>
        <w:rPr>
          <w:rFonts w:ascii="仿宋" w:hAnsi="Times New Roman" w:eastAsia="仿宋" w:cs="Times New Roman"/>
          <w:sz w:val="32"/>
          <w:szCs w:val="32"/>
        </w:rPr>
      </w:pPr>
      <w:r>
        <w:rPr>
          <w:rFonts w:hint="eastAsia" w:ascii="楷体_GB2312" w:hAnsi="Times New Roman" w:eastAsia="楷体_GB2312" w:cs="Times New Roman"/>
          <w:b/>
          <w:sz w:val="32"/>
          <w:szCs w:val="32"/>
          <w:lang w:val="zh-CN"/>
        </w:rPr>
        <w:t>（五）评价组织。</w:t>
      </w:r>
      <w:r>
        <w:rPr>
          <w:rFonts w:ascii="仿宋" w:hAnsi="Times New Roman" w:eastAsia="仿宋" w:cs="Times New Roman"/>
          <w:sz w:val="32"/>
          <w:szCs w:val="32"/>
        </w:rPr>
        <w:t>评价组人员由市发展改革委相关领导</w:t>
      </w:r>
      <w:r>
        <w:rPr>
          <w:rFonts w:hint="eastAsia" w:ascii="仿宋" w:hAnsi="Times New Roman" w:eastAsia="仿宋" w:cs="Times New Roman"/>
          <w:sz w:val="32"/>
          <w:szCs w:val="32"/>
        </w:rPr>
        <w:t>、办公室（财务室、后勤中心）负责领导及</w:t>
      </w:r>
      <w:r>
        <w:rPr>
          <w:rFonts w:ascii="仿宋" w:hAnsi="Times New Roman" w:eastAsia="仿宋" w:cs="Times New Roman"/>
          <w:sz w:val="32"/>
          <w:szCs w:val="32"/>
        </w:rPr>
        <w:t>财金信用</w:t>
      </w:r>
      <w:r>
        <w:rPr>
          <w:rFonts w:hint="eastAsia" w:ascii="仿宋" w:hAnsi="Times New Roman" w:eastAsia="仿宋" w:cs="Times New Roman"/>
          <w:sz w:val="32"/>
          <w:szCs w:val="32"/>
        </w:rPr>
        <w:t>科、办公室（财务室、后勤中心）</w:t>
      </w:r>
      <w:r>
        <w:rPr>
          <w:rFonts w:ascii="仿宋" w:hAnsi="Times New Roman" w:eastAsia="仿宋" w:cs="Times New Roman"/>
          <w:sz w:val="32"/>
          <w:szCs w:val="32"/>
        </w:rPr>
        <w:t>科室负责人等组成。</w:t>
      </w:r>
    </w:p>
    <w:p w14:paraId="395EC50F">
      <w:pPr>
        <w:adjustRightInd w:val="0"/>
        <w:snapToGrid w:val="0"/>
        <w:spacing w:line="520" w:lineRule="exact"/>
        <w:ind w:firstLine="640" w:firstLineChars="200"/>
        <w:rPr>
          <w:rFonts w:ascii="仿宋" w:hAnsi="Times New Roman" w:eastAsia="仿宋" w:cs="Times New Roman"/>
          <w:color w:val="FF0000"/>
          <w:sz w:val="32"/>
          <w:szCs w:val="32"/>
        </w:rPr>
      </w:pPr>
      <w:r>
        <w:rPr>
          <w:rFonts w:hint="eastAsia" w:ascii="仿宋" w:hAnsi="Times New Roman" w:eastAsia="仿宋" w:cs="Times New Roman"/>
          <w:sz w:val="32"/>
          <w:szCs w:val="32"/>
        </w:rPr>
        <w:t>项目由办公室、</w:t>
      </w:r>
      <w:r>
        <w:rPr>
          <w:rFonts w:ascii="仿宋" w:hAnsi="Times New Roman" w:eastAsia="仿宋" w:cs="Times New Roman"/>
          <w:sz w:val="32"/>
          <w:szCs w:val="32"/>
        </w:rPr>
        <w:t>财金信用</w:t>
      </w:r>
      <w:r>
        <w:rPr>
          <w:rFonts w:hint="eastAsia" w:ascii="仿宋" w:hAnsi="Times New Roman" w:eastAsia="仿宋" w:cs="Times New Roman"/>
          <w:sz w:val="32"/>
          <w:szCs w:val="32"/>
        </w:rPr>
        <w:t>科严格按照</w:t>
      </w:r>
      <w:r>
        <w:rPr>
          <w:rFonts w:ascii="仿宋" w:hAnsi="Times New Roman" w:eastAsia="仿宋" w:cs="Times New Roman"/>
          <w:sz w:val="32"/>
          <w:szCs w:val="32"/>
        </w:rPr>
        <w:t>相关程序</w:t>
      </w:r>
      <w:r>
        <w:rPr>
          <w:rFonts w:hint="eastAsia" w:ascii="仿宋" w:hAnsi="Times New Roman" w:eastAsia="仿宋" w:cs="Times New Roman"/>
          <w:sz w:val="32"/>
          <w:szCs w:val="32"/>
        </w:rPr>
        <w:t>组织实施。组织机构健全、职责分工明确，基础设施条件能够有效保障该项目的实施，并结合实际制定了项目实施方案，进一步明确了项目实施时间、工作程序等措施。</w:t>
      </w:r>
    </w:p>
    <w:p w14:paraId="482B36AA">
      <w:pPr>
        <w:adjustRightInd w:val="0"/>
        <w:snapToGrid w:val="0"/>
        <w:spacing w:line="578" w:lineRule="exact"/>
        <w:ind w:firstLine="640" w:firstLineChars="200"/>
        <w:rPr>
          <w:rFonts w:ascii="仿宋_GB2312" w:hAnsi="Times New Roman" w:eastAsia="仿宋_GB2312" w:cs="Times New Roman"/>
          <w:sz w:val="32"/>
          <w:szCs w:val="32"/>
          <w:lang w:val="zh-CN"/>
        </w:rPr>
      </w:pPr>
      <w:r>
        <w:rPr>
          <w:rFonts w:hint="eastAsia" w:ascii="黑体" w:hAnsi="Times New Roman" w:eastAsia="黑体" w:cs="Times New Roman"/>
          <w:sz w:val="32"/>
          <w:szCs w:val="32"/>
        </w:rPr>
        <w:t>三、绩效分析</w:t>
      </w:r>
      <w:r>
        <w:rPr>
          <w:rFonts w:hint="eastAsia" w:ascii="仿宋_GB2312" w:hAnsi="Times New Roman" w:eastAsia="仿宋_GB2312" w:cs="Times New Roman"/>
          <w:sz w:val="32"/>
          <w:szCs w:val="32"/>
          <w:lang w:val="zh-CN"/>
        </w:rPr>
        <w:tab/>
      </w:r>
    </w:p>
    <w:p w14:paraId="60FCBC71">
      <w:pPr>
        <w:spacing w:line="578" w:lineRule="exact"/>
        <w:ind w:firstLine="640"/>
        <w:rPr>
          <w:rFonts w:ascii="楷体_GB2312" w:hAnsi="Times New Roman" w:eastAsia="楷体_GB2312" w:cs="Times New Roman"/>
          <w:b/>
          <w:sz w:val="32"/>
          <w:szCs w:val="32"/>
        </w:rPr>
      </w:pPr>
      <w:r>
        <w:rPr>
          <w:rFonts w:hint="eastAsia" w:ascii="楷体_GB2312" w:hAnsi="Times New Roman" w:eastAsia="楷体_GB2312" w:cs="Times New Roman"/>
          <w:b/>
          <w:sz w:val="32"/>
          <w:szCs w:val="32"/>
          <w:lang w:val="zh-CN"/>
        </w:rPr>
        <w:t>（一）</w:t>
      </w:r>
      <w:r>
        <w:rPr>
          <w:rFonts w:hint="eastAsia" w:ascii="楷体_GB2312" w:hAnsi="Times New Roman" w:eastAsia="楷体_GB2312" w:cs="Times New Roman"/>
          <w:b/>
          <w:sz w:val="32"/>
          <w:szCs w:val="32"/>
        </w:rPr>
        <w:t>通用指标</w:t>
      </w:r>
      <w:r>
        <w:rPr>
          <w:rFonts w:ascii="Times New Roman" w:hAnsi="Times New Roman" w:eastAsia="楷体_GB2312" w:cs="Times New Roman"/>
          <w:b/>
          <w:bCs/>
          <w:color w:val="000000"/>
          <w:kern w:val="0"/>
          <w:sz w:val="32"/>
          <w:szCs w:val="32"/>
          <w:shd w:val="clear" w:color="auto" w:fill="FFFFFF"/>
          <w:lang w:val="zh-CN"/>
        </w:rPr>
        <w:t>绩效分析。</w:t>
      </w:r>
    </w:p>
    <w:p w14:paraId="3B179658">
      <w:pPr>
        <w:spacing w:line="576" w:lineRule="exact"/>
        <w:ind w:firstLine="640" w:firstLineChars="200"/>
        <w:rPr>
          <w:rFonts w:ascii="仿宋_GB2312" w:hAnsi="Times New Roman" w:eastAsia="仿宋_GB2312" w:cs="仿宋_GB2312"/>
          <w:sz w:val="32"/>
          <w:szCs w:val="32"/>
        </w:rPr>
      </w:pPr>
      <w:r>
        <w:rPr>
          <w:rFonts w:hint="eastAsia" w:ascii="楷体_GB2312" w:hAnsi="Times New Roman" w:eastAsia="楷体_GB2312" w:cs="楷体_GB2312"/>
          <w:sz w:val="32"/>
          <w:szCs w:val="32"/>
        </w:rPr>
        <w:t>1.项目决策。为</w:t>
      </w:r>
      <w:r>
        <w:rPr>
          <w:rFonts w:hint="eastAsia" w:ascii="仿宋_GB2312" w:hAnsi="Times New Roman" w:eastAsia="仿宋_GB2312" w:cs="Times New Roman"/>
          <w:sz w:val="32"/>
          <w:szCs w:val="32"/>
        </w:rPr>
        <w:t>深入贯彻落实</w:t>
      </w:r>
      <w:r>
        <w:rPr>
          <w:rFonts w:hint="eastAsia" w:ascii="仿宋_GB2312" w:hAnsi="Times New Roman" w:eastAsia="仿宋_GB2312" w:cs="Times New Roman"/>
          <w:kern w:val="0"/>
          <w:sz w:val="32"/>
          <w:szCs w:val="32"/>
        </w:rPr>
        <w:t>国家、省、市社会信用体系建设决策部署</w:t>
      </w:r>
      <w:r>
        <w:rPr>
          <w:rFonts w:hint="eastAsia" w:ascii="仿宋_GB2312" w:hAnsi="Times New Roman" w:eastAsia="仿宋_GB2312" w:cs="Times New Roman"/>
          <w:sz w:val="32"/>
          <w:szCs w:val="32"/>
        </w:rPr>
        <w:t>，</w:t>
      </w:r>
      <w:r>
        <w:rPr>
          <w:rFonts w:ascii="仿宋_GB2312" w:hAnsi="Times New Roman" w:eastAsia="仿宋_GB2312" w:cs="Times New Roman"/>
          <w:sz w:val="32"/>
          <w:szCs w:val="32"/>
        </w:rPr>
        <w:t>“以体制机制为抓手，</w:t>
      </w:r>
      <w:r>
        <w:rPr>
          <w:rFonts w:hint="eastAsia" w:ascii="仿宋_GB2312" w:hAnsi="Times New Roman" w:eastAsia="仿宋_GB2312" w:cs="Times New Roman"/>
          <w:sz w:val="32"/>
          <w:szCs w:val="32"/>
        </w:rPr>
        <w:t>以信用平台为支撑，以监管机制为关键，以信用应用为重点，以</w:t>
      </w:r>
      <w:r>
        <w:rPr>
          <w:rFonts w:ascii="仿宋_GB2312" w:hAnsi="Times New Roman" w:eastAsia="仿宋_GB2312" w:cs="Times New Roman"/>
          <w:sz w:val="32"/>
          <w:szCs w:val="32"/>
        </w:rPr>
        <w:t>诚信理念</w:t>
      </w:r>
      <w:r>
        <w:rPr>
          <w:rFonts w:hint="eastAsia" w:ascii="仿宋_GB2312" w:hAnsi="Times New Roman" w:eastAsia="仿宋_GB2312" w:cs="Times New Roman"/>
          <w:sz w:val="32"/>
          <w:szCs w:val="32"/>
        </w:rPr>
        <w:t>为</w:t>
      </w:r>
      <w:r>
        <w:rPr>
          <w:rFonts w:ascii="仿宋_GB2312" w:hAnsi="Times New Roman" w:eastAsia="仿宋_GB2312" w:cs="Times New Roman"/>
          <w:sz w:val="32"/>
          <w:szCs w:val="32"/>
        </w:rPr>
        <w:t>核心”，</w:t>
      </w:r>
      <w:r>
        <w:rPr>
          <w:rFonts w:hint="eastAsia" w:ascii="仿宋_GB2312" w:hAnsi="Times New Roman" w:eastAsia="仿宋_GB2312" w:cs="Times New Roman"/>
          <w:sz w:val="32"/>
          <w:szCs w:val="32"/>
        </w:rPr>
        <w:t>坚持制度、平台、监管、应用、文化“五位一体”</w:t>
      </w:r>
      <w:r>
        <w:rPr>
          <w:rFonts w:ascii="仿宋_GB2312" w:hAnsi="Times New Roman" w:eastAsia="仿宋_GB2312" w:cs="Times New Roman"/>
          <w:sz w:val="32"/>
          <w:szCs w:val="32"/>
        </w:rPr>
        <w:t>推动</w:t>
      </w:r>
      <w:r>
        <w:rPr>
          <w:rFonts w:hint="eastAsia" w:ascii="仿宋_GB2312" w:hAnsi="Times New Roman" w:eastAsia="仿宋_GB2312" w:cs="Times New Roman"/>
          <w:sz w:val="32"/>
          <w:szCs w:val="32"/>
        </w:rPr>
        <w:t>“信用广元”城市品牌建设，</w:t>
      </w:r>
      <w:r>
        <w:rPr>
          <w:rFonts w:ascii="仿宋_GB2312" w:hAnsi="Times New Roman" w:eastAsia="仿宋_GB2312" w:cs="Times New Roman"/>
          <w:sz w:val="32"/>
          <w:szCs w:val="32"/>
        </w:rPr>
        <w:t>城市综合信用指数排名从229位跃居至全国22位，并</w:t>
      </w:r>
      <w:r>
        <w:rPr>
          <w:rFonts w:hint="eastAsia" w:ascii="仿宋_GB2312" w:hAnsi="Times New Roman" w:eastAsia="仿宋_GB2312" w:cs="仿宋_GB2312"/>
          <w:sz w:val="32"/>
          <w:szCs w:val="32"/>
        </w:rPr>
        <w:t>从</w:t>
      </w:r>
      <w:r>
        <w:rPr>
          <w:rFonts w:ascii="仿宋_GB2312" w:hAnsi="Times New Roman" w:eastAsia="仿宋_GB2312" w:cs="仿宋_GB2312"/>
          <w:sz w:val="32"/>
          <w:szCs w:val="32"/>
        </w:rPr>
        <w:t>2022年9月</w:t>
      </w:r>
      <w:r>
        <w:rPr>
          <w:rFonts w:hint="eastAsia" w:ascii="仿宋_GB2312" w:hAnsi="Times New Roman" w:eastAsia="仿宋_GB2312" w:cs="仿宋_GB2312"/>
          <w:sz w:val="32"/>
          <w:szCs w:val="32"/>
        </w:rPr>
        <w:t>至2023年12月</w:t>
      </w:r>
      <w:r>
        <w:rPr>
          <w:rFonts w:ascii="仿宋_GB2312" w:hAnsi="Times New Roman" w:eastAsia="仿宋_GB2312" w:cs="仿宋_GB2312"/>
          <w:sz w:val="32"/>
          <w:szCs w:val="32"/>
        </w:rPr>
        <w:t>，最长连续15个月位列全省第一。</w:t>
      </w:r>
      <w:r>
        <w:rPr>
          <w:rFonts w:hint="eastAsia" w:ascii="仿宋_GB2312" w:hAnsi="Times New Roman" w:eastAsia="仿宋_GB2312" w:cs="仿宋_GB2312"/>
          <w:sz w:val="32"/>
          <w:szCs w:val="32"/>
        </w:rPr>
        <w:t>项目资金与经济社会发展相匹配，属于政府支持范围，未与其他同类项目或部门内部相关项目交叉重复。绩效分析得分18分。</w:t>
      </w:r>
    </w:p>
    <w:p w14:paraId="3AD65D2C">
      <w:pPr>
        <w:adjustRightInd w:val="0"/>
        <w:snapToGrid w:val="0"/>
        <w:spacing w:line="578" w:lineRule="exact"/>
        <w:ind w:firstLine="640" w:firstLineChars="200"/>
        <w:rPr>
          <w:rFonts w:ascii="仿宋" w:hAnsi="Times New Roman" w:eastAsia="仿宋" w:cs="Times New Roman"/>
          <w:sz w:val="32"/>
          <w:szCs w:val="32"/>
        </w:rPr>
      </w:pPr>
      <w:r>
        <w:rPr>
          <w:rFonts w:hint="eastAsia" w:ascii="楷体_GB2312" w:hAnsi="Times New Roman" w:eastAsia="楷体_GB2312" w:cs="楷体_GB2312"/>
          <w:sz w:val="32"/>
          <w:szCs w:val="32"/>
        </w:rPr>
        <w:t>2.项目管理。</w:t>
      </w:r>
      <w:r>
        <w:rPr>
          <w:rFonts w:hint="eastAsia" w:ascii="仿宋" w:hAnsi="Times New Roman" w:eastAsia="仿宋" w:cs="Times New Roman"/>
          <w:sz w:val="32"/>
          <w:szCs w:val="32"/>
        </w:rPr>
        <w:t>项目制度办法、资金管理办法等管理制度体系健全完善，不存在管理制度缺失、管理办法过期情况，项目管理、审批符合管理要求，决策程序符合管理要求，及时高效，项目开展严格按照要求全面完成绩效目标（含事前评估）、绩效评价等预算绩效管理工作。绩效分析得分18分。</w:t>
      </w:r>
    </w:p>
    <w:p w14:paraId="51A25508">
      <w:pPr>
        <w:adjustRightInd w:val="0"/>
        <w:snapToGrid w:val="0"/>
        <w:spacing w:line="578" w:lineRule="exact"/>
        <w:ind w:firstLine="640" w:firstLineChars="200"/>
        <w:rPr>
          <w:rFonts w:ascii="仿宋" w:hAnsi="Times New Roman" w:eastAsia="仿宋" w:cs="Times New Roman"/>
          <w:sz w:val="32"/>
          <w:szCs w:val="32"/>
        </w:rPr>
      </w:pPr>
      <w:r>
        <w:rPr>
          <w:rFonts w:hint="eastAsia" w:ascii="仿宋" w:hAnsi="Times New Roman" w:eastAsia="仿宋" w:cs="Times New Roman"/>
          <w:sz w:val="32"/>
          <w:szCs w:val="32"/>
        </w:rPr>
        <w:t>3.</w:t>
      </w:r>
      <w:r>
        <w:rPr>
          <w:rFonts w:hint="eastAsia" w:ascii="楷体_GB2312" w:hAnsi="Times New Roman" w:eastAsia="楷体_GB2312" w:cs="楷体_GB2312"/>
          <w:sz w:val="32"/>
          <w:szCs w:val="32"/>
        </w:rPr>
        <w:t>项目实施。</w:t>
      </w:r>
      <w:r>
        <w:rPr>
          <w:rFonts w:hint="eastAsia" w:ascii="仿宋_GB2312" w:hAnsi="Times New Roman" w:eastAsia="仿宋_GB2312" w:cs="Times New Roman"/>
          <w:kern w:val="0"/>
          <w:sz w:val="32"/>
          <w:szCs w:val="32"/>
        </w:rPr>
        <w:t>按照</w:t>
      </w:r>
      <w:r>
        <w:rPr>
          <w:rFonts w:ascii="仿宋_GB2312" w:hAnsi="Times New Roman" w:eastAsia="仿宋_GB2312" w:cs="Times New Roman"/>
          <w:kern w:val="0"/>
          <w:sz w:val="32"/>
          <w:szCs w:val="32"/>
        </w:rPr>
        <w:t>国省相关要求，保障广元市公共信用信息平台和信用中国（四川广元）网站正常运维，并按照要求对广元市公共信用平台（一期）完成专项财务审计及鉴证服务。</w:t>
      </w:r>
      <w:r>
        <w:rPr>
          <w:rFonts w:hint="eastAsia" w:ascii="仿宋" w:hAnsi="Times New Roman" w:eastAsia="仿宋" w:cs="Times New Roman"/>
          <w:sz w:val="32"/>
          <w:szCs w:val="32"/>
        </w:rPr>
        <w:t>项目资金财政拨付</w:t>
      </w:r>
      <w:r>
        <w:rPr>
          <w:rFonts w:ascii="仿宋" w:hAnsi="Times New Roman" w:eastAsia="仿宋" w:cs="Times New Roman"/>
          <w:sz w:val="32"/>
          <w:szCs w:val="32"/>
        </w:rPr>
        <w:t>31.33</w:t>
      </w:r>
      <w:r>
        <w:rPr>
          <w:rFonts w:hint="eastAsia" w:ascii="仿宋" w:hAnsi="Times New Roman" w:eastAsia="仿宋" w:cs="Times New Roman"/>
          <w:sz w:val="32"/>
          <w:szCs w:val="32"/>
        </w:rPr>
        <w:t>万元，单位执行到位</w:t>
      </w:r>
      <w:r>
        <w:rPr>
          <w:rFonts w:ascii="仿宋" w:hAnsi="Times New Roman" w:eastAsia="仿宋" w:cs="Times New Roman"/>
          <w:sz w:val="32"/>
          <w:szCs w:val="32"/>
        </w:rPr>
        <w:t>31.33</w:t>
      </w:r>
      <w:r>
        <w:rPr>
          <w:rFonts w:hint="eastAsia" w:ascii="仿宋" w:hAnsi="Times New Roman" w:eastAsia="仿宋" w:cs="Times New Roman"/>
          <w:sz w:val="32"/>
          <w:szCs w:val="32"/>
        </w:rPr>
        <w:t>万元。项目资金使用、拨付符合国家财经法规、财务管理制度及有关专项资金管理制度办法规定和审批程序。绩效分析得分9分。</w:t>
      </w:r>
    </w:p>
    <w:p w14:paraId="39E41472">
      <w:pPr>
        <w:adjustRightInd w:val="0"/>
        <w:snapToGrid w:val="0"/>
        <w:spacing w:line="578" w:lineRule="exact"/>
        <w:ind w:firstLine="640" w:firstLineChars="200"/>
        <w:rPr>
          <w:rFonts w:ascii="Times New Roman" w:hAnsi="Times New Roman" w:eastAsia="仿宋_GB2312" w:cs="Times New Roman"/>
          <w:sz w:val="32"/>
          <w:szCs w:val="32"/>
          <w:highlight w:val="red"/>
        </w:rPr>
      </w:pPr>
      <w:r>
        <w:rPr>
          <w:rFonts w:hint="eastAsia" w:ascii="楷体_GB2312" w:hAnsi="Times New Roman" w:eastAsia="楷体_GB2312" w:cs="楷体_GB2312"/>
          <w:sz w:val="32"/>
          <w:szCs w:val="32"/>
        </w:rPr>
        <w:t>4.项目结果。</w:t>
      </w:r>
      <w:r>
        <w:rPr>
          <w:rFonts w:hint="eastAsia" w:ascii="仿宋_GB2312" w:hAnsi="Times New Roman" w:eastAsia="仿宋_GB2312" w:cs="仿宋_GB2312"/>
          <w:sz w:val="32"/>
          <w:szCs w:val="32"/>
        </w:rPr>
        <w:t>项目如期、圆满完成。</w:t>
      </w:r>
      <w:r>
        <w:rPr>
          <w:rFonts w:ascii="仿宋_GB2312" w:hAnsi="Times New Roman" w:eastAsia="仿宋_GB2312" w:cs="仿宋_GB2312"/>
          <w:sz w:val="32"/>
          <w:szCs w:val="32"/>
        </w:rPr>
        <w:t>2023年8月，我市成功创建全国第四批社会信用体系建设示范区，广元市综合信用指数从2022年9月至2023年12月，最长连续15个月位列全省第一。</w:t>
      </w:r>
      <w:r>
        <w:rPr>
          <w:rFonts w:hint="eastAsia" w:ascii="仿宋_GB2312" w:hAnsi="Times New Roman" w:eastAsia="仿宋_GB2312" w:cs="仿宋_GB2312"/>
          <w:sz w:val="32"/>
          <w:szCs w:val="32"/>
        </w:rPr>
        <w:t>达到了预期目标，实施结果与绩效目标相匹配。绩效分析得分9分。</w:t>
      </w:r>
    </w:p>
    <w:p w14:paraId="10CE4284">
      <w:pPr>
        <w:spacing w:line="578" w:lineRule="exact"/>
        <w:ind w:firstLine="643" w:firstLineChars="200"/>
        <w:rPr>
          <w:rFonts w:ascii="Times New Roman" w:hAnsi="Times New Roman" w:eastAsia="楷体_GB2312" w:cs="Times New Roman"/>
          <w:b/>
          <w:bCs/>
          <w:color w:val="000000"/>
          <w:kern w:val="0"/>
          <w:sz w:val="32"/>
          <w:szCs w:val="32"/>
          <w:shd w:val="clear" w:color="auto" w:fill="FFFFFF"/>
          <w:lang w:val="zh-CN"/>
        </w:rPr>
      </w:pPr>
      <w:r>
        <w:rPr>
          <w:rFonts w:hint="eastAsia" w:ascii="楷体_GB2312" w:hAnsi="Times New Roman" w:eastAsia="楷体_GB2312" w:cs="Times New Roman"/>
          <w:b/>
          <w:sz w:val="32"/>
          <w:szCs w:val="32"/>
          <w:lang w:val="zh-CN"/>
        </w:rPr>
        <w:t>（二）</w:t>
      </w:r>
      <w:r>
        <w:rPr>
          <w:rFonts w:hint="eastAsia" w:ascii="楷体_GB2312" w:hAnsi="Times New Roman" w:eastAsia="楷体_GB2312" w:cs="Times New Roman"/>
          <w:b/>
          <w:sz w:val="32"/>
          <w:szCs w:val="32"/>
        </w:rPr>
        <w:t>专用指标</w:t>
      </w:r>
      <w:r>
        <w:rPr>
          <w:rFonts w:ascii="Times New Roman" w:hAnsi="Times New Roman" w:eastAsia="楷体_GB2312" w:cs="Times New Roman"/>
          <w:b/>
          <w:bCs/>
          <w:color w:val="000000"/>
          <w:kern w:val="0"/>
          <w:sz w:val="32"/>
          <w:szCs w:val="32"/>
          <w:shd w:val="clear" w:color="auto" w:fill="FFFFFF"/>
          <w:lang w:val="zh-CN"/>
        </w:rPr>
        <w:t>绩效分析。</w:t>
      </w:r>
    </w:p>
    <w:p w14:paraId="06E68313">
      <w:pPr>
        <w:adjustRightInd w:val="0"/>
        <w:snapToGrid w:val="0"/>
        <w:spacing w:line="578" w:lineRule="exact"/>
        <w:ind w:firstLine="640" w:firstLineChars="200"/>
        <w:rPr>
          <w:rFonts w:ascii="仿宋_GB2312" w:hAnsi="Times New Roman" w:eastAsia="仿宋_GB2312" w:cs="仿宋_GB2312"/>
          <w:sz w:val="32"/>
          <w:szCs w:val="32"/>
        </w:rPr>
      </w:pPr>
      <w:r>
        <w:rPr>
          <w:rFonts w:hint="eastAsia" w:ascii="楷体_GB2312" w:hAnsi="Times New Roman" w:eastAsia="楷体_GB2312" w:cs="楷体_GB2312"/>
          <w:sz w:val="32"/>
          <w:szCs w:val="32"/>
        </w:rPr>
        <w:t>1.产业发展。</w:t>
      </w:r>
      <w:r>
        <w:rPr>
          <w:rFonts w:hint="eastAsia" w:ascii="仿宋_GB2312" w:hAnsi="Times New Roman" w:eastAsia="仿宋_GB2312" w:cs="Times New Roman"/>
          <w:sz w:val="32"/>
          <w:szCs w:val="32"/>
        </w:rPr>
        <w:t>为深入贯彻落实中共中央办公厅、国务院办公厅《关于推进社会信用体系建设高质量发展促进形成新发展格局的意见》，</w:t>
      </w:r>
      <w:r>
        <w:rPr>
          <w:rFonts w:hint="eastAsia" w:ascii="仿宋_GB2312" w:hAnsi="Times New Roman" w:eastAsia="仿宋_GB2312" w:cs="Times New Roman"/>
          <w:kern w:val="0"/>
          <w:sz w:val="32"/>
          <w:szCs w:val="32"/>
        </w:rPr>
        <w:t>铸造“信用广元”诚信品牌，</w:t>
      </w:r>
      <w:r>
        <w:rPr>
          <w:rFonts w:ascii="仿宋_GB2312" w:hAnsi="Times New Roman" w:eastAsia="仿宋_GB2312" w:cs="Times New Roman"/>
          <w:kern w:val="0"/>
          <w:sz w:val="32"/>
          <w:szCs w:val="32"/>
        </w:rPr>
        <w:t>通过成功创建社会信用体系建设示范区，广元市公共信用信息平台和“信用中国（四川广元）”已归集58个数源单位，597类、1亿余条信用信息，创新应用场景，信用+融资”应用引导44256户企业在“信易贷”平台认证注册，占全市市场主体28.9%，推动发放信用贷款8427笔、457.05亿元。</w:t>
      </w:r>
      <w:r>
        <w:rPr>
          <w:rFonts w:hint="eastAsia" w:ascii="仿宋_GB2312" w:hAnsi="Times New Roman" w:eastAsia="仿宋_GB2312" w:cs="仿宋_GB2312"/>
          <w:sz w:val="32"/>
          <w:szCs w:val="32"/>
        </w:rPr>
        <w:t>为打造川内最优营商环境，创建全国文明城市，加快建设川陕甘结合部现代化中心城市提供有力支撑。绩效分析得分30分。</w:t>
      </w:r>
    </w:p>
    <w:p w14:paraId="1EA777C6">
      <w:pPr>
        <w:adjustRightInd w:val="0"/>
        <w:snapToGrid w:val="0"/>
        <w:spacing w:line="578" w:lineRule="exact"/>
        <w:ind w:firstLine="643" w:firstLineChars="200"/>
        <w:rPr>
          <w:rFonts w:ascii="Times New Roman" w:hAnsi="Times New Roman" w:eastAsia="仿宋_GB2312" w:cs="Times New Roman"/>
          <w:sz w:val="32"/>
          <w:szCs w:val="32"/>
        </w:rPr>
      </w:pPr>
      <w:r>
        <w:rPr>
          <w:rFonts w:hint="eastAsia" w:ascii="楷体_GB2312" w:hAnsi="Times New Roman" w:eastAsia="楷体_GB2312" w:cs="Times New Roman"/>
          <w:b/>
          <w:sz w:val="32"/>
          <w:szCs w:val="32"/>
          <w:lang w:val="zh-CN"/>
        </w:rPr>
        <w:t>（三）</w:t>
      </w:r>
      <w:r>
        <w:rPr>
          <w:rFonts w:hint="eastAsia" w:ascii="楷体_GB2312" w:hAnsi="Times New Roman" w:eastAsia="楷体_GB2312" w:cs="Times New Roman"/>
          <w:b/>
          <w:sz w:val="32"/>
          <w:szCs w:val="32"/>
        </w:rPr>
        <w:t>个性指标</w:t>
      </w:r>
      <w:r>
        <w:rPr>
          <w:rFonts w:ascii="Times New Roman" w:hAnsi="Times New Roman" w:eastAsia="楷体_GB2312" w:cs="Times New Roman"/>
          <w:b/>
          <w:bCs/>
          <w:color w:val="000000"/>
          <w:kern w:val="0"/>
          <w:sz w:val="32"/>
          <w:szCs w:val="32"/>
          <w:shd w:val="clear" w:color="auto" w:fill="FFFFFF"/>
          <w:lang w:val="zh-CN"/>
        </w:rPr>
        <w:t>绩效分析。</w:t>
      </w:r>
      <w:r>
        <w:rPr>
          <w:rFonts w:hint="eastAsia" w:ascii="仿宋_GB2312" w:hAnsi="Times New Roman" w:eastAsia="仿宋_GB2312" w:cs="仿宋_GB2312"/>
          <w:sz w:val="32"/>
          <w:szCs w:val="32"/>
        </w:rPr>
        <w:t>我市</w:t>
      </w:r>
      <w:r>
        <w:rPr>
          <w:rFonts w:ascii="仿宋_GB2312" w:hAnsi="Times New Roman" w:eastAsia="仿宋_GB2312" w:cs="仿宋_GB2312"/>
          <w:sz w:val="32"/>
          <w:szCs w:val="32"/>
        </w:rPr>
        <w:t>2023年8月，我市成功创建全国第四批社会信用体系建设示范区，广元市综合信用指数从2022年9月至2023年12月，最长连续15个月位列全省第一，成功搭建广元市合同履约监管系统，经验被国家发展改革委推广。并且我是社会信用体系建设相关工作</w:t>
      </w:r>
      <w:r>
        <w:rPr>
          <w:rFonts w:hint="eastAsia" w:ascii="仿宋_GB2312" w:hAnsi="Times New Roman" w:eastAsia="仿宋_GB2312" w:cs="仿宋_GB2312"/>
          <w:sz w:val="32"/>
          <w:szCs w:val="32"/>
        </w:rPr>
        <w:t>经验被人民网、中国改革报、中宏网、川观新闻等各大媒体宣传报道。绩效分析得分16分。</w:t>
      </w:r>
    </w:p>
    <w:p w14:paraId="7FEC3BAD">
      <w:pPr>
        <w:widowControl/>
        <w:tabs>
          <w:tab w:val="left" w:pos="2160"/>
        </w:tabs>
        <w:spacing w:line="600" w:lineRule="exact"/>
        <w:ind w:firstLine="640" w:firstLineChars="200"/>
        <w:jc w:val="left"/>
        <w:rPr>
          <w:rFonts w:ascii="黑体" w:hAnsi="楷体_GB2312" w:eastAsia="黑体" w:cs="Times New Roman"/>
          <w:kern w:val="0"/>
          <w:position w:val="3"/>
          <w:sz w:val="32"/>
          <w:szCs w:val="32"/>
          <w:lang w:val="en-US" w:eastAsia="zh-CN" w:bidi="ar-SA"/>
        </w:rPr>
      </w:pPr>
      <w:r>
        <w:rPr>
          <w:rFonts w:hint="eastAsia" w:ascii="黑体" w:hAnsi="楷体_GB2312" w:eastAsia="黑体" w:cs="Times New Roman"/>
          <w:kern w:val="0"/>
          <w:position w:val="3"/>
          <w:sz w:val="32"/>
          <w:szCs w:val="32"/>
          <w:lang w:val="en-US" w:eastAsia="zh-CN" w:bidi="ar-SA"/>
        </w:rPr>
        <w:t>四、评价结论</w:t>
      </w:r>
    </w:p>
    <w:p w14:paraId="4F1CF531">
      <w:pPr>
        <w:adjustRightInd w:val="0"/>
        <w:snapToGrid w:val="0"/>
        <w:spacing w:line="576" w:lineRule="exact"/>
        <w:ind w:firstLine="720"/>
        <w:rPr>
          <w:rFonts w:ascii="黑体" w:hAnsi="黑体" w:eastAsia="仿宋_GB2312" w:cs="黑体"/>
          <w:sz w:val="32"/>
          <w:szCs w:val="32"/>
        </w:rPr>
      </w:pPr>
      <w:r>
        <w:rPr>
          <w:rFonts w:ascii="仿宋_GB2312" w:hAnsi="Times New Roman" w:eastAsia="仿宋_GB2312" w:cs="仿宋_GB2312"/>
          <w:sz w:val="32"/>
          <w:szCs w:val="32"/>
        </w:rPr>
        <w:t>通过实施该项目，广元市综合信用指数从2022年9月至2023年12月，最长连续15个月位列全省第一，</w:t>
      </w:r>
      <w:r>
        <w:rPr>
          <w:rFonts w:hint="eastAsia" w:ascii="仿宋_GB2312" w:hAnsi="Times New Roman" w:eastAsia="仿宋_GB2312" w:cs="仿宋_GB2312"/>
          <w:sz w:val="32"/>
          <w:szCs w:val="32"/>
        </w:rPr>
        <w:t>提高</w:t>
      </w:r>
      <w:r>
        <w:rPr>
          <w:rFonts w:ascii="仿宋_GB2312" w:hAnsi="Times New Roman" w:eastAsia="仿宋_GB2312" w:cs="仿宋_GB2312"/>
          <w:sz w:val="32"/>
          <w:szCs w:val="32"/>
        </w:rPr>
        <w:t>了“信用广元”</w:t>
      </w:r>
      <w:r>
        <w:rPr>
          <w:rFonts w:hint="eastAsia" w:ascii="仿宋_GB2312" w:hAnsi="Times New Roman" w:eastAsia="仿宋_GB2312" w:cs="仿宋_GB2312"/>
          <w:sz w:val="32"/>
          <w:szCs w:val="32"/>
        </w:rPr>
        <w:t>品牌影响力，带来良好的社会效益、生态效益和经济效益。绩效分析评分100分。</w:t>
      </w:r>
    </w:p>
    <w:p w14:paraId="1051D529">
      <w:pPr>
        <w:widowControl/>
        <w:tabs>
          <w:tab w:val="left" w:pos="2160"/>
        </w:tabs>
        <w:spacing w:line="600" w:lineRule="exact"/>
        <w:ind w:firstLine="640" w:firstLineChars="200"/>
        <w:jc w:val="left"/>
        <w:rPr>
          <w:rFonts w:ascii="黑体" w:hAnsi="楷体_GB2312" w:eastAsia="黑体" w:cs="Times New Roman"/>
          <w:kern w:val="0"/>
          <w:position w:val="3"/>
          <w:sz w:val="32"/>
          <w:szCs w:val="32"/>
          <w:lang w:val="en-US" w:eastAsia="zh-CN" w:bidi="ar-SA"/>
        </w:rPr>
      </w:pPr>
      <w:r>
        <w:rPr>
          <w:rFonts w:hint="eastAsia" w:ascii="黑体" w:hAnsi="楷体_GB2312" w:eastAsia="黑体" w:cs="Times New Roman"/>
          <w:kern w:val="0"/>
          <w:position w:val="3"/>
          <w:sz w:val="32"/>
          <w:szCs w:val="32"/>
          <w:lang w:val="en-US" w:eastAsia="zh-CN" w:bidi="ar-SA"/>
        </w:rPr>
        <w:t>五、存在主要问题</w:t>
      </w:r>
    </w:p>
    <w:p w14:paraId="18615B3E">
      <w:pPr>
        <w:widowControl/>
        <w:tabs>
          <w:tab w:val="left" w:pos="2160"/>
        </w:tabs>
        <w:spacing w:line="600" w:lineRule="exact"/>
        <w:ind w:firstLine="640" w:firstLineChars="200"/>
        <w:jc w:val="left"/>
        <w:rPr>
          <w:rFonts w:ascii="仿宋_GB2312" w:hAnsi="楷体_GB2312" w:eastAsia="仿宋_GB2312" w:cs="仿宋_GB2312"/>
          <w:kern w:val="0"/>
          <w:position w:val="0"/>
          <w:sz w:val="32"/>
          <w:szCs w:val="32"/>
          <w:lang w:val="en-US" w:eastAsia="zh-CN" w:bidi="ar-SA"/>
        </w:rPr>
      </w:pPr>
      <w:r>
        <w:rPr>
          <w:rFonts w:hint="eastAsia" w:ascii="仿宋_GB2312" w:hAnsi="楷体_GB2312" w:eastAsia="仿宋_GB2312" w:cs="仿宋_GB2312"/>
          <w:kern w:val="0"/>
          <w:position w:val="0"/>
          <w:sz w:val="32"/>
          <w:szCs w:val="32"/>
          <w:lang w:val="en-US" w:eastAsia="zh-CN" w:bidi="ar-SA"/>
        </w:rPr>
        <w:t>无。</w:t>
      </w:r>
    </w:p>
    <w:p w14:paraId="5E3F5653">
      <w:pPr>
        <w:widowControl/>
        <w:tabs>
          <w:tab w:val="left" w:pos="2160"/>
        </w:tabs>
        <w:spacing w:line="600" w:lineRule="exact"/>
        <w:ind w:firstLine="640" w:firstLineChars="200"/>
        <w:jc w:val="left"/>
        <w:rPr>
          <w:rFonts w:ascii="黑体" w:hAnsi="楷体_GB2312" w:eastAsia="黑体" w:cs="Times New Roman"/>
          <w:kern w:val="0"/>
          <w:position w:val="3"/>
          <w:sz w:val="32"/>
          <w:szCs w:val="32"/>
          <w:lang w:val="zh-CN" w:eastAsia="zh-CN" w:bidi="ar-SA"/>
        </w:rPr>
      </w:pPr>
      <w:r>
        <w:rPr>
          <w:rFonts w:hint="eastAsia" w:ascii="黑体" w:hAnsi="楷体_GB2312" w:eastAsia="黑体" w:cs="Times New Roman"/>
          <w:kern w:val="0"/>
          <w:position w:val="3"/>
          <w:sz w:val="32"/>
          <w:szCs w:val="32"/>
          <w:lang w:val="zh-CN" w:eastAsia="zh-CN" w:bidi="ar-SA"/>
        </w:rPr>
        <w:t>六、改进建议</w:t>
      </w:r>
    </w:p>
    <w:p w14:paraId="4BC6E13C">
      <w:pPr>
        <w:tabs>
          <w:tab w:val="left" w:pos="1911"/>
        </w:tabs>
        <w:ind w:firstLine="640"/>
        <w:jc w:val="left"/>
        <w:rPr>
          <w:rFonts w:ascii="仿宋_GB2312" w:hAnsi="Times New Roman" w:eastAsia="仿宋_GB2312" w:cs="仿宋_GB2312"/>
          <w:kern w:val="0"/>
          <w:sz w:val="32"/>
          <w:szCs w:val="32"/>
        </w:rPr>
      </w:pPr>
      <w:r>
        <w:rPr>
          <w:rFonts w:hint="eastAsia" w:ascii="仿宋_GB2312" w:hAnsi="Times New Roman" w:eastAsia="仿宋_GB2312" w:cs="仿宋_GB2312"/>
          <w:kern w:val="0"/>
          <w:sz w:val="32"/>
          <w:szCs w:val="32"/>
        </w:rPr>
        <w:t>无。</w:t>
      </w:r>
    </w:p>
    <w:p w14:paraId="1E9875B1">
      <w:pPr>
        <w:widowControl/>
        <w:adjustRightInd w:val="0"/>
        <w:snapToGrid w:val="0"/>
        <w:spacing w:line="578" w:lineRule="exact"/>
        <w:contextualSpacing/>
        <w:jc w:val="left"/>
        <w:rPr>
          <w:rFonts w:ascii="黑体" w:hAnsi="Times New Roman" w:eastAsia="黑体" w:cs="黑体"/>
          <w:kern w:val="0"/>
          <w:sz w:val="32"/>
          <w:szCs w:val="32"/>
          <w:shd w:val="clear" w:color="auto" w:fill="FFFFFF"/>
          <w:lang w:val="zh-CN"/>
        </w:rPr>
      </w:pPr>
    </w:p>
    <w:p w14:paraId="00F458C4">
      <w:pPr>
        <w:widowControl/>
        <w:adjustRightInd w:val="0"/>
        <w:snapToGrid w:val="0"/>
        <w:spacing w:line="578" w:lineRule="exact"/>
        <w:contextualSpacing/>
        <w:jc w:val="left"/>
        <w:rPr>
          <w:rFonts w:ascii="黑体" w:hAnsi="Times New Roman" w:eastAsia="黑体" w:cs="黑体"/>
          <w:kern w:val="0"/>
          <w:sz w:val="32"/>
          <w:szCs w:val="32"/>
          <w:shd w:val="clear" w:color="auto" w:fill="FFFFFF"/>
          <w:lang w:val="zh-CN"/>
        </w:rPr>
      </w:pPr>
    </w:p>
    <w:p w14:paraId="7E967F48">
      <w:pPr>
        <w:widowControl/>
        <w:adjustRightInd w:val="0"/>
        <w:snapToGrid w:val="0"/>
        <w:spacing w:line="578" w:lineRule="exact"/>
        <w:contextualSpacing/>
        <w:jc w:val="left"/>
        <w:rPr>
          <w:rFonts w:ascii="黑体" w:hAnsi="Times New Roman" w:eastAsia="黑体" w:cs="黑体"/>
          <w:kern w:val="0"/>
          <w:sz w:val="32"/>
          <w:szCs w:val="32"/>
          <w:shd w:val="clear" w:color="auto" w:fill="FFFFFF"/>
          <w:lang w:val="zh-CN"/>
        </w:rPr>
      </w:pPr>
    </w:p>
    <w:p w14:paraId="6264E649">
      <w:pPr>
        <w:widowControl/>
        <w:adjustRightInd w:val="0"/>
        <w:snapToGrid w:val="0"/>
        <w:spacing w:line="578" w:lineRule="exact"/>
        <w:contextualSpacing/>
        <w:jc w:val="left"/>
        <w:rPr>
          <w:rFonts w:ascii="黑体" w:hAnsi="Times New Roman" w:eastAsia="黑体" w:cs="黑体"/>
          <w:kern w:val="0"/>
          <w:sz w:val="32"/>
          <w:szCs w:val="32"/>
          <w:shd w:val="clear" w:color="auto" w:fill="FFFFFF"/>
          <w:lang w:val="zh-CN"/>
        </w:rPr>
      </w:pPr>
    </w:p>
    <w:p w14:paraId="56559E89">
      <w:pPr>
        <w:widowControl/>
        <w:adjustRightInd w:val="0"/>
        <w:snapToGrid w:val="0"/>
        <w:spacing w:line="578" w:lineRule="exact"/>
        <w:contextualSpacing/>
        <w:jc w:val="left"/>
        <w:rPr>
          <w:rFonts w:ascii="黑体" w:hAnsi="Times New Roman" w:eastAsia="黑体" w:cs="黑体"/>
          <w:kern w:val="0"/>
          <w:sz w:val="32"/>
          <w:szCs w:val="32"/>
          <w:shd w:val="clear" w:color="auto" w:fill="FFFFFF"/>
          <w:lang w:val="zh-CN"/>
        </w:rPr>
      </w:pPr>
    </w:p>
    <w:p w14:paraId="124136B4">
      <w:pPr>
        <w:widowControl/>
        <w:adjustRightInd w:val="0"/>
        <w:snapToGrid w:val="0"/>
        <w:spacing w:line="578" w:lineRule="exact"/>
        <w:contextualSpacing/>
        <w:jc w:val="left"/>
        <w:rPr>
          <w:rFonts w:ascii="黑体" w:hAnsi="Times New Roman" w:eastAsia="黑体" w:cs="黑体"/>
          <w:kern w:val="0"/>
          <w:sz w:val="32"/>
          <w:szCs w:val="32"/>
          <w:shd w:val="clear" w:color="auto" w:fill="FFFFFF"/>
          <w:lang w:val="zh-CN"/>
        </w:rPr>
      </w:pPr>
    </w:p>
    <w:p w14:paraId="2042E373">
      <w:pPr>
        <w:widowControl/>
        <w:adjustRightInd w:val="0"/>
        <w:snapToGrid w:val="0"/>
        <w:spacing w:line="578" w:lineRule="exact"/>
        <w:contextualSpacing/>
        <w:jc w:val="left"/>
        <w:rPr>
          <w:rFonts w:ascii="黑体" w:hAnsi="Times New Roman" w:eastAsia="黑体" w:cs="黑体"/>
          <w:kern w:val="0"/>
          <w:sz w:val="32"/>
          <w:szCs w:val="32"/>
          <w:shd w:val="clear" w:color="auto" w:fill="FFFFFF"/>
          <w:lang w:val="zh-CN"/>
        </w:rPr>
      </w:pPr>
    </w:p>
    <w:p w14:paraId="4582CB4B">
      <w:pPr>
        <w:widowControl/>
        <w:adjustRightInd w:val="0"/>
        <w:snapToGrid w:val="0"/>
        <w:spacing w:line="578" w:lineRule="exact"/>
        <w:contextualSpacing/>
        <w:jc w:val="left"/>
        <w:rPr>
          <w:rFonts w:ascii="黑体" w:hAnsi="Times New Roman" w:eastAsia="黑体" w:cs="黑体"/>
          <w:kern w:val="0"/>
          <w:sz w:val="32"/>
          <w:szCs w:val="32"/>
          <w:shd w:val="clear" w:color="auto" w:fill="FFFFFF"/>
          <w:lang w:val="zh-CN"/>
        </w:rPr>
      </w:pPr>
    </w:p>
    <w:p w14:paraId="52DB7F19">
      <w:pPr>
        <w:widowControl/>
        <w:adjustRightInd w:val="0"/>
        <w:snapToGrid w:val="0"/>
        <w:spacing w:line="578" w:lineRule="exact"/>
        <w:contextualSpacing/>
        <w:jc w:val="left"/>
        <w:rPr>
          <w:rFonts w:ascii="黑体" w:hAnsi="Times New Roman" w:eastAsia="黑体" w:cs="黑体"/>
          <w:kern w:val="0"/>
          <w:sz w:val="32"/>
          <w:szCs w:val="32"/>
          <w:shd w:val="clear" w:color="auto" w:fill="FFFFFF"/>
          <w:lang w:val="zh-CN"/>
        </w:rPr>
      </w:pPr>
    </w:p>
    <w:p w14:paraId="120F3252">
      <w:pPr>
        <w:widowControl/>
        <w:adjustRightInd w:val="0"/>
        <w:snapToGrid w:val="0"/>
        <w:spacing w:line="578" w:lineRule="exact"/>
        <w:contextualSpacing/>
        <w:jc w:val="left"/>
        <w:rPr>
          <w:rFonts w:ascii="黑体" w:hAnsi="Times New Roman" w:eastAsia="黑体" w:cs="黑体"/>
          <w:kern w:val="0"/>
          <w:sz w:val="32"/>
          <w:szCs w:val="32"/>
          <w:shd w:val="clear" w:color="auto" w:fill="FFFFFF"/>
          <w:lang w:val="zh-CN"/>
        </w:rPr>
      </w:pPr>
      <w:r>
        <w:rPr>
          <w:rFonts w:hint="eastAsia" w:ascii="黑体" w:hAnsi="Times New Roman" w:eastAsia="黑体" w:cs="黑体"/>
          <w:kern w:val="0"/>
          <w:sz w:val="32"/>
          <w:szCs w:val="32"/>
          <w:shd w:val="clear" w:color="auto" w:fill="FFFFFF"/>
          <w:lang w:val="zh-CN"/>
        </w:rPr>
        <w:t>附表</w:t>
      </w:r>
      <w:r>
        <w:rPr>
          <w:rFonts w:hint="eastAsia" w:ascii="黑体" w:hAnsi="Times New Roman" w:eastAsia="黑体" w:cs="黑体"/>
          <w:kern w:val="0"/>
          <w:sz w:val="32"/>
          <w:szCs w:val="32"/>
          <w:shd w:val="clear" w:color="auto" w:fill="FFFFFF"/>
        </w:rPr>
        <w:t>1</w:t>
      </w:r>
    </w:p>
    <w:p w14:paraId="37FCE2EA">
      <w:pPr>
        <w:spacing w:line="578" w:lineRule="exact"/>
        <w:jc w:val="center"/>
        <w:rPr>
          <w:rFonts w:ascii="方正小标宋_GBK" w:hAnsi="Times New Roman" w:eastAsia="方正小标宋_GBK" w:cs="方正小标宋_GBK"/>
          <w:sz w:val="40"/>
          <w:szCs w:val="40"/>
        </w:rPr>
      </w:pPr>
      <w:r>
        <w:rPr>
          <w:rFonts w:hint="eastAsia" w:ascii="方正小标宋_GBK" w:hAnsi="Times New Roman" w:eastAsia="方正小标宋_GBK" w:cs="方正小标宋_GBK"/>
          <w:sz w:val="40"/>
          <w:szCs w:val="40"/>
        </w:rPr>
        <w:t>项目资金分配涉及所有点位自评得分情况表</w:t>
      </w:r>
    </w:p>
    <w:tbl>
      <w:tblPr>
        <w:tblStyle w:val="20"/>
        <w:tblW w:w="88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23"/>
        <w:gridCol w:w="3843"/>
        <w:gridCol w:w="2861"/>
        <w:gridCol w:w="993"/>
      </w:tblGrid>
      <w:tr w14:paraId="725A24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tcPr>
          <w:p w14:paraId="6FB91C84">
            <w:pPr>
              <w:keepNext w:val="0"/>
              <w:keepLines w:val="0"/>
              <w:suppressLineNumbers w:val="0"/>
              <w:spacing w:before="0" w:beforeAutospacing="0" w:after="0" w:afterAutospacing="0" w:line="300" w:lineRule="exact"/>
              <w:ind w:left="0" w:right="0"/>
              <w:jc w:val="center"/>
              <w:rPr>
                <w:rFonts w:hint="default" w:ascii="黑体" w:hAnsi="Times New Roman" w:eastAsia="黑体" w:cs="黑体"/>
                <w:sz w:val="24"/>
                <w:szCs w:val="24"/>
              </w:rPr>
            </w:pPr>
            <w:r>
              <w:rPr>
                <w:rFonts w:hint="eastAsia" w:ascii="黑体" w:hAnsi="Times New Roman" w:eastAsia="黑体" w:cs="黑体"/>
                <w:sz w:val="24"/>
                <w:szCs w:val="24"/>
              </w:rPr>
              <w:t>序号</w:t>
            </w:r>
          </w:p>
        </w:tc>
        <w:tc>
          <w:tcPr>
            <w:tcW w:w="3843" w:type="dxa"/>
          </w:tcPr>
          <w:p w14:paraId="3C4B608B">
            <w:pPr>
              <w:keepNext w:val="0"/>
              <w:keepLines w:val="0"/>
              <w:suppressLineNumbers w:val="0"/>
              <w:spacing w:before="0" w:beforeAutospacing="0" w:after="0" w:afterAutospacing="0" w:line="300" w:lineRule="exact"/>
              <w:ind w:left="0" w:right="0"/>
              <w:jc w:val="center"/>
              <w:rPr>
                <w:rFonts w:hint="default" w:ascii="黑体" w:hAnsi="Times New Roman" w:eastAsia="黑体" w:cs="黑体"/>
                <w:sz w:val="24"/>
                <w:szCs w:val="24"/>
              </w:rPr>
            </w:pPr>
            <w:r>
              <w:rPr>
                <w:rFonts w:hint="eastAsia" w:ascii="黑体" w:hAnsi="Times New Roman" w:eastAsia="黑体" w:cs="黑体"/>
                <w:sz w:val="24"/>
                <w:szCs w:val="24"/>
              </w:rPr>
              <w:t>项目资金末端分配点位</w:t>
            </w:r>
          </w:p>
        </w:tc>
        <w:tc>
          <w:tcPr>
            <w:tcW w:w="2861" w:type="dxa"/>
          </w:tcPr>
          <w:p w14:paraId="6C4A54CE">
            <w:pPr>
              <w:keepNext w:val="0"/>
              <w:keepLines w:val="0"/>
              <w:suppressLineNumbers w:val="0"/>
              <w:spacing w:before="0" w:beforeAutospacing="0" w:after="0" w:afterAutospacing="0" w:line="300" w:lineRule="exact"/>
              <w:ind w:left="0" w:right="0"/>
              <w:jc w:val="center"/>
              <w:rPr>
                <w:rFonts w:hint="default" w:ascii="黑体" w:hAnsi="Times New Roman" w:eastAsia="黑体" w:cs="黑体"/>
                <w:sz w:val="24"/>
                <w:szCs w:val="24"/>
              </w:rPr>
            </w:pPr>
            <w:r>
              <w:rPr>
                <w:rFonts w:hint="eastAsia" w:ascii="黑体" w:hAnsi="Times New Roman" w:eastAsia="黑体" w:cs="黑体"/>
                <w:sz w:val="24"/>
                <w:szCs w:val="24"/>
              </w:rPr>
              <w:t>自评得分（百分制）</w:t>
            </w:r>
          </w:p>
        </w:tc>
        <w:tc>
          <w:tcPr>
            <w:tcW w:w="993" w:type="dxa"/>
          </w:tcPr>
          <w:p w14:paraId="39606D9A">
            <w:pPr>
              <w:keepNext w:val="0"/>
              <w:keepLines w:val="0"/>
              <w:suppressLineNumbers w:val="0"/>
              <w:spacing w:before="0" w:beforeAutospacing="0" w:after="0" w:afterAutospacing="0" w:line="300" w:lineRule="exact"/>
              <w:ind w:left="0" w:right="0"/>
              <w:jc w:val="center"/>
              <w:rPr>
                <w:rFonts w:hint="default" w:ascii="黑体" w:hAnsi="Times New Roman" w:eastAsia="黑体" w:cs="黑体"/>
                <w:sz w:val="24"/>
                <w:szCs w:val="24"/>
              </w:rPr>
            </w:pPr>
            <w:r>
              <w:rPr>
                <w:rFonts w:hint="eastAsia" w:ascii="黑体" w:hAnsi="Times New Roman" w:eastAsia="黑体" w:cs="黑体"/>
                <w:sz w:val="24"/>
                <w:szCs w:val="24"/>
              </w:rPr>
              <w:t>备注</w:t>
            </w:r>
          </w:p>
        </w:tc>
      </w:tr>
      <w:tr w14:paraId="2F4E0E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tcPr>
          <w:p w14:paraId="7F963A21">
            <w:pPr>
              <w:keepNext w:val="0"/>
              <w:keepLines w:val="0"/>
              <w:suppressLineNumbers w:val="0"/>
              <w:spacing w:before="0" w:beforeAutospacing="0" w:after="0" w:afterAutospacing="0" w:line="300" w:lineRule="exact"/>
              <w:ind w:left="0" w:right="0"/>
              <w:jc w:val="center"/>
              <w:rPr>
                <w:rFonts w:hint="default" w:ascii="宋体" w:hAnsi="Times New Roman" w:eastAsia="宋体" w:cs="宋体"/>
                <w:sz w:val="24"/>
                <w:szCs w:val="24"/>
              </w:rPr>
            </w:pPr>
            <w:r>
              <w:rPr>
                <w:rFonts w:hint="eastAsia" w:ascii="宋体" w:hAnsi="Times New Roman" w:eastAsia="宋体" w:cs="宋体"/>
                <w:sz w:val="24"/>
                <w:szCs w:val="24"/>
              </w:rPr>
              <w:t>1</w:t>
            </w:r>
          </w:p>
        </w:tc>
        <w:tc>
          <w:tcPr>
            <w:tcW w:w="3843" w:type="dxa"/>
          </w:tcPr>
          <w:p w14:paraId="1739D494">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r>
              <w:rPr>
                <w:rFonts w:hint="eastAsia" w:ascii="宋体" w:hAnsi="Times New Roman" w:eastAsia="宋体" w:cs="宋体"/>
                <w:sz w:val="21"/>
                <w:szCs w:val="21"/>
              </w:rPr>
              <w:t>市本级</w:t>
            </w:r>
          </w:p>
        </w:tc>
        <w:tc>
          <w:tcPr>
            <w:tcW w:w="2861" w:type="dxa"/>
          </w:tcPr>
          <w:p w14:paraId="7E3FCC3C">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r>
              <w:rPr>
                <w:rFonts w:hint="eastAsia" w:ascii="宋体" w:hAnsi="Times New Roman" w:eastAsia="宋体" w:cs="宋体"/>
                <w:sz w:val="21"/>
                <w:szCs w:val="21"/>
              </w:rPr>
              <w:t>优</w:t>
            </w:r>
          </w:p>
        </w:tc>
        <w:tc>
          <w:tcPr>
            <w:tcW w:w="993" w:type="dxa"/>
          </w:tcPr>
          <w:p w14:paraId="5779C3F0">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r>
      <w:tr w14:paraId="096CDC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tcPr>
          <w:p w14:paraId="0B641EA4">
            <w:pPr>
              <w:keepNext w:val="0"/>
              <w:keepLines w:val="0"/>
              <w:suppressLineNumbers w:val="0"/>
              <w:spacing w:before="0" w:beforeAutospacing="0" w:after="0" w:afterAutospacing="0" w:line="300" w:lineRule="exact"/>
              <w:ind w:left="0" w:right="0"/>
              <w:jc w:val="center"/>
              <w:rPr>
                <w:rFonts w:hint="default" w:ascii="宋体" w:hAnsi="Times New Roman" w:eastAsia="宋体" w:cs="宋体"/>
                <w:sz w:val="24"/>
                <w:szCs w:val="24"/>
              </w:rPr>
            </w:pPr>
            <w:r>
              <w:rPr>
                <w:rFonts w:hint="eastAsia" w:ascii="宋体" w:hAnsi="Times New Roman" w:eastAsia="宋体" w:cs="宋体"/>
                <w:sz w:val="24"/>
                <w:szCs w:val="24"/>
              </w:rPr>
              <w:t>2</w:t>
            </w:r>
          </w:p>
        </w:tc>
        <w:tc>
          <w:tcPr>
            <w:tcW w:w="3843" w:type="dxa"/>
          </w:tcPr>
          <w:p w14:paraId="77750AE2">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c>
          <w:tcPr>
            <w:tcW w:w="2861" w:type="dxa"/>
          </w:tcPr>
          <w:p w14:paraId="42687A6F">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c>
          <w:tcPr>
            <w:tcW w:w="993" w:type="dxa"/>
          </w:tcPr>
          <w:p w14:paraId="7825EDFD">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r>
      <w:tr w14:paraId="47EDFE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tcPr>
          <w:p w14:paraId="159A049A">
            <w:pPr>
              <w:keepNext w:val="0"/>
              <w:keepLines w:val="0"/>
              <w:suppressLineNumbers w:val="0"/>
              <w:spacing w:before="0" w:beforeAutospacing="0" w:after="0" w:afterAutospacing="0" w:line="300" w:lineRule="exact"/>
              <w:ind w:left="0" w:right="0"/>
              <w:jc w:val="center"/>
              <w:rPr>
                <w:rFonts w:hint="default" w:ascii="宋体" w:hAnsi="Times New Roman" w:eastAsia="宋体" w:cs="宋体"/>
                <w:sz w:val="24"/>
                <w:szCs w:val="24"/>
              </w:rPr>
            </w:pPr>
            <w:r>
              <w:rPr>
                <w:rFonts w:hint="eastAsia" w:ascii="宋体" w:hAnsi="Times New Roman" w:eastAsia="宋体" w:cs="宋体"/>
                <w:sz w:val="24"/>
                <w:szCs w:val="24"/>
              </w:rPr>
              <w:t>3</w:t>
            </w:r>
          </w:p>
        </w:tc>
        <w:tc>
          <w:tcPr>
            <w:tcW w:w="3843" w:type="dxa"/>
          </w:tcPr>
          <w:p w14:paraId="16F72C12">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c>
          <w:tcPr>
            <w:tcW w:w="2861" w:type="dxa"/>
          </w:tcPr>
          <w:p w14:paraId="1466E7F3">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c>
          <w:tcPr>
            <w:tcW w:w="993" w:type="dxa"/>
          </w:tcPr>
          <w:p w14:paraId="5AAB8052">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r>
      <w:tr w14:paraId="6862A4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tcPr>
          <w:p w14:paraId="7EC7A6CE">
            <w:pPr>
              <w:keepNext w:val="0"/>
              <w:keepLines w:val="0"/>
              <w:suppressLineNumbers w:val="0"/>
              <w:spacing w:before="0" w:beforeAutospacing="0" w:after="0" w:afterAutospacing="0" w:line="300" w:lineRule="exact"/>
              <w:ind w:left="0" w:right="0"/>
              <w:jc w:val="center"/>
              <w:rPr>
                <w:rFonts w:hint="default" w:ascii="宋体" w:hAnsi="Times New Roman" w:eastAsia="宋体" w:cs="宋体"/>
                <w:sz w:val="24"/>
                <w:szCs w:val="24"/>
              </w:rPr>
            </w:pPr>
            <w:r>
              <w:rPr>
                <w:rFonts w:hint="eastAsia" w:ascii="宋体" w:hAnsi="Times New Roman" w:eastAsia="宋体" w:cs="宋体"/>
                <w:sz w:val="24"/>
                <w:szCs w:val="24"/>
              </w:rPr>
              <w:t>4</w:t>
            </w:r>
          </w:p>
        </w:tc>
        <w:tc>
          <w:tcPr>
            <w:tcW w:w="3843" w:type="dxa"/>
          </w:tcPr>
          <w:p w14:paraId="3917BCEA">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c>
          <w:tcPr>
            <w:tcW w:w="2861" w:type="dxa"/>
          </w:tcPr>
          <w:p w14:paraId="43952D46">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c>
          <w:tcPr>
            <w:tcW w:w="993" w:type="dxa"/>
          </w:tcPr>
          <w:p w14:paraId="539EF136">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r>
      <w:tr w14:paraId="75E0C3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tcPr>
          <w:p w14:paraId="7EF75ACE">
            <w:pPr>
              <w:keepNext w:val="0"/>
              <w:keepLines w:val="0"/>
              <w:suppressLineNumbers w:val="0"/>
              <w:spacing w:before="0" w:beforeAutospacing="0" w:after="0" w:afterAutospacing="0" w:line="300" w:lineRule="exact"/>
              <w:ind w:left="0" w:right="0"/>
              <w:jc w:val="center"/>
              <w:rPr>
                <w:rFonts w:hint="default" w:ascii="宋体" w:hAnsi="Times New Roman" w:eastAsia="宋体" w:cs="宋体"/>
                <w:sz w:val="24"/>
                <w:szCs w:val="24"/>
              </w:rPr>
            </w:pPr>
            <w:r>
              <w:rPr>
                <w:rFonts w:hint="eastAsia" w:ascii="宋体" w:hAnsi="Times New Roman" w:eastAsia="宋体" w:cs="宋体"/>
                <w:sz w:val="24"/>
                <w:szCs w:val="24"/>
              </w:rPr>
              <w:t>5</w:t>
            </w:r>
          </w:p>
        </w:tc>
        <w:tc>
          <w:tcPr>
            <w:tcW w:w="3843" w:type="dxa"/>
          </w:tcPr>
          <w:p w14:paraId="20D6BB9E">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c>
          <w:tcPr>
            <w:tcW w:w="2861" w:type="dxa"/>
          </w:tcPr>
          <w:p w14:paraId="6792AF4D">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c>
          <w:tcPr>
            <w:tcW w:w="993" w:type="dxa"/>
          </w:tcPr>
          <w:p w14:paraId="36EEBB0B">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r>
      <w:tr w14:paraId="36952C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tcPr>
          <w:p w14:paraId="7E0E9D10">
            <w:pPr>
              <w:keepNext w:val="0"/>
              <w:keepLines w:val="0"/>
              <w:suppressLineNumbers w:val="0"/>
              <w:spacing w:before="0" w:beforeAutospacing="0" w:after="0" w:afterAutospacing="0" w:line="300" w:lineRule="exact"/>
              <w:ind w:left="0" w:right="0"/>
              <w:jc w:val="center"/>
              <w:rPr>
                <w:rFonts w:hint="default" w:ascii="宋体" w:hAnsi="Times New Roman" w:eastAsia="宋体" w:cs="宋体"/>
                <w:sz w:val="24"/>
                <w:szCs w:val="24"/>
              </w:rPr>
            </w:pPr>
            <w:r>
              <w:rPr>
                <w:rFonts w:hint="eastAsia" w:ascii="宋体" w:hAnsi="Times New Roman" w:eastAsia="宋体" w:cs="宋体"/>
                <w:sz w:val="24"/>
                <w:szCs w:val="24"/>
              </w:rPr>
              <w:t>6</w:t>
            </w:r>
          </w:p>
        </w:tc>
        <w:tc>
          <w:tcPr>
            <w:tcW w:w="3843" w:type="dxa"/>
          </w:tcPr>
          <w:p w14:paraId="43564F3E">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c>
          <w:tcPr>
            <w:tcW w:w="2861" w:type="dxa"/>
          </w:tcPr>
          <w:p w14:paraId="78862C58">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c>
          <w:tcPr>
            <w:tcW w:w="993" w:type="dxa"/>
          </w:tcPr>
          <w:p w14:paraId="5A4D079C">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r>
      <w:tr w14:paraId="0A05C9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tcPr>
          <w:p w14:paraId="2993B328">
            <w:pPr>
              <w:keepNext w:val="0"/>
              <w:keepLines w:val="0"/>
              <w:suppressLineNumbers w:val="0"/>
              <w:spacing w:before="0" w:beforeAutospacing="0" w:after="0" w:afterAutospacing="0" w:line="300" w:lineRule="exact"/>
              <w:ind w:left="0" w:right="0"/>
              <w:jc w:val="center"/>
              <w:rPr>
                <w:rFonts w:hint="default" w:ascii="宋体" w:hAnsi="Times New Roman" w:eastAsia="宋体" w:cs="宋体"/>
                <w:sz w:val="24"/>
                <w:szCs w:val="24"/>
              </w:rPr>
            </w:pPr>
            <w:r>
              <w:rPr>
                <w:rFonts w:hint="eastAsia" w:ascii="宋体" w:hAnsi="Times New Roman" w:eastAsia="宋体" w:cs="宋体"/>
                <w:sz w:val="24"/>
                <w:szCs w:val="24"/>
              </w:rPr>
              <w:t>7</w:t>
            </w:r>
          </w:p>
        </w:tc>
        <w:tc>
          <w:tcPr>
            <w:tcW w:w="3843" w:type="dxa"/>
          </w:tcPr>
          <w:p w14:paraId="3BAA859F">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c>
          <w:tcPr>
            <w:tcW w:w="2861" w:type="dxa"/>
          </w:tcPr>
          <w:p w14:paraId="4BFBE793">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c>
          <w:tcPr>
            <w:tcW w:w="993" w:type="dxa"/>
          </w:tcPr>
          <w:p w14:paraId="14943EC0">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r>
      <w:tr w14:paraId="284776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tcPr>
          <w:p w14:paraId="51B21FF2">
            <w:pPr>
              <w:keepNext w:val="0"/>
              <w:keepLines w:val="0"/>
              <w:suppressLineNumbers w:val="0"/>
              <w:spacing w:before="0" w:beforeAutospacing="0" w:after="0" w:afterAutospacing="0" w:line="300" w:lineRule="exact"/>
              <w:ind w:left="0" w:right="0"/>
              <w:jc w:val="center"/>
              <w:rPr>
                <w:rFonts w:hint="default" w:ascii="宋体" w:hAnsi="Times New Roman" w:eastAsia="宋体" w:cs="宋体"/>
                <w:sz w:val="24"/>
                <w:szCs w:val="24"/>
              </w:rPr>
            </w:pPr>
            <w:r>
              <w:rPr>
                <w:rFonts w:hint="eastAsia" w:ascii="宋体" w:hAnsi="Times New Roman" w:eastAsia="宋体" w:cs="宋体"/>
                <w:sz w:val="24"/>
                <w:szCs w:val="24"/>
              </w:rPr>
              <w:t>8</w:t>
            </w:r>
          </w:p>
        </w:tc>
        <w:tc>
          <w:tcPr>
            <w:tcW w:w="3843" w:type="dxa"/>
          </w:tcPr>
          <w:p w14:paraId="02BD0238">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c>
          <w:tcPr>
            <w:tcW w:w="2861" w:type="dxa"/>
          </w:tcPr>
          <w:p w14:paraId="7018AA0C">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c>
          <w:tcPr>
            <w:tcW w:w="993" w:type="dxa"/>
          </w:tcPr>
          <w:p w14:paraId="37AA91AB">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r>
      <w:tr w14:paraId="19340F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tcPr>
          <w:p w14:paraId="2222F626">
            <w:pPr>
              <w:keepNext w:val="0"/>
              <w:keepLines w:val="0"/>
              <w:suppressLineNumbers w:val="0"/>
              <w:spacing w:before="0" w:beforeAutospacing="0" w:after="0" w:afterAutospacing="0" w:line="300" w:lineRule="exact"/>
              <w:ind w:left="0" w:right="0"/>
              <w:jc w:val="center"/>
              <w:rPr>
                <w:rFonts w:hint="default" w:ascii="宋体" w:hAnsi="Times New Roman" w:eastAsia="宋体" w:cs="宋体"/>
                <w:sz w:val="24"/>
                <w:szCs w:val="24"/>
              </w:rPr>
            </w:pPr>
            <w:r>
              <w:rPr>
                <w:rFonts w:hint="eastAsia" w:ascii="宋体" w:hAnsi="Times New Roman" w:eastAsia="宋体" w:cs="宋体"/>
                <w:sz w:val="24"/>
                <w:szCs w:val="24"/>
              </w:rPr>
              <w:t>……</w:t>
            </w:r>
          </w:p>
        </w:tc>
        <w:tc>
          <w:tcPr>
            <w:tcW w:w="3843" w:type="dxa"/>
          </w:tcPr>
          <w:p w14:paraId="3B5175D3">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c>
          <w:tcPr>
            <w:tcW w:w="2861" w:type="dxa"/>
          </w:tcPr>
          <w:p w14:paraId="4414C6CA">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c>
          <w:tcPr>
            <w:tcW w:w="993" w:type="dxa"/>
          </w:tcPr>
          <w:p w14:paraId="421E7B0B">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r>
    </w:tbl>
    <w:p w14:paraId="6022A72B">
      <w:pPr>
        <w:spacing w:line="400" w:lineRule="exact"/>
        <w:jc w:val="left"/>
        <w:rPr>
          <w:rFonts w:ascii="宋体" w:hAnsi="Times New Roman" w:eastAsia="宋体" w:cs="宋体"/>
          <w:sz w:val="21"/>
          <w:szCs w:val="21"/>
        </w:rPr>
      </w:pPr>
      <w:r>
        <w:rPr>
          <w:rFonts w:hint="eastAsia" w:ascii="宋体" w:hAnsi="Times New Roman" w:eastAsia="宋体" w:cs="宋体"/>
          <w:sz w:val="21"/>
          <w:szCs w:val="21"/>
        </w:rPr>
        <w:t>备注：1.项目资金末端分配点位包括市本级、县（区）、市级部门下属单位及一次性单位等。</w:t>
      </w:r>
    </w:p>
    <w:p w14:paraId="484866D1">
      <w:pPr>
        <w:spacing w:line="400" w:lineRule="exact"/>
        <w:ind w:firstLine="630" w:firstLineChars="300"/>
        <w:jc w:val="left"/>
        <w:rPr>
          <w:rFonts w:ascii="宋体" w:hAnsi="Times New Roman" w:eastAsia="宋体" w:cs="宋体"/>
          <w:sz w:val="21"/>
          <w:szCs w:val="21"/>
        </w:rPr>
      </w:pPr>
      <w:r>
        <w:rPr>
          <w:rFonts w:hint="eastAsia" w:ascii="宋体" w:hAnsi="Times New Roman" w:eastAsia="宋体" w:cs="宋体"/>
          <w:sz w:val="21"/>
          <w:szCs w:val="21"/>
        </w:rPr>
        <w:t>2.自评得分（百分制）从高到低划分为优、良、中、差四个档次，各个档次数量占比分别为20%、20%、55%、5%，且不同档次间得分分值应体现差异化，同档次得分分值相同的比例不超过该档次总数量的10%。</w:t>
      </w:r>
    </w:p>
    <w:p w14:paraId="19A8391E">
      <w:pPr>
        <w:rPr>
          <w:rFonts w:ascii="Times New Roman" w:hAnsi="Times New Roman" w:eastAsia="仿宋_GB2312" w:cs="Times New Roman"/>
          <w:sz w:val="32"/>
          <w:szCs w:val="24"/>
        </w:rPr>
      </w:pPr>
      <w:r>
        <w:rPr>
          <w:rFonts w:hint="eastAsia" w:ascii="Times New Roman" w:hAnsi="Times New Roman" w:eastAsia="仿宋_GB2312" w:cs="Times New Roman"/>
          <w:sz w:val="32"/>
          <w:szCs w:val="24"/>
        </w:rPr>
        <w:br w:type="page"/>
      </w:r>
    </w:p>
    <w:p w14:paraId="2FD7B36A">
      <w:pPr>
        <w:widowControl w:val="0"/>
        <w:spacing w:after="0" w:line="578" w:lineRule="exact"/>
        <w:ind w:left="0" w:leftChars="0" w:firstLine="0" w:firstLineChars="0"/>
        <w:jc w:val="both"/>
        <w:rPr>
          <w:rFonts w:ascii="Times New Roman" w:hAnsi="Times New Roman" w:eastAsia="黑体" w:cs="Times New Roman"/>
          <w:kern w:val="2"/>
          <w:sz w:val="32"/>
          <w:szCs w:val="24"/>
          <w:lang w:val="en-US" w:eastAsia="zh-CN" w:bidi="ar-SA"/>
        </w:rPr>
      </w:pPr>
      <w:r>
        <w:rPr>
          <w:rFonts w:ascii="Times New Roman" w:hAnsi="Times New Roman" w:eastAsia="黑体" w:cs="Times New Roman"/>
          <w:kern w:val="2"/>
          <w:sz w:val="32"/>
          <w:szCs w:val="24"/>
          <w:lang w:val="en-US" w:eastAsia="zh-CN" w:bidi="ar-SA"/>
        </w:rPr>
        <w:t>附表2</w:t>
      </w:r>
    </w:p>
    <w:tbl>
      <w:tblPr>
        <w:tblStyle w:val="20"/>
        <w:tblW w:w="10232" w:type="dxa"/>
        <w:jc w:val="center"/>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Layout w:type="fixed"/>
        <w:tblCellMar>
          <w:top w:w="15" w:type="dxa"/>
          <w:left w:w="15" w:type="dxa"/>
          <w:bottom w:w="15" w:type="dxa"/>
          <w:right w:w="15" w:type="dxa"/>
        </w:tblCellMar>
      </w:tblPr>
      <w:tblGrid>
        <w:gridCol w:w="651"/>
        <w:gridCol w:w="1081"/>
        <w:gridCol w:w="1250"/>
        <w:gridCol w:w="1700"/>
        <w:gridCol w:w="739"/>
        <w:gridCol w:w="971"/>
        <w:gridCol w:w="1061"/>
        <w:gridCol w:w="938"/>
        <w:gridCol w:w="1841"/>
      </w:tblGrid>
      <w:tr w14:paraId="74227569">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576" w:hRule="atLeast"/>
          <w:jc w:val="center"/>
        </w:trPr>
        <w:tc>
          <w:tcPr>
            <w:tcW w:w="10232" w:type="dxa"/>
            <w:gridSpan w:val="9"/>
            <w:shd w:val="solid" w:color="E2EFD9" w:fill="auto"/>
            <w:vAlign w:val="center"/>
          </w:tcPr>
          <w:p w14:paraId="08056FE5">
            <w:pPr>
              <w:keepNext w:val="0"/>
              <w:keepLines w:val="0"/>
              <w:widowControl/>
              <w:suppressLineNumbers w:val="0"/>
              <w:spacing w:before="0" w:beforeAutospacing="0" w:after="0" w:afterAutospacing="0" w:line="600" w:lineRule="exact"/>
              <w:ind w:left="0" w:right="0"/>
              <w:jc w:val="center"/>
              <w:textAlignment w:val="center"/>
              <w:rPr>
                <w:rFonts w:hint="default" w:ascii="黑体" w:hAnsi="Times New Roman" w:eastAsia="黑体" w:cs="黑体"/>
                <w:sz w:val="30"/>
                <w:szCs w:val="30"/>
              </w:rPr>
            </w:pPr>
            <w:r>
              <w:rPr>
                <w:rFonts w:hint="eastAsia" w:ascii="方正小标宋简体" w:hAnsi="Times New Roman" w:eastAsia="方正小标宋简体" w:cs="方正小标宋简体"/>
                <w:kern w:val="0"/>
                <w:sz w:val="40"/>
                <w:szCs w:val="40"/>
              </w:rPr>
              <w:t>专项预算项目绩效目标完成情况自评表</w:t>
            </w:r>
          </w:p>
        </w:tc>
      </w:tr>
      <w:tr w14:paraId="04318C92">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23" w:hRule="atLeast"/>
          <w:jc w:val="center"/>
        </w:trPr>
        <w:tc>
          <w:tcPr>
            <w:tcW w:w="4683" w:type="dxa"/>
            <w:gridSpan w:val="4"/>
            <w:shd w:val="solid" w:color="E2EFD9" w:fill="auto"/>
            <w:vAlign w:val="center"/>
          </w:tcPr>
          <w:p w14:paraId="07CA8BFB">
            <w:pPr>
              <w:keepNext w:val="0"/>
              <w:keepLines w:val="0"/>
              <w:widowControl/>
              <w:suppressLineNumbers w:val="0"/>
              <w:spacing w:before="0" w:beforeAutospacing="0" w:after="0" w:afterAutospacing="0" w:line="300" w:lineRule="exact"/>
              <w:ind w:left="0" w:right="0"/>
              <w:jc w:val="left"/>
              <w:textAlignment w:val="center"/>
              <w:rPr>
                <w:rFonts w:hint="default" w:ascii="宋体" w:hAnsi="Times New Roman" w:eastAsia="宋体" w:cs="宋体"/>
                <w:sz w:val="24"/>
                <w:szCs w:val="24"/>
              </w:rPr>
            </w:pPr>
            <w:r>
              <w:rPr>
                <w:rFonts w:hint="default" w:ascii="宋体" w:hAnsi="Times New Roman" w:eastAsia="宋体" w:cs="宋体"/>
                <w:kern w:val="0"/>
                <w:sz w:val="24"/>
                <w:szCs w:val="24"/>
              </w:rPr>
              <w:t>项目名称</w:t>
            </w:r>
          </w:p>
        </w:tc>
        <w:tc>
          <w:tcPr>
            <w:tcW w:w="5549" w:type="dxa"/>
            <w:gridSpan w:val="5"/>
            <w:vAlign w:val="center"/>
          </w:tcPr>
          <w:p w14:paraId="2050B6AC">
            <w:pPr>
              <w:keepNext w:val="0"/>
              <w:keepLines w:val="0"/>
              <w:suppressLineNumbers w:val="0"/>
              <w:tabs>
                <w:tab w:val="left" w:pos="3685"/>
              </w:tabs>
              <w:spacing w:before="0" w:beforeAutospacing="0" w:after="0" w:afterAutospacing="0" w:line="300" w:lineRule="exact"/>
              <w:ind w:left="0" w:right="0"/>
              <w:rPr>
                <w:rFonts w:hint="default" w:ascii="宋体" w:hAnsi="Times New Roman" w:eastAsia="宋体" w:cs="宋体"/>
                <w:sz w:val="24"/>
                <w:szCs w:val="24"/>
              </w:rPr>
            </w:pPr>
            <w:r>
              <w:rPr>
                <w:rFonts w:hint="default" w:ascii="宋体" w:hAnsi="Times New Roman" w:eastAsia="宋体" w:cs="宋体"/>
                <w:sz w:val="24"/>
                <w:szCs w:val="24"/>
              </w:rPr>
              <w:t>2023年度公共信用平台建设项目</w:t>
            </w:r>
          </w:p>
        </w:tc>
      </w:tr>
      <w:tr w14:paraId="558C4AE2">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23" w:hRule="atLeast"/>
          <w:jc w:val="center"/>
        </w:trPr>
        <w:tc>
          <w:tcPr>
            <w:tcW w:w="4683" w:type="dxa"/>
            <w:gridSpan w:val="4"/>
            <w:shd w:val="solid" w:color="E2EFD9" w:fill="auto"/>
            <w:vAlign w:val="center"/>
          </w:tcPr>
          <w:p w14:paraId="512E167C">
            <w:pPr>
              <w:keepNext w:val="0"/>
              <w:keepLines w:val="0"/>
              <w:widowControl/>
              <w:suppressLineNumbers w:val="0"/>
              <w:spacing w:before="0" w:beforeAutospacing="0" w:after="0" w:afterAutospacing="0" w:line="300" w:lineRule="exact"/>
              <w:ind w:left="0" w:right="0"/>
              <w:jc w:val="left"/>
              <w:textAlignment w:val="center"/>
              <w:rPr>
                <w:rFonts w:hint="default" w:ascii="宋体" w:hAnsi="Times New Roman" w:eastAsia="宋体" w:cs="宋体"/>
                <w:sz w:val="24"/>
                <w:szCs w:val="24"/>
              </w:rPr>
            </w:pPr>
            <w:r>
              <w:rPr>
                <w:rFonts w:hint="default" w:ascii="宋体" w:hAnsi="Times New Roman" w:eastAsia="宋体" w:cs="宋体"/>
                <w:kern w:val="0"/>
                <w:sz w:val="24"/>
                <w:szCs w:val="24"/>
              </w:rPr>
              <w:t>预算单位</w:t>
            </w:r>
          </w:p>
        </w:tc>
        <w:tc>
          <w:tcPr>
            <w:tcW w:w="5549" w:type="dxa"/>
            <w:gridSpan w:val="5"/>
            <w:shd w:val="solid" w:color="E2EFD9" w:fill="auto"/>
            <w:vAlign w:val="center"/>
          </w:tcPr>
          <w:p w14:paraId="53B87236">
            <w:pPr>
              <w:keepNext w:val="0"/>
              <w:keepLines w:val="0"/>
              <w:suppressLineNumbers w:val="0"/>
              <w:tabs>
                <w:tab w:val="left" w:pos="3685"/>
              </w:tabs>
              <w:spacing w:before="0" w:beforeAutospacing="0" w:after="0" w:afterAutospacing="0" w:line="300" w:lineRule="exact"/>
              <w:ind w:left="0" w:right="0"/>
              <w:rPr>
                <w:rFonts w:hint="default" w:ascii="宋体" w:hAnsi="Times New Roman" w:eastAsia="宋体" w:cs="宋体"/>
                <w:sz w:val="24"/>
                <w:szCs w:val="24"/>
              </w:rPr>
            </w:pPr>
            <w:r>
              <w:rPr>
                <w:rFonts w:hint="eastAsia" w:ascii="宋体" w:hAnsi="Times New Roman" w:eastAsia="宋体" w:cs="宋体"/>
                <w:sz w:val="24"/>
                <w:szCs w:val="24"/>
              </w:rPr>
              <w:t>广元市发展改革委</w:t>
            </w:r>
          </w:p>
        </w:tc>
      </w:tr>
      <w:tr w14:paraId="6B2BCCD3">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23" w:hRule="atLeast"/>
          <w:jc w:val="center"/>
        </w:trPr>
        <w:tc>
          <w:tcPr>
            <w:tcW w:w="4683" w:type="dxa"/>
            <w:gridSpan w:val="4"/>
            <w:shd w:val="solid" w:color="E2EFD9" w:fill="auto"/>
            <w:vAlign w:val="center"/>
          </w:tcPr>
          <w:p w14:paraId="0A882458">
            <w:pPr>
              <w:keepNext w:val="0"/>
              <w:keepLines w:val="0"/>
              <w:widowControl/>
              <w:suppressLineNumbers w:val="0"/>
              <w:spacing w:before="0" w:beforeAutospacing="0" w:after="0" w:afterAutospacing="0" w:line="300" w:lineRule="exact"/>
              <w:ind w:left="0" w:right="0"/>
              <w:jc w:val="left"/>
              <w:textAlignment w:val="center"/>
              <w:rPr>
                <w:rFonts w:hint="default" w:ascii="宋体" w:hAnsi="Times New Roman" w:eastAsia="宋体" w:cs="宋体"/>
                <w:sz w:val="24"/>
                <w:szCs w:val="24"/>
              </w:rPr>
            </w:pPr>
            <w:r>
              <w:rPr>
                <w:rFonts w:hint="default" w:ascii="宋体" w:hAnsi="Times New Roman" w:eastAsia="宋体" w:cs="宋体"/>
                <w:kern w:val="0"/>
                <w:sz w:val="24"/>
                <w:szCs w:val="24"/>
              </w:rPr>
              <w:t>项目类型</w:t>
            </w:r>
          </w:p>
        </w:tc>
        <w:tc>
          <w:tcPr>
            <w:tcW w:w="5549" w:type="dxa"/>
            <w:gridSpan w:val="5"/>
            <w:vAlign w:val="center"/>
          </w:tcPr>
          <w:p w14:paraId="174E0CE7">
            <w:pPr>
              <w:keepNext w:val="0"/>
              <w:keepLines w:val="0"/>
              <w:suppressLineNumbers w:val="0"/>
              <w:tabs>
                <w:tab w:val="left" w:pos="3685"/>
              </w:tabs>
              <w:spacing w:before="0" w:beforeAutospacing="0" w:after="0" w:afterAutospacing="0" w:line="300" w:lineRule="exact"/>
              <w:ind w:left="0" w:right="0"/>
              <w:jc w:val="left"/>
              <w:rPr>
                <w:rFonts w:hint="default" w:ascii="宋体" w:hAnsi="Times New Roman" w:eastAsia="宋体" w:cs="宋体"/>
                <w:sz w:val="24"/>
                <w:szCs w:val="24"/>
              </w:rPr>
            </w:pPr>
            <w:r>
              <w:rPr>
                <w:rFonts w:hint="eastAsia" w:ascii="宋体" w:hAnsi="Times New Roman" w:eastAsia="宋体" w:cs="宋体"/>
                <w:sz w:val="24"/>
                <w:szCs w:val="24"/>
              </w:rPr>
              <w:t>一次性项目</w:t>
            </w:r>
          </w:p>
        </w:tc>
      </w:tr>
      <w:tr w14:paraId="1DA6F0EC">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23" w:hRule="atLeast"/>
          <w:jc w:val="center"/>
        </w:trPr>
        <w:tc>
          <w:tcPr>
            <w:tcW w:w="652" w:type="dxa"/>
            <w:vMerge w:val="restart"/>
            <w:tcBorders>
              <w:bottom w:val="single" w:color="000000" w:sz="4" w:space="0"/>
            </w:tcBorders>
            <w:shd w:val="solid" w:color="E2EFD9" w:fill="auto"/>
            <w:vAlign w:val="center"/>
          </w:tcPr>
          <w:p w14:paraId="4B1D7DB0">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sz w:val="24"/>
                <w:szCs w:val="24"/>
              </w:rPr>
            </w:pPr>
            <w:r>
              <w:rPr>
                <w:rFonts w:hint="default" w:ascii="宋体" w:hAnsi="Times New Roman" w:eastAsia="宋体" w:cs="宋体"/>
                <w:kern w:val="0"/>
                <w:sz w:val="24"/>
                <w:szCs w:val="24"/>
              </w:rPr>
              <w:t>项目 概况</w:t>
            </w:r>
          </w:p>
        </w:tc>
        <w:tc>
          <w:tcPr>
            <w:tcW w:w="4031" w:type="dxa"/>
            <w:gridSpan w:val="3"/>
            <w:shd w:val="solid" w:color="E2EFD9" w:fill="auto"/>
            <w:vAlign w:val="center"/>
          </w:tcPr>
          <w:p w14:paraId="5EB5A1C3">
            <w:pPr>
              <w:keepNext w:val="0"/>
              <w:keepLines w:val="0"/>
              <w:widowControl/>
              <w:suppressLineNumbers w:val="0"/>
              <w:spacing w:before="0" w:beforeAutospacing="0" w:after="0" w:afterAutospacing="0" w:line="300" w:lineRule="exact"/>
              <w:ind w:left="0" w:right="0"/>
              <w:jc w:val="left"/>
              <w:textAlignment w:val="center"/>
              <w:rPr>
                <w:rFonts w:hint="default" w:ascii="宋体" w:hAnsi="Times New Roman" w:eastAsia="宋体" w:cs="宋体"/>
                <w:kern w:val="0"/>
                <w:sz w:val="24"/>
                <w:szCs w:val="24"/>
              </w:rPr>
            </w:pPr>
            <w:r>
              <w:rPr>
                <w:rFonts w:hint="default" w:ascii="宋体" w:hAnsi="Times New Roman" w:eastAsia="宋体" w:cs="宋体"/>
                <w:kern w:val="0"/>
                <w:sz w:val="24"/>
                <w:szCs w:val="24"/>
              </w:rPr>
              <w:t>中长期规划（名称、文号，仅指</w:t>
            </w:r>
          </w:p>
          <w:p w14:paraId="7469A4F1">
            <w:pPr>
              <w:keepNext w:val="0"/>
              <w:keepLines w:val="0"/>
              <w:widowControl/>
              <w:suppressLineNumbers w:val="0"/>
              <w:spacing w:before="0" w:beforeAutospacing="0" w:after="0" w:afterAutospacing="0" w:line="300" w:lineRule="exact"/>
              <w:ind w:left="0" w:right="0"/>
              <w:jc w:val="left"/>
              <w:textAlignment w:val="center"/>
              <w:rPr>
                <w:rFonts w:hint="default" w:ascii="宋体" w:hAnsi="Times New Roman" w:eastAsia="宋体" w:cs="宋体"/>
                <w:sz w:val="24"/>
                <w:szCs w:val="24"/>
              </w:rPr>
            </w:pPr>
            <w:r>
              <w:rPr>
                <w:rFonts w:hint="default" w:ascii="宋体" w:hAnsi="Times New Roman" w:eastAsia="宋体" w:cs="宋体"/>
                <w:kern w:val="0"/>
                <w:sz w:val="24"/>
                <w:szCs w:val="24"/>
              </w:rPr>
              <w:t>常年项目）</w:t>
            </w:r>
          </w:p>
        </w:tc>
        <w:tc>
          <w:tcPr>
            <w:tcW w:w="5549" w:type="dxa"/>
            <w:gridSpan w:val="5"/>
            <w:shd w:val="solid" w:color="E2EFD9" w:fill="auto"/>
            <w:vAlign w:val="center"/>
          </w:tcPr>
          <w:p w14:paraId="184BAD6D">
            <w:pPr>
              <w:keepNext w:val="0"/>
              <w:keepLines w:val="0"/>
              <w:suppressLineNumbers w:val="0"/>
              <w:tabs>
                <w:tab w:val="left" w:pos="3685"/>
              </w:tabs>
              <w:spacing w:before="0" w:beforeAutospacing="0" w:after="0" w:afterAutospacing="0" w:line="300" w:lineRule="exact"/>
              <w:ind w:left="0" w:right="0"/>
              <w:jc w:val="left"/>
              <w:rPr>
                <w:rFonts w:hint="default" w:ascii="宋体" w:hAnsi="Times New Roman" w:eastAsia="宋体" w:cs="宋体"/>
                <w:sz w:val="24"/>
                <w:szCs w:val="24"/>
              </w:rPr>
            </w:pPr>
          </w:p>
        </w:tc>
      </w:tr>
      <w:tr w14:paraId="34F20DAE">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23" w:hRule="atLeast"/>
          <w:jc w:val="center"/>
        </w:trPr>
        <w:tc>
          <w:tcPr>
            <w:tcW w:w="652" w:type="dxa"/>
            <w:vMerge w:val="continue"/>
            <w:shd w:val="solid" w:color="E2EFD9" w:fill="auto"/>
            <w:vAlign w:val="center"/>
          </w:tcPr>
          <w:p w14:paraId="1DF01F0D">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4031" w:type="dxa"/>
            <w:gridSpan w:val="3"/>
            <w:vAlign w:val="center"/>
          </w:tcPr>
          <w:p w14:paraId="5FB177FE">
            <w:pPr>
              <w:keepNext w:val="0"/>
              <w:keepLines w:val="0"/>
              <w:widowControl/>
              <w:suppressLineNumbers w:val="0"/>
              <w:spacing w:before="0" w:beforeAutospacing="0" w:after="0" w:afterAutospacing="0" w:line="300" w:lineRule="exact"/>
              <w:ind w:left="0" w:right="0"/>
              <w:jc w:val="left"/>
              <w:textAlignment w:val="center"/>
              <w:rPr>
                <w:rFonts w:hint="default" w:ascii="宋体" w:hAnsi="Times New Roman" w:eastAsia="宋体" w:cs="宋体"/>
                <w:sz w:val="24"/>
                <w:szCs w:val="24"/>
              </w:rPr>
            </w:pPr>
            <w:r>
              <w:rPr>
                <w:rFonts w:hint="default" w:ascii="宋体" w:hAnsi="Times New Roman" w:eastAsia="宋体" w:cs="宋体"/>
                <w:kern w:val="0"/>
                <w:sz w:val="24"/>
                <w:szCs w:val="24"/>
              </w:rPr>
              <w:t>资金管理办法（名称、文号）</w:t>
            </w:r>
          </w:p>
        </w:tc>
        <w:tc>
          <w:tcPr>
            <w:tcW w:w="5549" w:type="dxa"/>
            <w:gridSpan w:val="5"/>
            <w:shd w:val="solid" w:color="E2EFD9" w:fill="auto"/>
            <w:vAlign w:val="center"/>
          </w:tcPr>
          <w:p w14:paraId="74D3C0DF">
            <w:pPr>
              <w:keepNext w:val="0"/>
              <w:keepLines w:val="0"/>
              <w:suppressLineNumbers w:val="0"/>
              <w:tabs>
                <w:tab w:val="left" w:pos="3685"/>
              </w:tabs>
              <w:spacing w:before="0" w:beforeAutospacing="0" w:after="0" w:afterAutospacing="0" w:line="300" w:lineRule="exact"/>
              <w:ind w:left="0" w:right="0"/>
              <w:jc w:val="left"/>
              <w:rPr>
                <w:rFonts w:hint="default" w:ascii="宋体" w:hAnsi="Times New Roman" w:eastAsia="宋体" w:cs="宋体"/>
                <w:sz w:val="24"/>
                <w:szCs w:val="24"/>
              </w:rPr>
            </w:pPr>
          </w:p>
        </w:tc>
      </w:tr>
      <w:tr w14:paraId="0502BC29">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23" w:hRule="atLeast"/>
          <w:jc w:val="center"/>
        </w:trPr>
        <w:tc>
          <w:tcPr>
            <w:tcW w:w="652" w:type="dxa"/>
            <w:vMerge w:val="continue"/>
            <w:shd w:val="solid" w:color="E2EFD9" w:fill="auto"/>
            <w:vAlign w:val="center"/>
          </w:tcPr>
          <w:p w14:paraId="14269889">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4031" w:type="dxa"/>
            <w:gridSpan w:val="3"/>
            <w:shd w:val="solid" w:color="E2EFD9" w:fill="auto"/>
            <w:vAlign w:val="center"/>
          </w:tcPr>
          <w:p w14:paraId="4417AC25">
            <w:pPr>
              <w:keepNext w:val="0"/>
              <w:keepLines w:val="0"/>
              <w:widowControl/>
              <w:suppressLineNumbers w:val="0"/>
              <w:spacing w:before="0" w:beforeAutospacing="0" w:after="0" w:afterAutospacing="0" w:line="300" w:lineRule="exact"/>
              <w:ind w:left="0" w:right="0"/>
              <w:jc w:val="left"/>
              <w:textAlignment w:val="center"/>
              <w:rPr>
                <w:rFonts w:hint="default" w:ascii="宋体" w:hAnsi="Times New Roman" w:eastAsia="宋体" w:cs="宋体"/>
                <w:sz w:val="24"/>
                <w:szCs w:val="24"/>
              </w:rPr>
            </w:pPr>
            <w:r>
              <w:rPr>
                <w:rFonts w:hint="default" w:ascii="宋体" w:hAnsi="Times New Roman" w:eastAsia="宋体" w:cs="宋体"/>
                <w:kern w:val="0"/>
                <w:sz w:val="24"/>
                <w:szCs w:val="24"/>
              </w:rPr>
              <w:t>绩效分配方式</w:t>
            </w:r>
          </w:p>
        </w:tc>
        <w:tc>
          <w:tcPr>
            <w:tcW w:w="739" w:type="dxa"/>
            <w:shd w:val="solid" w:color="E2EFD9" w:fill="auto"/>
            <w:vAlign w:val="center"/>
          </w:tcPr>
          <w:p w14:paraId="5F0E29A5">
            <w:pPr>
              <w:keepNext w:val="0"/>
              <w:keepLines w:val="0"/>
              <w:widowControl/>
              <w:suppressLineNumbers w:val="0"/>
              <w:tabs>
                <w:tab w:val="left" w:pos="3685"/>
              </w:tabs>
              <w:spacing w:before="0" w:beforeAutospacing="0" w:after="0" w:afterAutospacing="0" w:line="300" w:lineRule="exact"/>
              <w:ind w:left="0" w:right="0"/>
              <w:jc w:val="left"/>
              <w:textAlignment w:val="center"/>
              <w:rPr>
                <w:rFonts w:hint="default" w:ascii="Wingdings 2" w:hAnsi="Wingdings 2" w:eastAsia="Wingdings 2" w:cs="Wingdings 2"/>
                <w:sz w:val="24"/>
                <w:szCs w:val="24"/>
              </w:rPr>
            </w:pPr>
            <w:r>
              <w:rPr>
                <w:rFonts w:hint="default" w:ascii="Wingdings 2" w:hAnsi="Wingdings 2" w:eastAsia="Wingdings 2" w:cs="Wingdings 2"/>
                <w:kern w:val="0"/>
                <w:sz w:val="24"/>
                <w:szCs w:val="24"/>
              </w:rPr>
              <w:t></w:t>
            </w:r>
            <w:r>
              <w:rPr>
                <w:rFonts w:hint="default" w:ascii="宋体" w:hAnsi="Times New Roman" w:eastAsia="宋体" w:cs="宋体"/>
                <w:kern w:val="0"/>
                <w:sz w:val="24"/>
                <w:szCs w:val="24"/>
              </w:rPr>
              <w:t>因素法</w:t>
            </w:r>
          </w:p>
        </w:tc>
        <w:tc>
          <w:tcPr>
            <w:tcW w:w="2032" w:type="dxa"/>
            <w:gridSpan w:val="2"/>
            <w:shd w:val="solid" w:color="E2EFD9" w:fill="auto"/>
            <w:vAlign w:val="center"/>
          </w:tcPr>
          <w:p w14:paraId="36E79BDD">
            <w:pPr>
              <w:keepNext w:val="0"/>
              <w:keepLines w:val="0"/>
              <w:widowControl/>
              <w:suppressLineNumbers w:val="0"/>
              <w:tabs>
                <w:tab w:val="left" w:pos="3685"/>
              </w:tabs>
              <w:spacing w:before="0" w:beforeAutospacing="0" w:after="0" w:afterAutospacing="0" w:line="300" w:lineRule="exact"/>
              <w:ind w:left="0" w:right="0"/>
              <w:jc w:val="center"/>
              <w:textAlignment w:val="center"/>
              <w:rPr>
                <w:rFonts w:hint="default" w:ascii="Wingdings 2" w:hAnsi="Wingdings 2" w:eastAsia="Wingdings 2" w:cs="Wingdings 2"/>
                <w:sz w:val="24"/>
                <w:szCs w:val="24"/>
              </w:rPr>
            </w:pPr>
            <w:r>
              <w:rPr>
                <w:rFonts w:hint="default" w:ascii="Wingdings 2" w:hAnsi="Wingdings 2" w:eastAsia="Wingdings 2" w:cs="Wingdings 2"/>
                <w:kern w:val="0"/>
                <w:sz w:val="24"/>
                <w:szCs w:val="24"/>
              </w:rPr>
              <w:sym w:font="Wingdings 2" w:char="F052"/>
            </w:r>
            <w:r>
              <w:rPr>
                <w:rFonts w:hint="default" w:ascii="Wingdings 2" w:hAnsi="Wingdings 2" w:eastAsia="Wingdings 2" w:cs="Wingdings 2"/>
                <w:kern w:val="0"/>
                <w:sz w:val="24"/>
                <w:szCs w:val="24"/>
              </w:rPr>
              <w:t>项目法</w:t>
            </w:r>
          </w:p>
        </w:tc>
        <w:tc>
          <w:tcPr>
            <w:tcW w:w="938" w:type="dxa"/>
            <w:shd w:val="solid" w:color="E2EFD9" w:fill="auto"/>
            <w:vAlign w:val="center"/>
          </w:tcPr>
          <w:p w14:paraId="55E47516">
            <w:pPr>
              <w:keepNext w:val="0"/>
              <w:keepLines w:val="0"/>
              <w:widowControl/>
              <w:suppressLineNumbers w:val="0"/>
              <w:tabs>
                <w:tab w:val="left" w:pos="3685"/>
              </w:tabs>
              <w:spacing w:before="0" w:beforeAutospacing="0" w:after="0" w:afterAutospacing="0" w:line="300" w:lineRule="exact"/>
              <w:ind w:left="0" w:right="0"/>
              <w:jc w:val="center"/>
              <w:textAlignment w:val="center"/>
              <w:rPr>
                <w:rFonts w:hint="default" w:ascii="Wingdings 2" w:hAnsi="Wingdings 2" w:eastAsia="Wingdings 2" w:cs="Wingdings 2"/>
                <w:sz w:val="24"/>
                <w:szCs w:val="24"/>
              </w:rPr>
            </w:pPr>
            <w:r>
              <w:rPr>
                <w:rFonts w:hint="default" w:ascii="Wingdings 2" w:hAnsi="Wingdings 2" w:eastAsia="Wingdings 2" w:cs="Wingdings 2"/>
                <w:kern w:val="0"/>
                <w:sz w:val="24"/>
                <w:szCs w:val="24"/>
              </w:rPr>
              <w:t></w:t>
            </w:r>
            <w:r>
              <w:rPr>
                <w:rFonts w:hint="default" w:ascii="宋体" w:hAnsi="Times New Roman" w:eastAsia="宋体" w:cs="宋体"/>
                <w:kern w:val="0"/>
                <w:sz w:val="24"/>
                <w:szCs w:val="24"/>
              </w:rPr>
              <w:t>据实据效</w:t>
            </w:r>
          </w:p>
        </w:tc>
        <w:tc>
          <w:tcPr>
            <w:tcW w:w="1841" w:type="dxa"/>
            <w:shd w:val="solid" w:color="E2EFD9" w:fill="auto"/>
            <w:vAlign w:val="center"/>
          </w:tcPr>
          <w:p w14:paraId="51BD30EF">
            <w:pPr>
              <w:keepNext w:val="0"/>
              <w:keepLines w:val="0"/>
              <w:widowControl/>
              <w:suppressLineNumbers w:val="0"/>
              <w:tabs>
                <w:tab w:val="left" w:pos="3685"/>
              </w:tabs>
              <w:spacing w:before="0" w:beforeAutospacing="0" w:after="0" w:afterAutospacing="0" w:line="300" w:lineRule="exact"/>
              <w:ind w:left="0" w:right="0"/>
              <w:jc w:val="center"/>
              <w:textAlignment w:val="center"/>
              <w:rPr>
                <w:rFonts w:hint="default" w:ascii="Wingdings 2" w:hAnsi="Wingdings 2" w:eastAsia="Wingdings 2" w:cs="Wingdings 2"/>
                <w:sz w:val="24"/>
                <w:szCs w:val="24"/>
              </w:rPr>
            </w:pPr>
            <w:r>
              <w:rPr>
                <w:rFonts w:hint="default" w:ascii="Wingdings 2" w:hAnsi="Wingdings 2" w:eastAsia="Wingdings 2" w:cs="Wingdings 2"/>
                <w:kern w:val="0"/>
                <w:sz w:val="24"/>
                <w:szCs w:val="24"/>
              </w:rPr>
              <w:t></w:t>
            </w:r>
            <w:r>
              <w:rPr>
                <w:rFonts w:hint="default" w:ascii="宋体" w:hAnsi="Times New Roman" w:eastAsia="宋体" w:cs="宋体"/>
                <w:kern w:val="0"/>
                <w:sz w:val="24"/>
                <w:szCs w:val="24"/>
              </w:rPr>
              <w:t>因素法与项目法相结合</w:t>
            </w:r>
          </w:p>
        </w:tc>
      </w:tr>
      <w:tr w14:paraId="588A822D">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23" w:hRule="atLeast"/>
          <w:jc w:val="center"/>
        </w:trPr>
        <w:tc>
          <w:tcPr>
            <w:tcW w:w="652" w:type="dxa"/>
            <w:vMerge w:val="continue"/>
            <w:shd w:val="solid" w:color="E2EFD9" w:fill="auto"/>
            <w:vAlign w:val="center"/>
          </w:tcPr>
          <w:p w14:paraId="2F4533D4">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4031" w:type="dxa"/>
            <w:gridSpan w:val="3"/>
            <w:vAlign w:val="center"/>
          </w:tcPr>
          <w:p w14:paraId="7F6078B7">
            <w:pPr>
              <w:keepNext w:val="0"/>
              <w:keepLines w:val="0"/>
              <w:widowControl/>
              <w:suppressLineNumbers w:val="0"/>
              <w:spacing w:before="0" w:beforeAutospacing="0" w:after="0" w:afterAutospacing="0" w:line="300" w:lineRule="exact"/>
              <w:ind w:left="0" w:right="0"/>
              <w:jc w:val="left"/>
              <w:textAlignment w:val="center"/>
              <w:rPr>
                <w:rFonts w:hint="default" w:ascii="宋体" w:hAnsi="Times New Roman" w:eastAsia="宋体" w:cs="宋体"/>
                <w:sz w:val="24"/>
                <w:szCs w:val="24"/>
              </w:rPr>
            </w:pPr>
            <w:r>
              <w:rPr>
                <w:rFonts w:hint="default" w:ascii="宋体" w:hAnsi="Times New Roman" w:eastAsia="宋体" w:cs="宋体"/>
                <w:kern w:val="0"/>
                <w:sz w:val="24"/>
                <w:szCs w:val="24"/>
              </w:rPr>
              <w:t>立项依据</w:t>
            </w:r>
          </w:p>
        </w:tc>
        <w:tc>
          <w:tcPr>
            <w:tcW w:w="5549" w:type="dxa"/>
            <w:gridSpan w:val="5"/>
            <w:shd w:val="solid" w:color="E2EFD9" w:fill="auto"/>
            <w:vAlign w:val="center"/>
          </w:tcPr>
          <w:p w14:paraId="22354EE0">
            <w:pPr>
              <w:keepNext w:val="0"/>
              <w:keepLines w:val="0"/>
              <w:suppressLineNumbers w:val="0"/>
              <w:tabs>
                <w:tab w:val="left" w:pos="3685"/>
              </w:tabs>
              <w:spacing w:before="0" w:beforeAutospacing="0" w:after="0" w:afterAutospacing="0" w:line="300" w:lineRule="exact"/>
              <w:ind w:left="0" w:right="0"/>
              <w:jc w:val="left"/>
              <w:rPr>
                <w:rFonts w:hint="default" w:ascii="宋体" w:hAnsi="Times New Roman" w:eastAsia="宋体" w:cs="宋体"/>
                <w:sz w:val="24"/>
                <w:szCs w:val="24"/>
              </w:rPr>
            </w:pPr>
          </w:p>
        </w:tc>
      </w:tr>
      <w:tr w14:paraId="7E3BC914">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23" w:hRule="atLeast"/>
          <w:jc w:val="center"/>
        </w:trPr>
        <w:tc>
          <w:tcPr>
            <w:tcW w:w="652" w:type="dxa"/>
            <w:vMerge w:val="continue"/>
            <w:shd w:val="solid" w:color="E2EFD9" w:fill="auto"/>
            <w:vAlign w:val="center"/>
          </w:tcPr>
          <w:p w14:paraId="296B55E4">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4031" w:type="dxa"/>
            <w:gridSpan w:val="3"/>
            <w:shd w:val="solid" w:color="E2EFD9" w:fill="auto"/>
            <w:vAlign w:val="center"/>
          </w:tcPr>
          <w:p w14:paraId="373D392C">
            <w:pPr>
              <w:keepNext w:val="0"/>
              <w:keepLines w:val="0"/>
              <w:widowControl/>
              <w:suppressLineNumbers w:val="0"/>
              <w:spacing w:before="0" w:beforeAutospacing="0" w:after="0" w:afterAutospacing="0" w:line="300" w:lineRule="exact"/>
              <w:ind w:left="0" w:right="0"/>
              <w:jc w:val="left"/>
              <w:textAlignment w:val="center"/>
              <w:rPr>
                <w:rFonts w:hint="default" w:ascii="宋体" w:hAnsi="Times New Roman" w:eastAsia="宋体" w:cs="宋体"/>
                <w:sz w:val="24"/>
                <w:szCs w:val="24"/>
              </w:rPr>
            </w:pPr>
            <w:r>
              <w:rPr>
                <w:rFonts w:hint="default" w:ascii="宋体" w:hAnsi="Times New Roman" w:eastAsia="宋体" w:cs="宋体"/>
                <w:kern w:val="0"/>
                <w:sz w:val="24"/>
                <w:szCs w:val="24"/>
              </w:rPr>
              <w:t>使用范围</w:t>
            </w:r>
          </w:p>
        </w:tc>
        <w:tc>
          <w:tcPr>
            <w:tcW w:w="5549" w:type="dxa"/>
            <w:gridSpan w:val="5"/>
            <w:shd w:val="solid" w:color="E2EFD9" w:fill="auto"/>
            <w:vAlign w:val="center"/>
          </w:tcPr>
          <w:p w14:paraId="7ACB5DA9">
            <w:pPr>
              <w:keepNext w:val="0"/>
              <w:keepLines w:val="0"/>
              <w:suppressLineNumbers w:val="0"/>
              <w:tabs>
                <w:tab w:val="left" w:pos="3685"/>
              </w:tabs>
              <w:spacing w:before="0" w:beforeAutospacing="0" w:after="0" w:afterAutospacing="0" w:line="300" w:lineRule="exact"/>
              <w:ind w:left="0" w:right="0"/>
              <w:jc w:val="left"/>
              <w:rPr>
                <w:rFonts w:hint="default" w:ascii="宋体" w:hAnsi="Times New Roman" w:eastAsia="宋体" w:cs="宋体"/>
                <w:sz w:val="24"/>
                <w:szCs w:val="24"/>
              </w:rPr>
            </w:pPr>
          </w:p>
        </w:tc>
      </w:tr>
      <w:tr w14:paraId="36C93E18">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23" w:hRule="atLeast"/>
          <w:jc w:val="center"/>
        </w:trPr>
        <w:tc>
          <w:tcPr>
            <w:tcW w:w="652" w:type="dxa"/>
            <w:vMerge w:val="continue"/>
            <w:shd w:val="solid" w:color="E2EFD9" w:fill="auto"/>
            <w:vAlign w:val="center"/>
          </w:tcPr>
          <w:p w14:paraId="1DAD26EE">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4031" w:type="dxa"/>
            <w:gridSpan w:val="3"/>
            <w:vAlign w:val="center"/>
          </w:tcPr>
          <w:p w14:paraId="42FBDC7F">
            <w:pPr>
              <w:keepNext w:val="0"/>
              <w:keepLines w:val="0"/>
              <w:widowControl/>
              <w:suppressLineNumbers w:val="0"/>
              <w:spacing w:before="0" w:beforeAutospacing="0" w:after="0" w:afterAutospacing="0" w:line="300" w:lineRule="exact"/>
              <w:ind w:left="0" w:right="0"/>
              <w:jc w:val="left"/>
              <w:textAlignment w:val="center"/>
              <w:rPr>
                <w:rFonts w:hint="default" w:ascii="宋体" w:hAnsi="Times New Roman" w:eastAsia="宋体" w:cs="宋体"/>
                <w:sz w:val="24"/>
                <w:szCs w:val="24"/>
              </w:rPr>
            </w:pPr>
            <w:r>
              <w:rPr>
                <w:rFonts w:hint="default" w:ascii="宋体" w:hAnsi="Times New Roman" w:eastAsia="宋体" w:cs="宋体"/>
                <w:kern w:val="0"/>
                <w:sz w:val="24"/>
                <w:szCs w:val="24"/>
              </w:rPr>
              <w:t>申报（补助）条件</w:t>
            </w:r>
          </w:p>
        </w:tc>
        <w:tc>
          <w:tcPr>
            <w:tcW w:w="5549" w:type="dxa"/>
            <w:gridSpan w:val="5"/>
            <w:shd w:val="solid" w:color="E2EFD9" w:fill="auto"/>
            <w:vAlign w:val="center"/>
          </w:tcPr>
          <w:p w14:paraId="4B05BE18">
            <w:pPr>
              <w:keepNext w:val="0"/>
              <w:keepLines w:val="0"/>
              <w:suppressLineNumbers w:val="0"/>
              <w:tabs>
                <w:tab w:val="left" w:pos="3685"/>
              </w:tabs>
              <w:spacing w:before="0" w:beforeAutospacing="0" w:after="0" w:afterAutospacing="0" w:line="300" w:lineRule="exact"/>
              <w:ind w:left="0" w:right="0"/>
              <w:jc w:val="left"/>
              <w:rPr>
                <w:rFonts w:hint="default" w:ascii="宋体" w:hAnsi="Times New Roman" w:eastAsia="宋体" w:cs="宋体"/>
                <w:sz w:val="24"/>
                <w:szCs w:val="24"/>
              </w:rPr>
            </w:pPr>
          </w:p>
        </w:tc>
      </w:tr>
      <w:tr w14:paraId="5B6EF7BA">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23" w:hRule="atLeast"/>
          <w:jc w:val="center"/>
        </w:trPr>
        <w:tc>
          <w:tcPr>
            <w:tcW w:w="652" w:type="dxa"/>
            <w:vMerge w:val="continue"/>
            <w:shd w:val="solid" w:color="E2EFD9" w:fill="auto"/>
            <w:vAlign w:val="center"/>
          </w:tcPr>
          <w:p w14:paraId="7DA15007">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4031" w:type="dxa"/>
            <w:gridSpan w:val="3"/>
            <w:shd w:val="solid" w:color="E2EFD9" w:fill="auto"/>
            <w:vAlign w:val="center"/>
          </w:tcPr>
          <w:p w14:paraId="76FDCFD7">
            <w:pPr>
              <w:keepNext w:val="0"/>
              <w:keepLines w:val="0"/>
              <w:widowControl/>
              <w:suppressLineNumbers w:val="0"/>
              <w:spacing w:before="0" w:beforeAutospacing="0" w:after="0" w:afterAutospacing="0" w:line="300" w:lineRule="exact"/>
              <w:ind w:left="0" w:right="0"/>
              <w:jc w:val="left"/>
              <w:textAlignment w:val="center"/>
              <w:rPr>
                <w:rFonts w:hint="default" w:ascii="宋体" w:hAnsi="Times New Roman" w:eastAsia="宋体" w:cs="宋体"/>
                <w:sz w:val="24"/>
                <w:szCs w:val="24"/>
              </w:rPr>
            </w:pPr>
            <w:r>
              <w:rPr>
                <w:rFonts w:hint="default" w:ascii="宋体" w:hAnsi="Times New Roman" w:eastAsia="宋体" w:cs="宋体"/>
                <w:kern w:val="0"/>
                <w:sz w:val="24"/>
                <w:szCs w:val="24"/>
              </w:rPr>
              <w:t>项目起止年限</w:t>
            </w:r>
          </w:p>
        </w:tc>
        <w:tc>
          <w:tcPr>
            <w:tcW w:w="5549" w:type="dxa"/>
            <w:gridSpan w:val="5"/>
            <w:shd w:val="solid" w:color="E2EFD9" w:fill="auto"/>
            <w:vAlign w:val="center"/>
          </w:tcPr>
          <w:p w14:paraId="2079210F">
            <w:pPr>
              <w:keepNext w:val="0"/>
              <w:keepLines w:val="0"/>
              <w:suppressLineNumbers w:val="0"/>
              <w:spacing w:before="0" w:beforeAutospacing="0" w:after="0" w:afterAutospacing="0" w:line="300" w:lineRule="exact"/>
              <w:ind w:left="0" w:right="0"/>
              <w:rPr>
                <w:rFonts w:hint="default" w:ascii="宋体" w:hAnsi="Times New Roman" w:eastAsia="宋体" w:cs="宋体"/>
                <w:sz w:val="24"/>
                <w:szCs w:val="24"/>
              </w:rPr>
            </w:pPr>
          </w:p>
        </w:tc>
      </w:tr>
      <w:tr w14:paraId="129C5875">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23" w:hRule="atLeast"/>
          <w:jc w:val="center"/>
        </w:trPr>
        <w:tc>
          <w:tcPr>
            <w:tcW w:w="1733" w:type="dxa"/>
            <w:gridSpan w:val="2"/>
            <w:vMerge w:val="restart"/>
            <w:tcBorders>
              <w:bottom w:val="single" w:color="000000" w:sz="4" w:space="0"/>
            </w:tcBorders>
            <w:shd w:val="solid" w:color="E2EFD9" w:fill="auto"/>
            <w:vAlign w:val="center"/>
          </w:tcPr>
          <w:p w14:paraId="2B331DE9">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kern w:val="0"/>
                <w:sz w:val="24"/>
                <w:szCs w:val="24"/>
              </w:rPr>
            </w:pPr>
            <w:r>
              <w:rPr>
                <w:rFonts w:hint="default" w:ascii="宋体" w:hAnsi="Times New Roman" w:eastAsia="宋体" w:cs="宋体"/>
                <w:kern w:val="0"/>
                <w:sz w:val="24"/>
                <w:szCs w:val="24"/>
              </w:rPr>
              <w:t>项目资金</w:t>
            </w:r>
          </w:p>
          <w:p w14:paraId="1D5A8D01">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sz w:val="24"/>
                <w:szCs w:val="24"/>
              </w:rPr>
            </w:pPr>
            <w:r>
              <w:rPr>
                <w:rFonts w:hint="default" w:ascii="宋体" w:hAnsi="Times New Roman" w:eastAsia="宋体" w:cs="宋体"/>
                <w:kern w:val="0"/>
                <w:sz w:val="24"/>
                <w:szCs w:val="24"/>
              </w:rPr>
              <w:t>（万元）</w:t>
            </w:r>
          </w:p>
        </w:tc>
        <w:tc>
          <w:tcPr>
            <w:tcW w:w="2950" w:type="dxa"/>
            <w:gridSpan w:val="2"/>
            <w:vAlign w:val="center"/>
          </w:tcPr>
          <w:p w14:paraId="18407D96">
            <w:pPr>
              <w:keepNext w:val="0"/>
              <w:keepLines w:val="0"/>
              <w:widowControl/>
              <w:suppressLineNumbers w:val="0"/>
              <w:spacing w:before="0" w:beforeAutospacing="0" w:after="0" w:afterAutospacing="0" w:line="300" w:lineRule="exact"/>
              <w:ind w:left="0" w:right="0"/>
              <w:jc w:val="left"/>
              <w:textAlignment w:val="center"/>
              <w:rPr>
                <w:rFonts w:hint="default" w:ascii="宋体" w:hAnsi="Times New Roman" w:eastAsia="宋体" w:cs="宋体"/>
                <w:sz w:val="24"/>
                <w:szCs w:val="24"/>
              </w:rPr>
            </w:pPr>
            <w:r>
              <w:rPr>
                <w:rFonts w:hint="default" w:ascii="宋体" w:hAnsi="Times New Roman" w:eastAsia="宋体" w:cs="宋体"/>
                <w:kern w:val="0"/>
                <w:sz w:val="24"/>
                <w:szCs w:val="24"/>
              </w:rPr>
              <w:t xml:space="preserve">  年度资金总额：</w:t>
            </w:r>
          </w:p>
        </w:tc>
        <w:tc>
          <w:tcPr>
            <w:tcW w:w="5549" w:type="dxa"/>
            <w:gridSpan w:val="5"/>
            <w:shd w:val="solid" w:color="E2EFD9" w:fill="auto"/>
            <w:vAlign w:val="center"/>
          </w:tcPr>
          <w:p w14:paraId="710D15F8">
            <w:pPr>
              <w:keepNext w:val="0"/>
              <w:keepLines w:val="0"/>
              <w:suppressLineNumbers w:val="0"/>
              <w:spacing w:before="0" w:beforeAutospacing="0" w:after="0" w:afterAutospacing="0" w:line="300" w:lineRule="exact"/>
              <w:ind w:left="0" w:right="0"/>
              <w:jc w:val="left"/>
              <w:rPr>
                <w:rFonts w:hint="default" w:ascii="宋体" w:hAnsi="Times New Roman" w:eastAsia="宋体" w:cs="宋体"/>
                <w:sz w:val="24"/>
                <w:szCs w:val="24"/>
              </w:rPr>
            </w:pPr>
            <w:r>
              <w:rPr>
                <w:rFonts w:hint="default" w:ascii="宋体" w:hAnsi="Times New Roman" w:eastAsia="宋体" w:cs="宋体"/>
                <w:sz w:val="24"/>
                <w:szCs w:val="24"/>
              </w:rPr>
              <w:t>31.33</w:t>
            </w:r>
          </w:p>
        </w:tc>
      </w:tr>
      <w:tr w14:paraId="03BE8428">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23" w:hRule="atLeast"/>
          <w:jc w:val="center"/>
        </w:trPr>
        <w:tc>
          <w:tcPr>
            <w:tcW w:w="1733" w:type="dxa"/>
            <w:gridSpan w:val="2"/>
            <w:vMerge w:val="continue"/>
            <w:shd w:val="solid" w:color="E2EFD9" w:fill="auto"/>
            <w:vAlign w:val="center"/>
          </w:tcPr>
          <w:p w14:paraId="315D13C4">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2950" w:type="dxa"/>
            <w:gridSpan w:val="2"/>
            <w:shd w:val="solid" w:color="E2EFD9" w:fill="auto"/>
            <w:vAlign w:val="center"/>
          </w:tcPr>
          <w:p w14:paraId="79FBC93E">
            <w:pPr>
              <w:keepNext w:val="0"/>
              <w:keepLines w:val="0"/>
              <w:widowControl/>
              <w:suppressLineNumbers w:val="0"/>
              <w:spacing w:before="0" w:beforeAutospacing="0" w:after="0" w:afterAutospacing="0" w:line="300" w:lineRule="exact"/>
              <w:ind w:left="0" w:right="0"/>
              <w:jc w:val="left"/>
              <w:textAlignment w:val="center"/>
              <w:rPr>
                <w:rFonts w:hint="default" w:ascii="宋体" w:hAnsi="Times New Roman" w:eastAsia="宋体" w:cs="宋体"/>
                <w:sz w:val="24"/>
                <w:szCs w:val="24"/>
              </w:rPr>
            </w:pPr>
            <w:r>
              <w:rPr>
                <w:rFonts w:hint="default" w:ascii="宋体" w:hAnsi="Times New Roman" w:eastAsia="宋体" w:cs="宋体"/>
                <w:kern w:val="0"/>
                <w:sz w:val="24"/>
                <w:szCs w:val="24"/>
              </w:rPr>
              <w:t>其中：财政拨款</w:t>
            </w:r>
          </w:p>
        </w:tc>
        <w:tc>
          <w:tcPr>
            <w:tcW w:w="5549" w:type="dxa"/>
            <w:gridSpan w:val="5"/>
            <w:shd w:val="solid" w:color="E2EFD9" w:fill="auto"/>
            <w:vAlign w:val="center"/>
          </w:tcPr>
          <w:p w14:paraId="5AB963D4">
            <w:pPr>
              <w:keepNext w:val="0"/>
              <w:keepLines w:val="0"/>
              <w:suppressLineNumbers w:val="0"/>
              <w:spacing w:before="0" w:beforeAutospacing="0" w:after="0" w:afterAutospacing="0" w:line="300" w:lineRule="exact"/>
              <w:ind w:left="0" w:right="0"/>
              <w:jc w:val="left"/>
              <w:rPr>
                <w:rFonts w:hint="default" w:ascii="宋体" w:hAnsi="Times New Roman" w:eastAsia="宋体" w:cs="宋体"/>
                <w:sz w:val="24"/>
                <w:szCs w:val="24"/>
              </w:rPr>
            </w:pPr>
            <w:r>
              <w:rPr>
                <w:rFonts w:hint="default" w:ascii="宋体" w:hAnsi="Times New Roman" w:eastAsia="宋体" w:cs="宋体"/>
                <w:sz w:val="24"/>
                <w:szCs w:val="24"/>
              </w:rPr>
              <w:t>31.33</w:t>
            </w:r>
          </w:p>
        </w:tc>
      </w:tr>
      <w:tr w14:paraId="4139A245">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23" w:hRule="atLeast"/>
          <w:jc w:val="center"/>
        </w:trPr>
        <w:tc>
          <w:tcPr>
            <w:tcW w:w="1733" w:type="dxa"/>
            <w:gridSpan w:val="2"/>
            <w:vMerge w:val="continue"/>
            <w:shd w:val="solid" w:color="E2EFD9" w:fill="auto"/>
            <w:vAlign w:val="center"/>
          </w:tcPr>
          <w:p w14:paraId="0C7C0B94">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2950" w:type="dxa"/>
            <w:gridSpan w:val="2"/>
            <w:vAlign w:val="center"/>
          </w:tcPr>
          <w:p w14:paraId="01745A55">
            <w:pPr>
              <w:keepNext w:val="0"/>
              <w:keepLines w:val="0"/>
              <w:widowControl/>
              <w:suppressLineNumbers w:val="0"/>
              <w:spacing w:before="0" w:beforeAutospacing="0" w:after="0" w:afterAutospacing="0" w:line="300" w:lineRule="exact"/>
              <w:ind w:left="0" w:right="0"/>
              <w:jc w:val="left"/>
              <w:textAlignment w:val="center"/>
              <w:rPr>
                <w:rFonts w:hint="default" w:ascii="宋体" w:hAnsi="Times New Roman" w:eastAsia="宋体" w:cs="宋体"/>
                <w:sz w:val="24"/>
                <w:szCs w:val="24"/>
              </w:rPr>
            </w:pPr>
            <w:r>
              <w:rPr>
                <w:rFonts w:hint="default" w:ascii="宋体" w:hAnsi="Times New Roman" w:eastAsia="宋体" w:cs="宋体"/>
                <w:kern w:val="0"/>
                <w:sz w:val="24"/>
                <w:szCs w:val="24"/>
              </w:rPr>
              <w:t xml:space="preserve">            其他资金</w:t>
            </w:r>
          </w:p>
        </w:tc>
        <w:tc>
          <w:tcPr>
            <w:tcW w:w="5549" w:type="dxa"/>
            <w:gridSpan w:val="5"/>
            <w:shd w:val="solid" w:color="E2EFD9" w:fill="auto"/>
            <w:vAlign w:val="center"/>
          </w:tcPr>
          <w:p w14:paraId="66E41798">
            <w:pPr>
              <w:keepNext w:val="0"/>
              <w:keepLines w:val="0"/>
              <w:suppressLineNumbers w:val="0"/>
              <w:tabs>
                <w:tab w:val="left" w:pos="3685"/>
              </w:tabs>
              <w:spacing w:before="0" w:beforeAutospacing="0" w:after="0" w:afterAutospacing="0" w:line="300" w:lineRule="exact"/>
              <w:ind w:left="0" w:right="0"/>
              <w:jc w:val="right"/>
              <w:rPr>
                <w:rFonts w:hint="default" w:ascii="宋体" w:hAnsi="Times New Roman" w:eastAsia="宋体" w:cs="宋体"/>
                <w:sz w:val="24"/>
                <w:szCs w:val="24"/>
              </w:rPr>
            </w:pPr>
          </w:p>
        </w:tc>
      </w:tr>
      <w:tr w14:paraId="2E0784E2">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23" w:hRule="atLeast"/>
          <w:jc w:val="center"/>
        </w:trPr>
        <w:tc>
          <w:tcPr>
            <w:tcW w:w="652" w:type="dxa"/>
            <w:vMerge w:val="restart"/>
            <w:tcBorders>
              <w:bottom w:val="single" w:color="000000" w:sz="4" w:space="0"/>
            </w:tcBorders>
            <w:shd w:val="solid" w:color="E2EFD9" w:fill="auto"/>
            <w:vAlign w:val="center"/>
          </w:tcPr>
          <w:p w14:paraId="1795B2AD">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sz w:val="24"/>
                <w:szCs w:val="24"/>
              </w:rPr>
            </w:pPr>
            <w:r>
              <w:rPr>
                <w:rFonts w:hint="default" w:ascii="宋体" w:hAnsi="Times New Roman" w:eastAsia="宋体" w:cs="宋体"/>
                <w:kern w:val="0"/>
                <w:sz w:val="24"/>
                <w:szCs w:val="24"/>
              </w:rPr>
              <w:t>总体 目标</w:t>
            </w:r>
          </w:p>
        </w:tc>
        <w:tc>
          <w:tcPr>
            <w:tcW w:w="9580" w:type="dxa"/>
            <w:gridSpan w:val="8"/>
            <w:shd w:val="solid" w:color="E2EFD9" w:fill="auto"/>
            <w:vAlign w:val="center"/>
          </w:tcPr>
          <w:p w14:paraId="52CD5C15">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sz w:val="24"/>
                <w:szCs w:val="24"/>
              </w:rPr>
            </w:pPr>
            <w:r>
              <w:rPr>
                <w:rFonts w:hint="default" w:ascii="宋体" w:hAnsi="Times New Roman" w:eastAsia="宋体" w:cs="宋体"/>
                <w:kern w:val="0"/>
                <w:sz w:val="24"/>
                <w:szCs w:val="24"/>
              </w:rPr>
              <w:t>年度目标</w:t>
            </w:r>
          </w:p>
        </w:tc>
      </w:tr>
      <w:tr w14:paraId="2409EF1E">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23" w:hRule="atLeast"/>
          <w:jc w:val="center"/>
        </w:trPr>
        <w:tc>
          <w:tcPr>
            <w:tcW w:w="652" w:type="dxa"/>
            <w:vMerge w:val="continue"/>
            <w:shd w:val="solid" w:color="E2EFD9" w:fill="auto"/>
            <w:vAlign w:val="center"/>
          </w:tcPr>
          <w:p w14:paraId="695312B7">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9580" w:type="dxa"/>
            <w:gridSpan w:val="8"/>
            <w:vAlign w:val="center"/>
          </w:tcPr>
          <w:p w14:paraId="566FD96D">
            <w:pPr>
              <w:keepNext w:val="0"/>
              <w:keepLines w:val="0"/>
              <w:suppressLineNumbers w:val="0"/>
              <w:spacing w:before="0" w:beforeAutospacing="0" w:after="0" w:afterAutospacing="0" w:line="300" w:lineRule="exact"/>
              <w:ind w:left="0" w:right="0"/>
              <w:rPr>
                <w:rFonts w:hint="default" w:ascii="宋体" w:hAnsi="Times New Roman" w:eastAsia="宋体" w:cs="宋体"/>
                <w:sz w:val="24"/>
                <w:szCs w:val="24"/>
              </w:rPr>
            </w:pPr>
          </w:p>
        </w:tc>
      </w:tr>
      <w:tr w14:paraId="4D81D451">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23" w:hRule="atLeast"/>
          <w:jc w:val="center"/>
        </w:trPr>
        <w:tc>
          <w:tcPr>
            <w:tcW w:w="652" w:type="dxa"/>
            <w:vMerge w:val="restart"/>
            <w:tcBorders>
              <w:bottom w:val="single" w:color="000000" w:sz="4" w:space="0"/>
            </w:tcBorders>
            <w:shd w:val="solid" w:color="E2EFD9" w:fill="auto"/>
            <w:vAlign w:val="center"/>
          </w:tcPr>
          <w:p w14:paraId="6A4450DD">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sz w:val="24"/>
                <w:szCs w:val="24"/>
              </w:rPr>
            </w:pPr>
            <w:r>
              <w:rPr>
                <w:rFonts w:hint="default" w:ascii="宋体" w:hAnsi="Times New Roman" w:eastAsia="宋体" w:cs="宋体"/>
                <w:kern w:val="0"/>
                <w:sz w:val="24"/>
                <w:szCs w:val="24"/>
              </w:rPr>
              <w:t>绩效 指标</w:t>
            </w:r>
          </w:p>
        </w:tc>
        <w:tc>
          <w:tcPr>
            <w:tcW w:w="1081" w:type="dxa"/>
            <w:shd w:val="solid" w:color="E2EFD9" w:fill="auto"/>
            <w:vAlign w:val="center"/>
          </w:tcPr>
          <w:p w14:paraId="10DA297A">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sz w:val="24"/>
                <w:szCs w:val="24"/>
              </w:rPr>
            </w:pPr>
            <w:r>
              <w:rPr>
                <w:rFonts w:hint="default" w:ascii="宋体" w:hAnsi="Times New Roman" w:eastAsia="宋体" w:cs="宋体"/>
                <w:kern w:val="0"/>
                <w:sz w:val="24"/>
                <w:szCs w:val="24"/>
              </w:rPr>
              <w:t>一级指标</w:t>
            </w:r>
          </w:p>
        </w:tc>
        <w:tc>
          <w:tcPr>
            <w:tcW w:w="1250" w:type="dxa"/>
            <w:shd w:val="solid" w:color="E2EFD9" w:fill="auto"/>
            <w:vAlign w:val="center"/>
          </w:tcPr>
          <w:p w14:paraId="2F4E6032">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sz w:val="24"/>
                <w:szCs w:val="24"/>
              </w:rPr>
            </w:pPr>
            <w:r>
              <w:rPr>
                <w:rFonts w:hint="default" w:ascii="宋体" w:hAnsi="Times New Roman" w:eastAsia="宋体" w:cs="宋体"/>
                <w:kern w:val="0"/>
                <w:sz w:val="24"/>
                <w:szCs w:val="24"/>
              </w:rPr>
              <w:t>二级指标</w:t>
            </w:r>
          </w:p>
        </w:tc>
        <w:tc>
          <w:tcPr>
            <w:tcW w:w="1700" w:type="dxa"/>
            <w:shd w:val="solid" w:color="E2EFD9" w:fill="auto"/>
            <w:vAlign w:val="center"/>
          </w:tcPr>
          <w:p w14:paraId="332A469D">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sz w:val="24"/>
                <w:szCs w:val="24"/>
              </w:rPr>
            </w:pPr>
            <w:r>
              <w:rPr>
                <w:rFonts w:hint="default" w:ascii="宋体" w:hAnsi="Times New Roman" w:eastAsia="宋体" w:cs="宋体"/>
                <w:kern w:val="0"/>
                <w:sz w:val="24"/>
                <w:szCs w:val="24"/>
              </w:rPr>
              <w:t>三级指标</w:t>
            </w:r>
          </w:p>
        </w:tc>
        <w:tc>
          <w:tcPr>
            <w:tcW w:w="739" w:type="dxa"/>
            <w:shd w:val="solid" w:color="E2EFD9" w:fill="auto"/>
            <w:vAlign w:val="center"/>
          </w:tcPr>
          <w:p w14:paraId="3543A05B">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sz w:val="24"/>
                <w:szCs w:val="24"/>
              </w:rPr>
            </w:pPr>
            <w:r>
              <w:rPr>
                <w:rFonts w:hint="default" w:ascii="宋体" w:hAnsi="Times New Roman" w:eastAsia="宋体" w:cs="宋体"/>
                <w:kern w:val="0"/>
                <w:sz w:val="24"/>
                <w:szCs w:val="24"/>
              </w:rPr>
              <w:t>指标性质</w:t>
            </w:r>
          </w:p>
        </w:tc>
        <w:tc>
          <w:tcPr>
            <w:tcW w:w="971" w:type="dxa"/>
            <w:shd w:val="solid" w:color="E2EFD9" w:fill="auto"/>
            <w:vAlign w:val="center"/>
          </w:tcPr>
          <w:p w14:paraId="3BB6279F">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sz w:val="24"/>
                <w:szCs w:val="24"/>
              </w:rPr>
            </w:pPr>
            <w:r>
              <w:rPr>
                <w:rFonts w:hint="default" w:ascii="宋体" w:hAnsi="Times New Roman" w:eastAsia="宋体" w:cs="宋体"/>
                <w:kern w:val="0"/>
                <w:sz w:val="24"/>
                <w:szCs w:val="24"/>
              </w:rPr>
              <w:t>指标值</w:t>
            </w:r>
          </w:p>
        </w:tc>
        <w:tc>
          <w:tcPr>
            <w:tcW w:w="1061" w:type="dxa"/>
            <w:shd w:val="solid" w:color="E2EFD9" w:fill="auto"/>
            <w:vAlign w:val="center"/>
          </w:tcPr>
          <w:p w14:paraId="01B485A9">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sz w:val="24"/>
                <w:szCs w:val="24"/>
              </w:rPr>
            </w:pPr>
            <w:r>
              <w:rPr>
                <w:rFonts w:hint="default" w:ascii="宋体" w:hAnsi="Times New Roman" w:eastAsia="宋体" w:cs="宋体"/>
                <w:kern w:val="0"/>
                <w:sz w:val="24"/>
                <w:szCs w:val="24"/>
              </w:rPr>
              <w:t>度量单位</w:t>
            </w:r>
          </w:p>
        </w:tc>
        <w:tc>
          <w:tcPr>
            <w:tcW w:w="938" w:type="dxa"/>
            <w:shd w:val="solid" w:color="E2EFD9" w:fill="auto"/>
            <w:vAlign w:val="center"/>
          </w:tcPr>
          <w:p w14:paraId="2BD7A50F">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sz w:val="24"/>
                <w:szCs w:val="24"/>
              </w:rPr>
            </w:pPr>
            <w:r>
              <w:rPr>
                <w:rFonts w:hint="default" w:ascii="宋体" w:hAnsi="Times New Roman" w:eastAsia="宋体" w:cs="宋体"/>
                <w:kern w:val="0"/>
                <w:sz w:val="24"/>
                <w:szCs w:val="24"/>
              </w:rPr>
              <w:t>权重</w:t>
            </w:r>
          </w:p>
        </w:tc>
        <w:tc>
          <w:tcPr>
            <w:tcW w:w="1841" w:type="dxa"/>
            <w:shd w:val="solid" w:color="E2EFD9" w:fill="auto"/>
            <w:vAlign w:val="center"/>
          </w:tcPr>
          <w:p w14:paraId="10874D4A">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sz w:val="24"/>
                <w:szCs w:val="24"/>
              </w:rPr>
            </w:pPr>
            <w:r>
              <w:rPr>
                <w:rFonts w:hint="default" w:ascii="宋体" w:hAnsi="Times New Roman" w:eastAsia="宋体" w:cs="宋体"/>
                <w:kern w:val="0"/>
                <w:sz w:val="24"/>
                <w:szCs w:val="24"/>
              </w:rPr>
              <w:t>实际完成指标值</w:t>
            </w:r>
          </w:p>
        </w:tc>
      </w:tr>
      <w:tr w14:paraId="255517A0">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1335" w:hRule="atLeast"/>
          <w:jc w:val="center"/>
        </w:trPr>
        <w:tc>
          <w:tcPr>
            <w:tcW w:w="652" w:type="dxa"/>
            <w:vMerge w:val="continue"/>
            <w:shd w:val="solid" w:color="E2EFD9" w:fill="auto"/>
            <w:vAlign w:val="center"/>
          </w:tcPr>
          <w:p w14:paraId="20CFFEE8">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081" w:type="dxa"/>
            <w:vMerge w:val="restart"/>
            <w:tcBorders>
              <w:bottom w:val="single" w:color="000000" w:sz="4" w:space="0"/>
            </w:tcBorders>
            <w:vAlign w:val="center"/>
          </w:tcPr>
          <w:p w14:paraId="2D5815B4">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sz w:val="24"/>
                <w:szCs w:val="24"/>
              </w:rPr>
            </w:pPr>
            <w:r>
              <w:rPr>
                <w:rFonts w:hint="default" w:ascii="宋体" w:hAnsi="Times New Roman" w:eastAsia="宋体" w:cs="宋体"/>
                <w:kern w:val="0"/>
                <w:sz w:val="24"/>
                <w:szCs w:val="24"/>
              </w:rPr>
              <w:t>产出指标</w:t>
            </w:r>
          </w:p>
        </w:tc>
        <w:tc>
          <w:tcPr>
            <w:tcW w:w="1250" w:type="dxa"/>
            <w:vMerge w:val="restart"/>
            <w:tcBorders>
              <w:bottom w:val="single" w:color="000000" w:sz="4" w:space="0"/>
            </w:tcBorders>
            <w:shd w:val="solid" w:color="E2EFD9" w:fill="auto"/>
            <w:vAlign w:val="center"/>
          </w:tcPr>
          <w:p w14:paraId="09CE731C">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sz w:val="24"/>
                <w:szCs w:val="24"/>
              </w:rPr>
            </w:pPr>
            <w:r>
              <w:rPr>
                <w:rFonts w:hint="default" w:ascii="宋体" w:hAnsi="Times New Roman" w:eastAsia="宋体" w:cs="宋体"/>
                <w:kern w:val="0"/>
                <w:sz w:val="24"/>
                <w:szCs w:val="24"/>
              </w:rPr>
              <w:t>数量指标</w:t>
            </w:r>
          </w:p>
        </w:tc>
        <w:tc>
          <w:tcPr>
            <w:tcW w:w="1700" w:type="dxa"/>
            <w:vAlign w:val="center"/>
          </w:tcPr>
          <w:p w14:paraId="70677E66">
            <w:pPr>
              <w:keepNext w:val="0"/>
              <w:keepLines w:val="0"/>
              <w:suppressLineNumbers w:val="0"/>
              <w:spacing w:before="0" w:beforeAutospacing="0" w:after="0" w:afterAutospacing="0"/>
              <w:ind w:left="0" w:right="0"/>
              <w:jc w:val="center"/>
              <w:rPr>
                <w:rFonts w:hint="default" w:ascii="宋体" w:hAnsi="Times New Roman" w:eastAsia="宋体" w:cs="Lucida Sans"/>
                <w:sz w:val="18"/>
                <w:szCs w:val="32"/>
              </w:rPr>
            </w:pPr>
            <w:r>
              <w:rPr>
                <w:rFonts w:hint="default" w:ascii="宋体" w:hAnsi="Times New Roman" w:eastAsia="宋体" w:cs="Lucida Sans"/>
                <w:sz w:val="18"/>
                <w:szCs w:val="32"/>
              </w:rPr>
              <w:t>指标1：广元市公共信用平台2023年度驻场运维服务人员</w:t>
            </w:r>
          </w:p>
        </w:tc>
        <w:tc>
          <w:tcPr>
            <w:tcW w:w="739" w:type="dxa"/>
            <w:shd w:val="solid" w:color="E2EFD9" w:fill="auto"/>
            <w:vAlign w:val="center"/>
          </w:tcPr>
          <w:p w14:paraId="24D28C3D">
            <w:pPr>
              <w:keepNext w:val="0"/>
              <w:keepLines w:val="0"/>
              <w:suppressLineNumbers w:val="0"/>
              <w:spacing w:before="0" w:beforeAutospacing="0" w:after="0" w:afterAutospacing="0"/>
              <w:ind w:left="0" w:right="0"/>
              <w:jc w:val="center"/>
              <w:rPr>
                <w:rFonts w:hint="default" w:ascii="宋体" w:hAnsi="Times New Roman" w:eastAsia="宋体" w:cs="Lucida Sans"/>
                <w:sz w:val="18"/>
                <w:szCs w:val="32"/>
              </w:rPr>
            </w:pPr>
            <w:r>
              <w:rPr>
                <w:rFonts w:hint="default" w:ascii="宋体" w:hAnsi="Times New Roman" w:eastAsia="宋体" w:cs="Lucida Sans"/>
                <w:sz w:val="18"/>
                <w:szCs w:val="32"/>
              </w:rPr>
              <w:t>＝</w:t>
            </w:r>
          </w:p>
        </w:tc>
        <w:tc>
          <w:tcPr>
            <w:tcW w:w="971" w:type="dxa"/>
            <w:vAlign w:val="center"/>
          </w:tcPr>
          <w:p w14:paraId="5E5068B4">
            <w:pPr>
              <w:keepNext w:val="0"/>
              <w:keepLines w:val="0"/>
              <w:suppressLineNumbers w:val="0"/>
              <w:spacing w:before="0" w:beforeAutospacing="0" w:after="0" w:afterAutospacing="0"/>
              <w:ind w:left="0" w:right="0"/>
              <w:jc w:val="center"/>
              <w:rPr>
                <w:rFonts w:hint="default" w:ascii="宋体" w:hAnsi="Times New Roman" w:eastAsia="宋体" w:cs="Lucida Sans"/>
                <w:sz w:val="18"/>
                <w:szCs w:val="32"/>
              </w:rPr>
            </w:pPr>
            <w:r>
              <w:rPr>
                <w:rFonts w:hint="default" w:ascii="宋体" w:hAnsi="Times New Roman" w:eastAsia="宋体" w:cs="Lucida Sans"/>
                <w:sz w:val="18"/>
                <w:szCs w:val="32"/>
              </w:rPr>
              <w:t>3</w:t>
            </w:r>
          </w:p>
        </w:tc>
        <w:tc>
          <w:tcPr>
            <w:tcW w:w="1061" w:type="dxa"/>
            <w:shd w:val="solid" w:color="E2EFD9" w:fill="auto"/>
            <w:vAlign w:val="center"/>
          </w:tcPr>
          <w:p w14:paraId="339A1695">
            <w:pPr>
              <w:keepNext w:val="0"/>
              <w:keepLines w:val="0"/>
              <w:suppressLineNumbers w:val="0"/>
              <w:spacing w:before="0" w:beforeAutospacing="0" w:after="0" w:afterAutospacing="0"/>
              <w:ind w:left="0" w:right="0"/>
              <w:jc w:val="center"/>
              <w:rPr>
                <w:rFonts w:hint="default" w:ascii="宋体" w:hAnsi="Times New Roman" w:eastAsia="宋体" w:cs="Lucida Sans"/>
                <w:sz w:val="18"/>
                <w:szCs w:val="32"/>
              </w:rPr>
            </w:pPr>
            <w:r>
              <w:rPr>
                <w:rFonts w:hint="default" w:ascii="宋体" w:hAnsi="Times New Roman" w:eastAsia="宋体" w:cs="Lucida Sans"/>
                <w:sz w:val="18"/>
                <w:szCs w:val="32"/>
              </w:rPr>
              <w:t>人</w:t>
            </w:r>
          </w:p>
        </w:tc>
        <w:tc>
          <w:tcPr>
            <w:tcW w:w="938" w:type="dxa"/>
            <w:vAlign w:val="center"/>
          </w:tcPr>
          <w:p w14:paraId="7B28D676">
            <w:pPr>
              <w:keepNext w:val="0"/>
              <w:keepLines w:val="0"/>
              <w:suppressLineNumbers w:val="0"/>
              <w:spacing w:before="0" w:beforeAutospacing="0" w:after="0" w:afterAutospacing="0"/>
              <w:ind w:left="0" w:right="0"/>
              <w:jc w:val="center"/>
              <w:rPr>
                <w:rFonts w:hint="default" w:ascii="宋体" w:hAnsi="Times New Roman" w:eastAsia="宋体" w:cs="Lucida Sans"/>
                <w:sz w:val="18"/>
                <w:szCs w:val="32"/>
              </w:rPr>
            </w:pPr>
            <w:r>
              <w:rPr>
                <w:rFonts w:hint="default" w:ascii="宋体" w:hAnsi="Times New Roman" w:eastAsia="宋体" w:cs="Lucida Sans"/>
                <w:sz w:val="18"/>
                <w:szCs w:val="32"/>
              </w:rPr>
              <w:t>10</w:t>
            </w:r>
          </w:p>
        </w:tc>
        <w:tc>
          <w:tcPr>
            <w:tcW w:w="1841" w:type="dxa"/>
            <w:shd w:val="solid" w:color="E2EFD9" w:fill="auto"/>
            <w:vAlign w:val="center"/>
          </w:tcPr>
          <w:p w14:paraId="081FC458">
            <w:pPr>
              <w:keepNext w:val="0"/>
              <w:keepLines w:val="0"/>
              <w:suppressLineNumbers w:val="0"/>
              <w:spacing w:before="0" w:beforeAutospacing="0" w:after="0" w:afterAutospacing="0"/>
              <w:ind w:left="0" w:right="0"/>
              <w:jc w:val="center"/>
              <w:rPr>
                <w:rFonts w:hint="default" w:ascii="黑体" w:hAnsi="Times New Roman" w:eastAsia="黑体" w:cs="Lucida Sans"/>
                <w:sz w:val="18"/>
                <w:szCs w:val="32"/>
              </w:rPr>
            </w:pPr>
            <w:r>
              <w:rPr>
                <w:rFonts w:hint="default" w:ascii="黑体" w:hAnsi="Times New Roman" w:eastAsia="黑体" w:cs="Lucida Sans"/>
                <w:sz w:val="18"/>
                <w:szCs w:val="32"/>
              </w:rPr>
              <w:t>10</w:t>
            </w:r>
          </w:p>
        </w:tc>
      </w:tr>
      <w:tr w14:paraId="62D6FCDC">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23" w:hRule="atLeast"/>
          <w:jc w:val="center"/>
        </w:trPr>
        <w:tc>
          <w:tcPr>
            <w:tcW w:w="652" w:type="dxa"/>
            <w:vMerge w:val="continue"/>
            <w:shd w:val="solid" w:color="E2EFD9" w:fill="auto"/>
            <w:vAlign w:val="center"/>
          </w:tcPr>
          <w:p w14:paraId="6CA5AB34">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081" w:type="dxa"/>
            <w:vMerge w:val="continue"/>
            <w:shd w:val="solid" w:color="E2EFD9" w:fill="auto"/>
            <w:vAlign w:val="center"/>
          </w:tcPr>
          <w:p w14:paraId="58450CDC">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250" w:type="dxa"/>
            <w:vMerge w:val="continue"/>
            <w:shd w:val="solid" w:color="E2EFD9" w:fill="auto"/>
            <w:vAlign w:val="center"/>
          </w:tcPr>
          <w:p w14:paraId="27A2B5D0">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700" w:type="dxa"/>
            <w:shd w:val="solid" w:color="E2EFD9" w:fill="auto"/>
            <w:vAlign w:val="center"/>
          </w:tcPr>
          <w:p w14:paraId="0A856596">
            <w:pPr>
              <w:keepNext w:val="0"/>
              <w:keepLines w:val="0"/>
              <w:suppressLineNumbers w:val="0"/>
              <w:spacing w:before="0" w:beforeAutospacing="0" w:after="0" w:afterAutospacing="0"/>
              <w:ind w:left="0" w:right="0"/>
              <w:jc w:val="center"/>
              <w:rPr>
                <w:rFonts w:hint="default" w:ascii="宋体" w:hAnsi="Times New Roman" w:eastAsia="宋体" w:cs="Lucida Sans"/>
                <w:sz w:val="18"/>
                <w:szCs w:val="32"/>
              </w:rPr>
            </w:pPr>
            <w:r>
              <w:rPr>
                <w:rFonts w:hint="default" w:ascii="宋体" w:hAnsi="Times New Roman" w:eastAsia="宋体" w:cs="Lucida Sans"/>
                <w:sz w:val="18"/>
                <w:szCs w:val="32"/>
              </w:rPr>
              <w:t>指标2：完成广元市公共信用平台建设项目</w:t>
            </w:r>
            <w:r>
              <w:rPr>
                <w:rFonts w:hint="eastAsia" w:ascii="宋体" w:cs="Lucida Sans"/>
                <w:sz w:val="18"/>
                <w:szCs w:val="32"/>
                <w:lang w:eastAsia="zh-CN"/>
              </w:rPr>
              <w:t>（</w:t>
            </w:r>
            <w:r>
              <w:rPr>
                <w:rFonts w:hint="default" w:ascii="宋体" w:hAnsi="Times New Roman" w:eastAsia="宋体" w:cs="Lucida Sans"/>
                <w:sz w:val="18"/>
                <w:szCs w:val="32"/>
              </w:rPr>
              <w:t>一期)专项审计鉴证服务</w:t>
            </w:r>
          </w:p>
        </w:tc>
        <w:tc>
          <w:tcPr>
            <w:tcW w:w="739" w:type="dxa"/>
            <w:shd w:val="solid" w:color="E2EFD9" w:fill="auto"/>
            <w:vAlign w:val="center"/>
          </w:tcPr>
          <w:p w14:paraId="6A02EFBF">
            <w:pPr>
              <w:keepNext w:val="0"/>
              <w:keepLines w:val="0"/>
              <w:suppressLineNumbers w:val="0"/>
              <w:spacing w:before="0" w:beforeAutospacing="0" w:after="0" w:afterAutospacing="0"/>
              <w:ind w:left="0" w:right="0"/>
              <w:jc w:val="center"/>
              <w:rPr>
                <w:rFonts w:hint="default" w:ascii="宋体" w:hAnsi="Times New Roman" w:eastAsia="宋体" w:cs="Lucida Sans"/>
                <w:sz w:val="18"/>
                <w:szCs w:val="32"/>
              </w:rPr>
            </w:pPr>
            <w:r>
              <w:rPr>
                <w:rFonts w:hint="default" w:ascii="宋体" w:hAnsi="Times New Roman" w:eastAsia="宋体" w:cs="Lucida Sans"/>
                <w:sz w:val="18"/>
                <w:szCs w:val="32"/>
              </w:rPr>
              <w:t>＝</w:t>
            </w:r>
          </w:p>
        </w:tc>
        <w:tc>
          <w:tcPr>
            <w:tcW w:w="971" w:type="dxa"/>
            <w:shd w:val="solid" w:color="E2EFD9" w:fill="auto"/>
            <w:vAlign w:val="center"/>
          </w:tcPr>
          <w:p w14:paraId="665729B4">
            <w:pPr>
              <w:keepNext w:val="0"/>
              <w:keepLines w:val="0"/>
              <w:suppressLineNumbers w:val="0"/>
              <w:spacing w:before="0" w:beforeAutospacing="0" w:after="0" w:afterAutospacing="0"/>
              <w:ind w:left="0" w:right="0"/>
              <w:jc w:val="center"/>
              <w:rPr>
                <w:rFonts w:hint="default" w:ascii="宋体" w:hAnsi="Times New Roman" w:eastAsia="宋体" w:cs="Lucida Sans"/>
                <w:sz w:val="18"/>
                <w:szCs w:val="32"/>
              </w:rPr>
            </w:pPr>
            <w:r>
              <w:rPr>
                <w:rFonts w:hint="default" w:ascii="宋体" w:hAnsi="Times New Roman" w:eastAsia="宋体" w:cs="Lucida Sans"/>
                <w:sz w:val="18"/>
                <w:szCs w:val="32"/>
              </w:rPr>
              <w:t>1</w:t>
            </w:r>
          </w:p>
        </w:tc>
        <w:tc>
          <w:tcPr>
            <w:tcW w:w="1061" w:type="dxa"/>
            <w:shd w:val="solid" w:color="E2EFD9" w:fill="auto"/>
            <w:vAlign w:val="center"/>
          </w:tcPr>
          <w:p w14:paraId="2E14E527">
            <w:pPr>
              <w:keepNext w:val="0"/>
              <w:keepLines w:val="0"/>
              <w:suppressLineNumbers w:val="0"/>
              <w:spacing w:before="0" w:beforeAutospacing="0" w:after="0" w:afterAutospacing="0"/>
              <w:ind w:left="0" w:right="0"/>
              <w:jc w:val="center"/>
              <w:rPr>
                <w:rFonts w:hint="default" w:ascii="宋体" w:hAnsi="Times New Roman" w:eastAsia="宋体" w:cs="Lucida Sans"/>
                <w:sz w:val="18"/>
                <w:szCs w:val="32"/>
              </w:rPr>
            </w:pPr>
            <w:r>
              <w:rPr>
                <w:rFonts w:hint="default" w:ascii="宋体" w:hAnsi="Times New Roman" w:eastAsia="宋体" w:cs="Lucida Sans"/>
                <w:sz w:val="18"/>
                <w:szCs w:val="32"/>
              </w:rPr>
              <w:t>次</w:t>
            </w:r>
          </w:p>
        </w:tc>
        <w:tc>
          <w:tcPr>
            <w:tcW w:w="938" w:type="dxa"/>
            <w:shd w:val="solid" w:color="E2EFD9" w:fill="auto"/>
            <w:vAlign w:val="center"/>
          </w:tcPr>
          <w:p w14:paraId="052760EC">
            <w:pPr>
              <w:keepNext w:val="0"/>
              <w:keepLines w:val="0"/>
              <w:suppressLineNumbers w:val="0"/>
              <w:spacing w:before="0" w:beforeAutospacing="0" w:after="0" w:afterAutospacing="0"/>
              <w:ind w:left="0" w:right="0"/>
              <w:jc w:val="center"/>
              <w:rPr>
                <w:rFonts w:hint="default" w:ascii="宋体" w:hAnsi="Times New Roman" w:eastAsia="宋体" w:cs="Lucida Sans"/>
                <w:sz w:val="18"/>
                <w:szCs w:val="32"/>
              </w:rPr>
            </w:pPr>
            <w:r>
              <w:rPr>
                <w:rFonts w:hint="default" w:ascii="宋体" w:hAnsi="Times New Roman" w:eastAsia="宋体" w:cs="Lucida Sans"/>
                <w:sz w:val="18"/>
                <w:szCs w:val="32"/>
              </w:rPr>
              <w:t>10</w:t>
            </w:r>
          </w:p>
        </w:tc>
        <w:tc>
          <w:tcPr>
            <w:tcW w:w="1841" w:type="dxa"/>
            <w:shd w:val="solid" w:color="E2EFD9" w:fill="auto"/>
            <w:vAlign w:val="center"/>
          </w:tcPr>
          <w:p w14:paraId="5C0FF7C8">
            <w:pPr>
              <w:keepNext w:val="0"/>
              <w:keepLines w:val="0"/>
              <w:suppressLineNumbers w:val="0"/>
              <w:spacing w:before="0" w:beforeAutospacing="0" w:after="0" w:afterAutospacing="0"/>
              <w:ind w:left="0" w:right="0"/>
              <w:jc w:val="center"/>
              <w:rPr>
                <w:rFonts w:hint="default" w:ascii="黑体" w:hAnsi="Times New Roman" w:eastAsia="黑体" w:cs="Lucida Sans"/>
                <w:sz w:val="18"/>
                <w:szCs w:val="32"/>
              </w:rPr>
            </w:pPr>
            <w:r>
              <w:rPr>
                <w:rFonts w:hint="default" w:ascii="黑体" w:hAnsi="Times New Roman" w:eastAsia="黑体" w:cs="Lucida Sans"/>
                <w:sz w:val="18"/>
                <w:szCs w:val="32"/>
              </w:rPr>
              <w:t>10</w:t>
            </w:r>
          </w:p>
        </w:tc>
      </w:tr>
      <w:tr w14:paraId="152E9624">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23" w:hRule="atLeast"/>
          <w:jc w:val="center"/>
        </w:trPr>
        <w:tc>
          <w:tcPr>
            <w:tcW w:w="652" w:type="dxa"/>
            <w:vMerge w:val="continue"/>
            <w:shd w:val="solid" w:color="E2EFD9" w:fill="auto"/>
            <w:vAlign w:val="center"/>
          </w:tcPr>
          <w:p w14:paraId="475E842D">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081" w:type="dxa"/>
            <w:vMerge w:val="continue"/>
            <w:shd w:val="solid" w:color="E2EFD9" w:fill="auto"/>
            <w:vAlign w:val="center"/>
          </w:tcPr>
          <w:p w14:paraId="650A7F86">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250" w:type="dxa"/>
            <w:vMerge w:val="restart"/>
            <w:tcBorders>
              <w:bottom w:val="single" w:color="000000" w:sz="4" w:space="0"/>
            </w:tcBorders>
            <w:shd w:val="solid" w:color="E2EFD9" w:fill="auto"/>
            <w:vAlign w:val="center"/>
          </w:tcPr>
          <w:p w14:paraId="673E8792">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sz w:val="24"/>
                <w:szCs w:val="24"/>
              </w:rPr>
            </w:pPr>
            <w:r>
              <w:rPr>
                <w:rFonts w:hint="default" w:ascii="宋体" w:hAnsi="Times New Roman" w:eastAsia="宋体" w:cs="宋体"/>
                <w:kern w:val="0"/>
                <w:sz w:val="24"/>
                <w:szCs w:val="24"/>
              </w:rPr>
              <w:t>质量指标</w:t>
            </w:r>
          </w:p>
        </w:tc>
        <w:tc>
          <w:tcPr>
            <w:tcW w:w="1700" w:type="dxa"/>
            <w:shd w:val="solid" w:color="E2EFD9" w:fill="auto"/>
            <w:vAlign w:val="center"/>
          </w:tcPr>
          <w:p w14:paraId="6907F729">
            <w:pPr>
              <w:keepNext w:val="0"/>
              <w:keepLines w:val="0"/>
              <w:suppressLineNumbers w:val="0"/>
              <w:spacing w:before="0" w:beforeAutospacing="0" w:after="0" w:afterAutospacing="0"/>
              <w:ind w:left="0" w:right="0"/>
              <w:jc w:val="center"/>
              <w:rPr>
                <w:rFonts w:hint="default" w:ascii="宋体" w:hAnsi="Times New Roman" w:eastAsia="宋体" w:cs="Lucida Sans"/>
                <w:sz w:val="18"/>
                <w:szCs w:val="32"/>
              </w:rPr>
            </w:pPr>
            <w:r>
              <w:rPr>
                <w:rFonts w:hint="default" w:ascii="宋体" w:hAnsi="Times New Roman" w:eastAsia="宋体" w:cs="Lucida Sans"/>
                <w:sz w:val="18"/>
                <w:szCs w:val="32"/>
              </w:rPr>
              <w:t>指标1：保障平台和网站正常运行。</w:t>
            </w:r>
          </w:p>
        </w:tc>
        <w:tc>
          <w:tcPr>
            <w:tcW w:w="739" w:type="dxa"/>
            <w:shd w:val="solid" w:color="E2EFD9" w:fill="auto"/>
            <w:vAlign w:val="center"/>
          </w:tcPr>
          <w:p w14:paraId="698A6DC8">
            <w:pPr>
              <w:keepNext w:val="0"/>
              <w:keepLines w:val="0"/>
              <w:suppressLineNumbers w:val="0"/>
              <w:spacing w:before="0" w:beforeAutospacing="0" w:after="0" w:afterAutospacing="0"/>
              <w:ind w:left="0" w:right="0"/>
              <w:jc w:val="center"/>
              <w:rPr>
                <w:rFonts w:hint="default" w:ascii="宋体" w:hAnsi="Times New Roman" w:eastAsia="宋体" w:cs="Times New Roman"/>
                <w:sz w:val="18"/>
                <w:szCs w:val="32"/>
              </w:rPr>
            </w:pPr>
            <w:r>
              <w:rPr>
                <w:rFonts w:hint="default" w:ascii="宋体" w:hAnsi="Times New Roman" w:eastAsia="宋体" w:cs="Times New Roman"/>
                <w:sz w:val="18"/>
                <w:szCs w:val="32"/>
              </w:rPr>
              <w:t>≥</w:t>
            </w:r>
          </w:p>
        </w:tc>
        <w:tc>
          <w:tcPr>
            <w:tcW w:w="971" w:type="dxa"/>
            <w:shd w:val="solid" w:color="E2EFD9" w:fill="auto"/>
            <w:vAlign w:val="center"/>
          </w:tcPr>
          <w:p w14:paraId="2CC24742">
            <w:pPr>
              <w:keepNext w:val="0"/>
              <w:keepLines w:val="0"/>
              <w:suppressLineNumbers w:val="0"/>
              <w:spacing w:before="0" w:beforeAutospacing="0" w:after="0" w:afterAutospacing="0"/>
              <w:ind w:left="0" w:right="0"/>
              <w:jc w:val="center"/>
              <w:rPr>
                <w:rFonts w:hint="default" w:ascii="宋体" w:hAnsi="Times New Roman" w:eastAsia="宋体" w:cs="Times New Roman"/>
                <w:sz w:val="18"/>
                <w:szCs w:val="32"/>
              </w:rPr>
            </w:pPr>
            <w:r>
              <w:rPr>
                <w:rFonts w:hint="default" w:ascii="宋体" w:hAnsi="Times New Roman" w:eastAsia="宋体" w:cs="Times New Roman"/>
                <w:sz w:val="18"/>
                <w:szCs w:val="32"/>
              </w:rPr>
              <w:t>100</w:t>
            </w:r>
          </w:p>
        </w:tc>
        <w:tc>
          <w:tcPr>
            <w:tcW w:w="1061" w:type="dxa"/>
            <w:shd w:val="solid" w:color="E2EFD9" w:fill="auto"/>
            <w:vAlign w:val="center"/>
          </w:tcPr>
          <w:p w14:paraId="74F65B16">
            <w:pPr>
              <w:keepNext w:val="0"/>
              <w:keepLines w:val="0"/>
              <w:suppressLineNumbers w:val="0"/>
              <w:spacing w:before="0" w:beforeAutospacing="0" w:after="0" w:afterAutospacing="0"/>
              <w:ind w:left="0" w:right="0"/>
              <w:jc w:val="center"/>
              <w:rPr>
                <w:rFonts w:hint="default" w:ascii="宋体" w:hAnsi="Times New Roman" w:eastAsia="宋体" w:cs="Times New Roman"/>
                <w:sz w:val="18"/>
                <w:szCs w:val="32"/>
              </w:rPr>
            </w:pPr>
            <w:r>
              <w:rPr>
                <w:rFonts w:hint="default" w:ascii="宋体" w:hAnsi="Times New Roman" w:eastAsia="宋体" w:cs="Times New Roman"/>
                <w:sz w:val="18"/>
                <w:szCs w:val="32"/>
              </w:rPr>
              <w:t>%</w:t>
            </w:r>
          </w:p>
        </w:tc>
        <w:tc>
          <w:tcPr>
            <w:tcW w:w="938" w:type="dxa"/>
            <w:shd w:val="solid" w:color="E2EFD9" w:fill="auto"/>
            <w:vAlign w:val="center"/>
          </w:tcPr>
          <w:p w14:paraId="7D382A83">
            <w:pPr>
              <w:keepNext w:val="0"/>
              <w:keepLines w:val="0"/>
              <w:suppressLineNumbers w:val="0"/>
              <w:spacing w:before="0" w:beforeAutospacing="0" w:after="0" w:afterAutospacing="0"/>
              <w:ind w:left="0" w:right="0"/>
              <w:jc w:val="center"/>
              <w:rPr>
                <w:rFonts w:hint="default" w:ascii="微软雅黑" w:hAnsi="Times New Roman" w:eastAsia="微软雅黑" w:cs="Times New Roman"/>
                <w:i/>
                <w:sz w:val="16"/>
                <w:szCs w:val="32"/>
              </w:rPr>
            </w:pPr>
            <w:r>
              <w:rPr>
                <w:rFonts w:hint="default" w:ascii="微软雅黑" w:hAnsi="Times New Roman" w:eastAsia="微软雅黑" w:cs="Times New Roman"/>
                <w:i/>
                <w:sz w:val="16"/>
                <w:szCs w:val="32"/>
              </w:rPr>
              <w:t>100</w:t>
            </w:r>
          </w:p>
        </w:tc>
        <w:tc>
          <w:tcPr>
            <w:tcW w:w="1841" w:type="dxa"/>
            <w:shd w:val="solid" w:color="E2EFD9" w:fill="auto"/>
            <w:vAlign w:val="center"/>
          </w:tcPr>
          <w:p w14:paraId="4C5968E9">
            <w:pPr>
              <w:keepNext w:val="0"/>
              <w:keepLines w:val="0"/>
              <w:suppressLineNumbers w:val="0"/>
              <w:spacing w:before="0" w:beforeAutospacing="0" w:after="0" w:afterAutospacing="0"/>
              <w:ind w:left="0" w:right="0"/>
              <w:jc w:val="center"/>
              <w:rPr>
                <w:rFonts w:hint="default" w:ascii="宋体" w:hAnsi="Times New Roman" w:eastAsia="宋体" w:cs="Times New Roman"/>
                <w:sz w:val="18"/>
                <w:szCs w:val="32"/>
              </w:rPr>
            </w:pPr>
            <w:r>
              <w:rPr>
                <w:rFonts w:hint="default" w:ascii="宋体" w:hAnsi="Times New Roman" w:eastAsia="宋体" w:cs="Times New Roman"/>
                <w:sz w:val="18"/>
                <w:szCs w:val="32"/>
              </w:rPr>
              <w:t>10</w:t>
            </w:r>
          </w:p>
        </w:tc>
      </w:tr>
      <w:tr w14:paraId="6C258F45">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23" w:hRule="atLeast"/>
          <w:jc w:val="center"/>
        </w:trPr>
        <w:tc>
          <w:tcPr>
            <w:tcW w:w="652" w:type="dxa"/>
            <w:vMerge w:val="continue"/>
            <w:shd w:val="solid" w:color="E2EFD9" w:fill="auto"/>
            <w:vAlign w:val="center"/>
          </w:tcPr>
          <w:p w14:paraId="7F543E4E">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081" w:type="dxa"/>
            <w:vMerge w:val="continue"/>
            <w:vAlign w:val="center"/>
          </w:tcPr>
          <w:p w14:paraId="71D6FA3D">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250" w:type="dxa"/>
            <w:vMerge w:val="continue"/>
            <w:shd w:val="solid" w:color="E2EFD9" w:fill="auto"/>
            <w:vAlign w:val="center"/>
          </w:tcPr>
          <w:p w14:paraId="0D90DBAC">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700" w:type="dxa"/>
            <w:vAlign w:val="center"/>
          </w:tcPr>
          <w:p w14:paraId="48A4E98A">
            <w:pPr>
              <w:keepNext w:val="0"/>
              <w:keepLines w:val="0"/>
              <w:suppressLineNumbers w:val="0"/>
              <w:spacing w:before="0" w:beforeAutospacing="0" w:after="0" w:afterAutospacing="0"/>
              <w:ind w:left="0" w:right="0"/>
              <w:jc w:val="center"/>
              <w:rPr>
                <w:rFonts w:hint="default" w:ascii="宋体" w:hAnsi="Times New Roman" w:eastAsia="宋体" w:cs="Lucida Sans"/>
                <w:sz w:val="18"/>
                <w:szCs w:val="32"/>
              </w:rPr>
            </w:pPr>
            <w:r>
              <w:rPr>
                <w:rFonts w:hint="default" w:ascii="宋体" w:hAnsi="Times New Roman" w:eastAsia="宋体" w:cs="Lucida Sans"/>
                <w:sz w:val="18"/>
                <w:szCs w:val="32"/>
              </w:rPr>
              <w:t>指标2：完成专项财务审计及鉴证服务。</w:t>
            </w:r>
          </w:p>
        </w:tc>
        <w:tc>
          <w:tcPr>
            <w:tcW w:w="739" w:type="dxa"/>
            <w:shd w:val="solid" w:color="E2EFD9" w:fill="auto"/>
            <w:vAlign w:val="center"/>
          </w:tcPr>
          <w:p w14:paraId="7986BC2C">
            <w:pPr>
              <w:keepNext w:val="0"/>
              <w:keepLines w:val="0"/>
              <w:suppressLineNumbers w:val="0"/>
              <w:spacing w:before="0" w:beforeAutospacing="0" w:after="0" w:afterAutospacing="0"/>
              <w:ind w:left="0" w:right="0"/>
              <w:jc w:val="center"/>
              <w:rPr>
                <w:rFonts w:hint="default" w:ascii="宋体" w:hAnsi="Times New Roman" w:eastAsia="宋体" w:cs="Times New Roman"/>
                <w:sz w:val="18"/>
                <w:szCs w:val="32"/>
              </w:rPr>
            </w:pPr>
            <w:r>
              <w:rPr>
                <w:rFonts w:hint="default" w:ascii="宋体" w:hAnsi="Times New Roman" w:eastAsia="宋体" w:cs="Times New Roman"/>
                <w:sz w:val="18"/>
                <w:szCs w:val="32"/>
              </w:rPr>
              <w:t>≥</w:t>
            </w:r>
          </w:p>
        </w:tc>
        <w:tc>
          <w:tcPr>
            <w:tcW w:w="971" w:type="dxa"/>
            <w:vAlign w:val="center"/>
          </w:tcPr>
          <w:p w14:paraId="6BD0F560">
            <w:pPr>
              <w:keepNext w:val="0"/>
              <w:keepLines w:val="0"/>
              <w:suppressLineNumbers w:val="0"/>
              <w:spacing w:before="0" w:beforeAutospacing="0" w:after="0" w:afterAutospacing="0"/>
              <w:ind w:left="0" w:right="0"/>
              <w:jc w:val="center"/>
              <w:rPr>
                <w:rFonts w:hint="default" w:ascii="宋体" w:hAnsi="Times New Roman" w:eastAsia="宋体" w:cs="Times New Roman"/>
                <w:sz w:val="18"/>
                <w:szCs w:val="32"/>
              </w:rPr>
            </w:pPr>
            <w:r>
              <w:rPr>
                <w:rFonts w:hint="default" w:ascii="宋体" w:hAnsi="Times New Roman" w:eastAsia="宋体" w:cs="Times New Roman"/>
                <w:sz w:val="18"/>
                <w:szCs w:val="32"/>
              </w:rPr>
              <w:t>100</w:t>
            </w:r>
          </w:p>
        </w:tc>
        <w:tc>
          <w:tcPr>
            <w:tcW w:w="1061" w:type="dxa"/>
            <w:shd w:val="solid" w:color="E2EFD9" w:fill="auto"/>
            <w:vAlign w:val="center"/>
          </w:tcPr>
          <w:p w14:paraId="6DCB1F72">
            <w:pPr>
              <w:keepNext w:val="0"/>
              <w:keepLines w:val="0"/>
              <w:suppressLineNumbers w:val="0"/>
              <w:spacing w:before="0" w:beforeAutospacing="0" w:after="0" w:afterAutospacing="0"/>
              <w:ind w:left="0" w:right="0"/>
              <w:jc w:val="center"/>
              <w:rPr>
                <w:rFonts w:hint="default" w:ascii="宋体" w:hAnsi="Times New Roman" w:eastAsia="宋体" w:cs="Times New Roman"/>
                <w:sz w:val="18"/>
                <w:szCs w:val="32"/>
              </w:rPr>
            </w:pPr>
            <w:r>
              <w:rPr>
                <w:rFonts w:hint="default" w:ascii="宋体" w:hAnsi="Times New Roman" w:eastAsia="宋体" w:cs="Times New Roman"/>
                <w:sz w:val="18"/>
                <w:szCs w:val="32"/>
              </w:rPr>
              <w:t>%</w:t>
            </w:r>
          </w:p>
        </w:tc>
        <w:tc>
          <w:tcPr>
            <w:tcW w:w="938" w:type="dxa"/>
            <w:vAlign w:val="center"/>
          </w:tcPr>
          <w:p w14:paraId="3E803F1C">
            <w:pPr>
              <w:keepNext w:val="0"/>
              <w:keepLines w:val="0"/>
              <w:suppressLineNumbers w:val="0"/>
              <w:spacing w:before="0" w:beforeAutospacing="0" w:after="0" w:afterAutospacing="0"/>
              <w:ind w:left="0" w:right="0"/>
              <w:jc w:val="center"/>
              <w:rPr>
                <w:rFonts w:hint="default" w:ascii="微软雅黑" w:hAnsi="Times New Roman" w:eastAsia="微软雅黑" w:cs="Times New Roman"/>
                <w:i/>
                <w:sz w:val="16"/>
                <w:szCs w:val="32"/>
              </w:rPr>
            </w:pPr>
            <w:r>
              <w:rPr>
                <w:rFonts w:hint="default" w:ascii="微软雅黑" w:hAnsi="Times New Roman" w:eastAsia="微软雅黑" w:cs="Times New Roman"/>
                <w:i/>
                <w:sz w:val="16"/>
                <w:szCs w:val="32"/>
              </w:rPr>
              <w:t>100</w:t>
            </w:r>
          </w:p>
        </w:tc>
        <w:tc>
          <w:tcPr>
            <w:tcW w:w="1841" w:type="dxa"/>
            <w:shd w:val="solid" w:color="E2EFD9" w:fill="auto"/>
            <w:vAlign w:val="center"/>
          </w:tcPr>
          <w:p w14:paraId="386A1101">
            <w:pPr>
              <w:keepNext w:val="0"/>
              <w:keepLines w:val="0"/>
              <w:suppressLineNumbers w:val="0"/>
              <w:spacing w:before="0" w:beforeAutospacing="0" w:after="0" w:afterAutospacing="0"/>
              <w:ind w:left="0" w:right="0"/>
              <w:jc w:val="center"/>
              <w:rPr>
                <w:rFonts w:hint="default" w:ascii="宋体" w:hAnsi="Times New Roman" w:eastAsia="宋体" w:cs="Times New Roman"/>
                <w:sz w:val="18"/>
                <w:szCs w:val="32"/>
              </w:rPr>
            </w:pPr>
            <w:r>
              <w:rPr>
                <w:rFonts w:hint="default" w:ascii="宋体" w:hAnsi="Times New Roman" w:eastAsia="宋体" w:cs="Times New Roman"/>
                <w:sz w:val="18"/>
                <w:szCs w:val="32"/>
              </w:rPr>
              <w:t>5</w:t>
            </w:r>
          </w:p>
        </w:tc>
      </w:tr>
      <w:tr w14:paraId="5E81DEB3">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23" w:hRule="atLeast"/>
          <w:jc w:val="center"/>
        </w:trPr>
        <w:tc>
          <w:tcPr>
            <w:tcW w:w="652" w:type="dxa"/>
            <w:vMerge w:val="continue"/>
            <w:shd w:val="solid" w:color="E2EFD9" w:fill="auto"/>
            <w:vAlign w:val="center"/>
          </w:tcPr>
          <w:p w14:paraId="16A865BE">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081" w:type="dxa"/>
            <w:vMerge w:val="continue"/>
            <w:vAlign w:val="center"/>
          </w:tcPr>
          <w:p w14:paraId="216DD032">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250" w:type="dxa"/>
            <w:vMerge w:val="restart"/>
            <w:tcBorders>
              <w:bottom w:val="single" w:color="000000" w:sz="4" w:space="0"/>
            </w:tcBorders>
            <w:shd w:val="solid" w:color="E2EFD9" w:fill="auto"/>
            <w:vAlign w:val="center"/>
          </w:tcPr>
          <w:p w14:paraId="37E6BC16">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sz w:val="24"/>
                <w:szCs w:val="24"/>
              </w:rPr>
            </w:pPr>
            <w:r>
              <w:rPr>
                <w:rFonts w:hint="default" w:ascii="宋体" w:hAnsi="Times New Roman" w:eastAsia="宋体" w:cs="宋体"/>
                <w:kern w:val="0"/>
                <w:sz w:val="24"/>
                <w:szCs w:val="24"/>
              </w:rPr>
              <w:t>时效指标</w:t>
            </w:r>
          </w:p>
        </w:tc>
        <w:tc>
          <w:tcPr>
            <w:tcW w:w="1700" w:type="dxa"/>
            <w:vAlign w:val="center"/>
          </w:tcPr>
          <w:p w14:paraId="7281CE85">
            <w:pPr>
              <w:keepNext w:val="0"/>
              <w:keepLines w:val="0"/>
              <w:suppressLineNumbers w:val="0"/>
              <w:spacing w:before="0" w:beforeAutospacing="0" w:after="0" w:afterAutospacing="0"/>
              <w:ind w:left="0" w:right="0"/>
              <w:jc w:val="center"/>
              <w:rPr>
                <w:rFonts w:hint="default" w:ascii="宋体" w:hAnsi="Times New Roman" w:eastAsia="宋体" w:cs="Lucida Sans"/>
                <w:sz w:val="18"/>
                <w:szCs w:val="32"/>
              </w:rPr>
            </w:pPr>
            <w:r>
              <w:rPr>
                <w:rFonts w:hint="default" w:ascii="宋体" w:hAnsi="Times New Roman" w:eastAsia="宋体" w:cs="Lucida Sans"/>
                <w:sz w:val="18"/>
                <w:szCs w:val="32"/>
              </w:rPr>
              <w:t>指标2：完成时间</w:t>
            </w:r>
          </w:p>
        </w:tc>
        <w:tc>
          <w:tcPr>
            <w:tcW w:w="739" w:type="dxa"/>
            <w:shd w:val="solid" w:color="E2EFD9" w:fill="auto"/>
            <w:vAlign w:val="center"/>
          </w:tcPr>
          <w:p w14:paraId="0141F6FD">
            <w:pPr>
              <w:keepNext w:val="0"/>
              <w:keepLines w:val="0"/>
              <w:suppressLineNumbers w:val="0"/>
              <w:spacing w:before="0" w:beforeAutospacing="0" w:after="0" w:afterAutospacing="0"/>
              <w:ind w:left="0" w:right="0"/>
              <w:jc w:val="center"/>
              <w:rPr>
                <w:rFonts w:hint="default" w:ascii="宋体" w:hAnsi="Times New Roman" w:eastAsia="宋体" w:cs="Lucida Sans"/>
                <w:sz w:val="18"/>
                <w:szCs w:val="32"/>
              </w:rPr>
            </w:pPr>
            <w:r>
              <w:rPr>
                <w:rFonts w:hint="default" w:ascii="宋体" w:hAnsi="Times New Roman" w:eastAsia="宋体" w:cs="Lucida Sans"/>
                <w:sz w:val="18"/>
                <w:szCs w:val="32"/>
              </w:rPr>
              <w:t>≤</w:t>
            </w:r>
          </w:p>
        </w:tc>
        <w:tc>
          <w:tcPr>
            <w:tcW w:w="971" w:type="dxa"/>
            <w:vAlign w:val="center"/>
          </w:tcPr>
          <w:p w14:paraId="16E741FA">
            <w:pPr>
              <w:keepNext w:val="0"/>
              <w:keepLines w:val="0"/>
              <w:suppressLineNumbers w:val="0"/>
              <w:spacing w:before="0" w:beforeAutospacing="0" w:after="0" w:afterAutospacing="0"/>
              <w:ind w:left="0" w:right="0"/>
              <w:jc w:val="center"/>
              <w:rPr>
                <w:rFonts w:hint="default" w:ascii="宋体" w:hAnsi="Times New Roman" w:eastAsia="宋体" w:cs="Lucida Sans"/>
                <w:sz w:val="18"/>
                <w:szCs w:val="32"/>
              </w:rPr>
            </w:pPr>
            <w:r>
              <w:rPr>
                <w:rFonts w:hint="default" w:ascii="宋体" w:hAnsi="Times New Roman" w:eastAsia="宋体" w:cs="Lucida Sans"/>
                <w:sz w:val="18"/>
                <w:szCs w:val="32"/>
              </w:rPr>
              <w:t>9</w:t>
            </w:r>
          </w:p>
        </w:tc>
        <w:tc>
          <w:tcPr>
            <w:tcW w:w="1061" w:type="dxa"/>
            <w:shd w:val="solid" w:color="E2EFD9" w:fill="auto"/>
            <w:vAlign w:val="center"/>
          </w:tcPr>
          <w:p w14:paraId="7B09B262">
            <w:pPr>
              <w:keepNext w:val="0"/>
              <w:keepLines w:val="0"/>
              <w:suppressLineNumbers w:val="0"/>
              <w:spacing w:before="0" w:beforeAutospacing="0" w:after="0" w:afterAutospacing="0"/>
              <w:ind w:left="0" w:right="0"/>
              <w:jc w:val="center"/>
              <w:rPr>
                <w:rFonts w:hint="default" w:ascii="宋体" w:hAnsi="Times New Roman" w:eastAsia="宋体" w:cs="Lucida Sans"/>
                <w:sz w:val="18"/>
                <w:szCs w:val="32"/>
              </w:rPr>
            </w:pPr>
            <w:r>
              <w:rPr>
                <w:rFonts w:hint="default" w:ascii="宋体" w:hAnsi="Times New Roman" w:eastAsia="宋体" w:cs="Lucida Sans"/>
                <w:sz w:val="18"/>
                <w:szCs w:val="32"/>
              </w:rPr>
              <w:t>月</w:t>
            </w:r>
          </w:p>
        </w:tc>
        <w:tc>
          <w:tcPr>
            <w:tcW w:w="938" w:type="dxa"/>
            <w:vAlign w:val="center"/>
          </w:tcPr>
          <w:p w14:paraId="4A10A6BD">
            <w:pPr>
              <w:keepNext w:val="0"/>
              <w:keepLines w:val="0"/>
              <w:suppressLineNumbers w:val="0"/>
              <w:spacing w:before="0" w:beforeAutospacing="0" w:after="0" w:afterAutospacing="0"/>
              <w:ind w:left="0" w:right="0"/>
              <w:jc w:val="center"/>
              <w:rPr>
                <w:rFonts w:hint="default" w:ascii="微软雅黑" w:hAnsi="Times New Roman" w:eastAsia="微软雅黑" w:cs="Lucida Sans"/>
                <w:i/>
                <w:sz w:val="16"/>
                <w:szCs w:val="32"/>
              </w:rPr>
            </w:pPr>
            <w:r>
              <w:rPr>
                <w:rFonts w:hint="default" w:ascii="微软雅黑" w:hAnsi="Times New Roman" w:eastAsia="微软雅黑" w:cs="Lucida Sans"/>
                <w:i/>
                <w:sz w:val="16"/>
                <w:szCs w:val="32"/>
              </w:rPr>
              <w:t>8</w:t>
            </w:r>
          </w:p>
        </w:tc>
        <w:tc>
          <w:tcPr>
            <w:tcW w:w="1841" w:type="dxa"/>
            <w:shd w:val="solid" w:color="E2EFD9" w:fill="auto"/>
            <w:vAlign w:val="center"/>
          </w:tcPr>
          <w:p w14:paraId="705C54FB">
            <w:pPr>
              <w:keepNext w:val="0"/>
              <w:keepLines w:val="0"/>
              <w:suppressLineNumbers w:val="0"/>
              <w:spacing w:before="0" w:beforeAutospacing="0" w:after="0" w:afterAutospacing="0"/>
              <w:ind w:left="0" w:right="0"/>
              <w:jc w:val="center"/>
              <w:rPr>
                <w:rFonts w:hint="default" w:ascii="宋体" w:hAnsi="Times New Roman" w:eastAsia="宋体" w:cs="Lucida Sans"/>
                <w:sz w:val="18"/>
                <w:szCs w:val="32"/>
              </w:rPr>
            </w:pPr>
            <w:r>
              <w:rPr>
                <w:rFonts w:hint="default" w:ascii="宋体" w:hAnsi="Times New Roman" w:eastAsia="宋体" w:cs="Lucida Sans"/>
                <w:sz w:val="18"/>
                <w:szCs w:val="32"/>
              </w:rPr>
              <w:t>5</w:t>
            </w:r>
          </w:p>
        </w:tc>
      </w:tr>
      <w:tr w14:paraId="6406EE5A">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23" w:hRule="atLeast"/>
          <w:jc w:val="center"/>
        </w:trPr>
        <w:tc>
          <w:tcPr>
            <w:tcW w:w="652" w:type="dxa"/>
            <w:vMerge w:val="continue"/>
            <w:shd w:val="solid" w:color="E2EFD9" w:fill="auto"/>
            <w:vAlign w:val="center"/>
          </w:tcPr>
          <w:p w14:paraId="4DCD182A">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081" w:type="dxa"/>
            <w:vMerge w:val="continue"/>
            <w:shd w:val="solid" w:color="E2EFD9" w:fill="auto"/>
            <w:vAlign w:val="center"/>
          </w:tcPr>
          <w:p w14:paraId="0CC3EF22">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250" w:type="dxa"/>
            <w:vMerge w:val="continue"/>
            <w:shd w:val="solid" w:color="E2EFD9" w:fill="auto"/>
            <w:vAlign w:val="center"/>
          </w:tcPr>
          <w:p w14:paraId="7572BCC3">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700" w:type="dxa"/>
            <w:shd w:val="solid" w:color="E2EFD9" w:fill="auto"/>
            <w:vAlign w:val="center"/>
          </w:tcPr>
          <w:p w14:paraId="2D4CF4CA">
            <w:pPr>
              <w:keepNext w:val="0"/>
              <w:keepLines w:val="0"/>
              <w:suppressLineNumbers w:val="0"/>
              <w:spacing w:before="0" w:beforeAutospacing="0" w:after="0" w:afterAutospacing="0" w:line="300" w:lineRule="exact"/>
              <w:ind w:left="0" w:right="0"/>
              <w:jc w:val="center"/>
              <w:rPr>
                <w:rFonts w:hint="default" w:ascii="宋体" w:hAnsi="Times New Roman" w:eastAsia="宋体" w:cs="宋体"/>
                <w:sz w:val="24"/>
                <w:szCs w:val="24"/>
              </w:rPr>
            </w:pPr>
          </w:p>
        </w:tc>
        <w:tc>
          <w:tcPr>
            <w:tcW w:w="739" w:type="dxa"/>
            <w:shd w:val="solid" w:color="E2EFD9" w:fill="auto"/>
            <w:vAlign w:val="center"/>
          </w:tcPr>
          <w:p w14:paraId="505A6F28">
            <w:pPr>
              <w:keepNext w:val="0"/>
              <w:keepLines w:val="0"/>
              <w:suppressLineNumbers w:val="0"/>
              <w:spacing w:before="0" w:beforeAutospacing="0" w:after="0" w:afterAutospacing="0" w:line="300" w:lineRule="exact"/>
              <w:ind w:left="0" w:right="0"/>
              <w:jc w:val="center"/>
              <w:rPr>
                <w:rFonts w:hint="default" w:ascii="宋体" w:hAnsi="Times New Roman" w:eastAsia="宋体" w:cs="宋体"/>
                <w:sz w:val="24"/>
                <w:szCs w:val="24"/>
              </w:rPr>
            </w:pPr>
          </w:p>
        </w:tc>
        <w:tc>
          <w:tcPr>
            <w:tcW w:w="971" w:type="dxa"/>
            <w:shd w:val="solid" w:color="E2EFD9" w:fill="auto"/>
            <w:vAlign w:val="center"/>
          </w:tcPr>
          <w:p w14:paraId="6C5C253B">
            <w:pPr>
              <w:keepNext w:val="0"/>
              <w:keepLines w:val="0"/>
              <w:suppressLineNumbers w:val="0"/>
              <w:spacing w:before="0" w:beforeAutospacing="0" w:after="0" w:afterAutospacing="0" w:line="300" w:lineRule="exact"/>
              <w:ind w:left="0" w:right="0"/>
              <w:jc w:val="center"/>
              <w:rPr>
                <w:rFonts w:hint="default" w:ascii="宋体" w:hAnsi="Times New Roman" w:eastAsia="宋体" w:cs="宋体"/>
                <w:sz w:val="24"/>
                <w:szCs w:val="24"/>
              </w:rPr>
            </w:pPr>
          </w:p>
        </w:tc>
        <w:tc>
          <w:tcPr>
            <w:tcW w:w="1061" w:type="dxa"/>
            <w:shd w:val="solid" w:color="E2EFD9" w:fill="auto"/>
            <w:vAlign w:val="center"/>
          </w:tcPr>
          <w:p w14:paraId="16D96DB5">
            <w:pPr>
              <w:keepNext w:val="0"/>
              <w:keepLines w:val="0"/>
              <w:suppressLineNumbers w:val="0"/>
              <w:spacing w:before="0" w:beforeAutospacing="0" w:after="0" w:afterAutospacing="0" w:line="300" w:lineRule="exact"/>
              <w:ind w:left="0" w:right="0"/>
              <w:jc w:val="center"/>
              <w:rPr>
                <w:rFonts w:hint="default" w:ascii="宋体" w:hAnsi="Times New Roman" w:eastAsia="宋体" w:cs="宋体"/>
                <w:sz w:val="24"/>
                <w:szCs w:val="24"/>
              </w:rPr>
            </w:pPr>
          </w:p>
        </w:tc>
        <w:tc>
          <w:tcPr>
            <w:tcW w:w="938" w:type="dxa"/>
            <w:shd w:val="solid" w:color="E2EFD9" w:fill="auto"/>
            <w:vAlign w:val="center"/>
          </w:tcPr>
          <w:p w14:paraId="00D86990">
            <w:pPr>
              <w:keepNext w:val="0"/>
              <w:keepLines w:val="0"/>
              <w:suppressLineNumbers w:val="0"/>
              <w:spacing w:before="0" w:beforeAutospacing="0" w:after="0" w:afterAutospacing="0" w:line="300" w:lineRule="exact"/>
              <w:ind w:left="0" w:right="0"/>
              <w:jc w:val="center"/>
              <w:rPr>
                <w:rFonts w:hint="default" w:ascii="宋体" w:hAnsi="Times New Roman" w:eastAsia="宋体" w:cs="宋体"/>
                <w:sz w:val="24"/>
                <w:szCs w:val="24"/>
              </w:rPr>
            </w:pPr>
          </w:p>
        </w:tc>
        <w:tc>
          <w:tcPr>
            <w:tcW w:w="1841" w:type="dxa"/>
            <w:shd w:val="solid" w:color="E2EFD9" w:fill="auto"/>
            <w:vAlign w:val="center"/>
          </w:tcPr>
          <w:p w14:paraId="6674E557">
            <w:pPr>
              <w:keepNext w:val="0"/>
              <w:keepLines w:val="0"/>
              <w:suppressLineNumbers w:val="0"/>
              <w:spacing w:before="0" w:beforeAutospacing="0" w:after="0" w:afterAutospacing="0" w:line="300" w:lineRule="exact"/>
              <w:ind w:left="0" w:right="0"/>
              <w:jc w:val="center"/>
              <w:rPr>
                <w:rFonts w:hint="default" w:ascii="宋体" w:hAnsi="Times New Roman" w:eastAsia="宋体" w:cs="宋体"/>
                <w:sz w:val="24"/>
                <w:szCs w:val="24"/>
              </w:rPr>
            </w:pPr>
          </w:p>
        </w:tc>
      </w:tr>
      <w:tr w14:paraId="13EEF3F9">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23" w:hRule="atLeast"/>
          <w:jc w:val="center"/>
        </w:trPr>
        <w:tc>
          <w:tcPr>
            <w:tcW w:w="652" w:type="dxa"/>
            <w:vMerge w:val="continue"/>
            <w:shd w:val="solid" w:color="E2EFD9" w:fill="auto"/>
            <w:vAlign w:val="center"/>
          </w:tcPr>
          <w:p w14:paraId="7CE8FD4B">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081" w:type="dxa"/>
            <w:vMerge w:val="continue"/>
            <w:vAlign w:val="center"/>
          </w:tcPr>
          <w:p w14:paraId="228A6A65">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250" w:type="dxa"/>
            <w:shd w:val="solid" w:color="E2EFD9" w:fill="auto"/>
            <w:vAlign w:val="center"/>
          </w:tcPr>
          <w:p w14:paraId="29C663EC">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sz w:val="24"/>
                <w:szCs w:val="24"/>
              </w:rPr>
            </w:pPr>
            <w:r>
              <w:rPr>
                <w:rFonts w:hint="eastAsia" w:ascii="宋体" w:hAnsi="Times New Roman" w:eastAsia="宋体" w:cs="宋体"/>
                <w:kern w:val="0"/>
                <w:sz w:val="24"/>
                <w:szCs w:val="24"/>
              </w:rPr>
              <w:t>......</w:t>
            </w:r>
          </w:p>
        </w:tc>
        <w:tc>
          <w:tcPr>
            <w:tcW w:w="1700" w:type="dxa"/>
            <w:vAlign w:val="center"/>
          </w:tcPr>
          <w:p w14:paraId="0A8081B4">
            <w:pPr>
              <w:keepNext w:val="0"/>
              <w:keepLines w:val="0"/>
              <w:suppressLineNumbers w:val="0"/>
              <w:spacing w:before="0" w:beforeAutospacing="0" w:after="0" w:afterAutospacing="0" w:line="300" w:lineRule="exact"/>
              <w:ind w:left="0" w:right="0"/>
              <w:jc w:val="center"/>
              <w:rPr>
                <w:rFonts w:hint="default" w:ascii="宋体" w:hAnsi="Times New Roman" w:eastAsia="宋体" w:cs="宋体"/>
                <w:sz w:val="24"/>
                <w:szCs w:val="24"/>
              </w:rPr>
            </w:pPr>
          </w:p>
        </w:tc>
        <w:tc>
          <w:tcPr>
            <w:tcW w:w="739" w:type="dxa"/>
            <w:shd w:val="solid" w:color="E2EFD9" w:fill="auto"/>
            <w:vAlign w:val="center"/>
          </w:tcPr>
          <w:p w14:paraId="6C446B0F">
            <w:pPr>
              <w:keepNext w:val="0"/>
              <w:keepLines w:val="0"/>
              <w:suppressLineNumbers w:val="0"/>
              <w:spacing w:before="0" w:beforeAutospacing="0" w:after="0" w:afterAutospacing="0" w:line="300" w:lineRule="exact"/>
              <w:ind w:left="0" w:right="0"/>
              <w:jc w:val="center"/>
              <w:rPr>
                <w:rFonts w:hint="default" w:ascii="宋体" w:hAnsi="Times New Roman" w:eastAsia="宋体" w:cs="宋体"/>
                <w:sz w:val="24"/>
                <w:szCs w:val="24"/>
              </w:rPr>
            </w:pPr>
          </w:p>
        </w:tc>
        <w:tc>
          <w:tcPr>
            <w:tcW w:w="971" w:type="dxa"/>
            <w:vAlign w:val="center"/>
          </w:tcPr>
          <w:p w14:paraId="3705F74F">
            <w:pPr>
              <w:keepNext w:val="0"/>
              <w:keepLines w:val="0"/>
              <w:suppressLineNumbers w:val="0"/>
              <w:spacing w:before="0" w:beforeAutospacing="0" w:after="0" w:afterAutospacing="0" w:line="300" w:lineRule="exact"/>
              <w:ind w:left="0" w:right="0"/>
              <w:jc w:val="center"/>
              <w:rPr>
                <w:rFonts w:hint="default" w:ascii="宋体" w:hAnsi="Times New Roman" w:eastAsia="宋体" w:cs="宋体"/>
                <w:sz w:val="24"/>
                <w:szCs w:val="24"/>
              </w:rPr>
            </w:pPr>
          </w:p>
        </w:tc>
        <w:tc>
          <w:tcPr>
            <w:tcW w:w="1061" w:type="dxa"/>
            <w:shd w:val="solid" w:color="E2EFD9" w:fill="auto"/>
            <w:vAlign w:val="center"/>
          </w:tcPr>
          <w:p w14:paraId="3633DA43">
            <w:pPr>
              <w:keepNext w:val="0"/>
              <w:keepLines w:val="0"/>
              <w:suppressLineNumbers w:val="0"/>
              <w:spacing w:before="0" w:beforeAutospacing="0" w:after="0" w:afterAutospacing="0" w:line="300" w:lineRule="exact"/>
              <w:ind w:left="0" w:right="0"/>
              <w:jc w:val="center"/>
              <w:rPr>
                <w:rFonts w:hint="default" w:ascii="宋体" w:hAnsi="Times New Roman" w:eastAsia="宋体" w:cs="宋体"/>
                <w:sz w:val="24"/>
                <w:szCs w:val="24"/>
              </w:rPr>
            </w:pPr>
          </w:p>
        </w:tc>
        <w:tc>
          <w:tcPr>
            <w:tcW w:w="938" w:type="dxa"/>
            <w:vAlign w:val="center"/>
          </w:tcPr>
          <w:p w14:paraId="02798B63">
            <w:pPr>
              <w:keepNext w:val="0"/>
              <w:keepLines w:val="0"/>
              <w:suppressLineNumbers w:val="0"/>
              <w:spacing w:before="0" w:beforeAutospacing="0" w:after="0" w:afterAutospacing="0" w:line="300" w:lineRule="exact"/>
              <w:ind w:left="0" w:right="0"/>
              <w:jc w:val="center"/>
              <w:rPr>
                <w:rFonts w:hint="default" w:ascii="宋体" w:hAnsi="Times New Roman" w:eastAsia="宋体" w:cs="宋体"/>
                <w:sz w:val="24"/>
                <w:szCs w:val="24"/>
              </w:rPr>
            </w:pPr>
          </w:p>
        </w:tc>
        <w:tc>
          <w:tcPr>
            <w:tcW w:w="1841" w:type="dxa"/>
            <w:shd w:val="solid" w:color="E2EFD9" w:fill="auto"/>
            <w:vAlign w:val="center"/>
          </w:tcPr>
          <w:p w14:paraId="2B2B7D03">
            <w:pPr>
              <w:keepNext w:val="0"/>
              <w:keepLines w:val="0"/>
              <w:suppressLineNumbers w:val="0"/>
              <w:spacing w:before="0" w:beforeAutospacing="0" w:after="0" w:afterAutospacing="0" w:line="300" w:lineRule="exact"/>
              <w:ind w:left="0" w:right="0"/>
              <w:jc w:val="center"/>
              <w:rPr>
                <w:rFonts w:hint="default" w:ascii="宋体" w:hAnsi="Times New Roman" w:eastAsia="宋体" w:cs="宋体"/>
                <w:sz w:val="24"/>
                <w:szCs w:val="24"/>
              </w:rPr>
            </w:pPr>
          </w:p>
        </w:tc>
      </w:tr>
      <w:tr w14:paraId="46F77542">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23" w:hRule="atLeast"/>
          <w:jc w:val="center"/>
        </w:trPr>
        <w:tc>
          <w:tcPr>
            <w:tcW w:w="652" w:type="dxa"/>
            <w:vMerge w:val="continue"/>
            <w:shd w:val="solid" w:color="E2EFD9" w:fill="auto"/>
            <w:vAlign w:val="center"/>
          </w:tcPr>
          <w:p w14:paraId="30BC0188">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081" w:type="dxa"/>
            <w:vMerge w:val="restart"/>
            <w:tcBorders>
              <w:bottom w:val="single" w:color="000000" w:sz="4" w:space="0"/>
            </w:tcBorders>
            <w:shd w:val="solid" w:color="E2EFD9" w:fill="auto"/>
            <w:vAlign w:val="center"/>
          </w:tcPr>
          <w:p w14:paraId="04CFB8D0">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sz w:val="24"/>
                <w:szCs w:val="24"/>
              </w:rPr>
            </w:pPr>
            <w:r>
              <w:rPr>
                <w:rFonts w:hint="default" w:ascii="宋体" w:hAnsi="Times New Roman" w:eastAsia="宋体" w:cs="宋体"/>
                <w:kern w:val="0"/>
                <w:sz w:val="24"/>
                <w:szCs w:val="24"/>
              </w:rPr>
              <w:t>效益指标</w:t>
            </w:r>
          </w:p>
        </w:tc>
        <w:tc>
          <w:tcPr>
            <w:tcW w:w="1250" w:type="dxa"/>
            <w:vMerge w:val="restart"/>
            <w:tcBorders>
              <w:bottom w:val="single" w:color="000000" w:sz="4" w:space="0"/>
            </w:tcBorders>
            <w:shd w:val="solid" w:color="E2EFD9" w:fill="auto"/>
            <w:vAlign w:val="center"/>
          </w:tcPr>
          <w:p w14:paraId="4554B993">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kern w:val="0"/>
                <w:sz w:val="24"/>
                <w:szCs w:val="24"/>
              </w:rPr>
            </w:pPr>
            <w:r>
              <w:rPr>
                <w:rFonts w:hint="default" w:ascii="宋体" w:hAnsi="Times New Roman" w:eastAsia="宋体" w:cs="宋体"/>
                <w:kern w:val="0"/>
                <w:sz w:val="24"/>
                <w:szCs w:val="24"/>
              </w:rPr>
              <w:t>经济效益</w:t>
            </w:r>
          </w:p>
          <w:p w14:paraId="24169C23">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sz w:val="24"/>
                <w:szCs w:val="24"/>
              </w:rPr>
            </w:pPr>
            <w:r>
              <w:rPr>
                <w:rFonts w:hint="default" w:ascii="宋体" w:hAnsi="Times New Roman" w:eastAsia="宋体" w:cs="宋体"/>
                <w:kern w:val="0"/>
                <w:sz w:val="24"/>
                <w:szCs w:val="24"/>
              </w:rPr>
              <w:t>指标</w:t>
            </w:r>
          </w:p>
        </w:tc>
        <w:tc>
          <w:tcPr>
            <w:tcW w:w="1700" w:type="dxa"/>
            <w:shd w:val="solid" w:color="E2EFD9" w:fill="auto"/>
            <w:vAlign w:val="center"/>
          </w:tcPr>
          <w:p w14:paraId="5F8D237E">
            <w:pPr>
              <w:keepNext w:val="0"/>
              <w:keepLines w:val="0"/>
              <w:suppressLineNumbers w:val="0"/>
              <w:spacing w:before="0" w:beforeAutospacing="0" w:after="0" w:afterAutospacing="0" w:line="300" w:lineRule="exact"/>
              <w:ind w:left="0" w:right="0"/>
              <w:jc w:val="center"/>
              <w:rPr>
                <w:rFonts w:hint="default" w:ascii="宋体" w:hAnsi="Times New Roman" w:eastAsia="宋体" w:cs="宋体"/>
                <w:sz w:val="24"/>
                <w:szCs w:val="24"/>
              </w:rPr>
            </w:pPr>
          </w:p>
        </w:tc>
        <w:tc>
          <w:tcPr>
            <w:tcW w:w="739" w:type="dxa"/>
            <w:shd w:val="solid" w:color="E2EFD9" w:fill="auto"/>
            <w:vAlign w:val="center"/>
          </w:tcPr>
          <w:p w14:paraId="06DD4ED6">
            <w:pPr>
              <w:keepNext w:val="0"/>
              <w:keepLines w:val="0"/>
              <w:suppressLineNumbers w:val="0"/>
              <w:spacing w:before="0" w:beforeAutospacing="0" w:after="0" w:afterAutospacing="0" w:line="300" w:lineRule="exact"/>
              <w:ind w:left="0" w:right="0"/>
              <w:jc w:val="center"/>
              <w:rPr>
                <w:rFonts w:hint="default" w:ascii="宋体" w:hAnsi="Times New Roman" w:eastAsia="宋体" w:cs="宋体"/>
                <w:sz w:val="24"/>
                <w:szCs w:val="24"/>
              </w:rPr>
            </w:pPr>
          </w:p>
        </w:tc>
        <w:tc>
          <w:tcPr>
            <w:tcW w:w="971" w:type="dxa"/>
            <w:shd w:val="solid" w:color="E2EFD9" w:fill="auto"/>
            <w:vAlign w:val="center"/>
          </w:tcPr>
          <w:p w14:paraId="77587528">
            <w:pPr>
              <w:keepNext w:val="0"/>
              <w:keepLines w:val="0"/>
              <w:suppressLineNumbers w:val="0"/>
              <w:spacing w:before="0" w:beforeAutospacing="0" w:after="0" w:afterAutospacing="0" w:line="300" w:lineRule="exact"/>
              <w:ind w:left="0" w:right="0"/>
              <w:jc w:val="center"/>
              <w:rPr>
                <w:rFonts w:hint="default" w:ascii="宋体" w:hAnsi="Times New Roman" w:eastAsia="宋体" w:cs="宋体"/>
                <w:sz w:val="24"/>
                <w:szCs w:val="24"/>
              </w:rPr>
            </w:pPr>
          </w:p>
        </w:tc>
        <w:tc>
          <w:tcPr>
            <w:tcW w:w="1061" w:type="dxa"/>
            <w:shd w:val="solid" w:color="E2EFD9" w:fill="auto"/>
            <w:vAlign w:val="center"/>
          </w:tcPr>
          <w:p w14:paraId="695374CC">
            <w:pPr>
              <w:keepNext w:val="0"/>
              <w:keepLines w:val="0"/>
              <w:suppressLineNumbers w:val="0"/>
              <w:spacing w:before="0" w:beforeAutospacing="0" w:after="0" w:afterAutospacing="0" w:line="300" w:lineRule="exact"/>
              <w:ind w:left="0" w:right="0"/>
              <w:jc w:val="center"/>
              <w:rPr>
                <w:rFonts w:hint="default" w:ascii="宋体" w:hAnsi="Times New Roman" w:eastAsia="宋体" w:cs="宋体"/>
                <w:sz w:val="24"/>
                <w:szCs w:val="24"/>
              </w:rPr>
            </w:pPr>
          </w:p>
        </w:tc>
        <w:tc>
          <w:tcPr>
            <w:tcW w:w="938" w:type="dxa"/>
            <w:shd w:val="solid" w:color="E2EFD9" w:fill="auto"/>
            <w:vAlign w:val="center"/>
          </w:tcPr>
          <w:p w14:paraId="0DE95620">
            <w:pPr>
              <w:keepNext w:val="0"/>
              <w:keepLines w:val="0"/>
              <w:suppressLineNumbers w:val="0"/>
              <w:spacing w:before="0" w:beforeAutospacing="0" w:after="0" w:afterAutospacing="0" w:line="300" w:lineRule="exact"/>
              <w:ind w:left="0" w:right="0"/>
              <w:jc w:val="center"/>
              <w:rPr>
                <w:rFonts w:hint="default" w:ascii="宋体" w:hAnsi="Times New Roman" w:eastAsia="宋体" w:cs="宋体"/>
                <w:sz w:val="24"/>
                <w:szCs w:val="24"/>
              </w:rPr>
            </w:pPr>
          </w:p>
        </w:tc>
        <w:tc>
          <w:tcPr>
            <w:tcW w:w="1841" w:type="dxa"/>
            <w:shd w:val="solid" w:color="E2EFD9" w:fill="auto"/>
            <w:vAlign w:val="center"/>
          </w:tcPr>
          <w:p w14:paraId="204A5274">
            <w:pPr>
              <w:keepNext w:val="0"/>
              <w:keepLines w:val="0"/>
              <w:suppressLineNumbers w:val="0"/>
              <w:spacing w:before="0" w:beforeAutospacing="0" w:after="0" w:afterAutospacing="0" w:line="300" w:lineRule="exact"/>
              <w:ind w:left="0" w:right="0"/>
              <w:jc w:val="center"/>
              <w:rPr>
                <w:rFonts w:hint="default" w:ascii="宋体" w:hAnsi="Times New Roman" w:eastAsia="宋体" w:cs="宋体"/>
                <w:sz w:val="24"/>
                <w:szCs w:val="24"/>
              </w:rPr>
            </w:pPr>
          </w:p>
        </w:tc>
      </w:tr>
      <w:tr w14:paraId="024E1F21">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23" w:hRule="atLeast"/>
          <w:jc w:val="center"/>
        </w:trPr>
        <w:tc>
          <w:tcPr>
            <w:tcW w:w="652" w:type="dxa"/>
            <w:vMerge w:val="continue"/>
            <w:shd w:val="solid" w:color="E2EFD9" w:fill="auto"/>
            <w:vAlign w:val="center"/>
          </w:tcPr>
          <w:p w14:paraId="73DD78C0">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081" w:type="dxa"/>
            <w:vMerge w:val="continue"/>
            <w:vAlign w:val="center"/>
          </w:tcPr>
          <w:p w14:paraId="77A595F3">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250" w:type="dxa"/>
            <w:vMerge w:val="continue"/>
            <w:shd w:val="solid" w:color="E2EFD9" w:fill="auto"/>
            <w:vAlign w:val="center"/>
          </w:tcPr>
          <w:p w14:paraId="4832676D">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700" w:type="dxa"/>
            <w:vAlign w:val="center"/>
          </w:tcPr>
          <w:p w14:paraId="23F9D533">
            <w:pPr>
              <w:keepNext w:val="0"/>
              <w:keepLines w:val="0"/>
              <w:suppressLineNumbers w:val="0"/>
              <w:spacing w:before="0" w:beforeAutospacing="0" w:after="0" w:afterAutospacing="0" w:line="300" w:lineRule="exact"/>
              <w:ind w:left="0" w:right="0"/>
              <w:jc w:val="center"/>
              <w:rPr>
                <w:rFonts w:hint="default" w:ascii="宋体" w:hAnsi="Times New Roman" w:eastAsia="宋体" w:cs="宋体"/>
                <w:sz w:val="24"/>
                <w:szCs w:val="24"/>
              </w:rPr>
            </w:pPr>
          </w:p>
        </w:tc>
        <w:tc>
          <w:tcPr>
            <w:tcW w:w="739" w:type="dxa"/>
            <w:shd w:val="solid" w:color="E2EFD9" w:fill="auto"/>
            <w:vAlign w:val="center"/>
          </w:tcPr>
          <w:p w14:paraId="4B2DA02E">
            <w:pPr>
              <w:keepNext w:val="0"/>
              <w:keepLines w:val="0"/>
              <w:suppressLineNumbers w:val="0"/>
              <w:spacing w:before="0" w:beforeAutospacing="0" w:after="0" w:afterAutospacing="0" w:line="300" w:lineRule="exact"/>
              <w:ind w:left="0" w:right="0"/>
              <w:jc w:val="center"/>
              <w:rPr>
                <w:rFonts w:hint="default" w:ascii="宋体" w:hAnsi="Times New Roman" w:eastAsia="宋体" w:cs="宋体"/>
                <w:sz w:val="24"/>
                <w:szCs w:val="24"/>
              </w:rPr>
            </w:pPr>
          </w:p>
        </w:tc>
        <w:tc>
          <w:tcPr>
            <w:tcW w:w="971" w:type="dxa"/>
            <w:vAlign w:val="center"/>
          </w:tcPr>
          <w:p w14:paraId="4BB40B43">
            <w:pPr>
              <w:keepNext w:val="0"/>
              <w:keepLines w:val="0"/>
              <w:suppressLineNumbers w:val="0"/>
              <w:spacing w:before="0" w:beforeAutospacing="0" w:after="0" w:afterAutospacing="0" w:line="300" w:lineRule="exact"/>
              <w:ind w:left="0" w:right="0"/>
              <w:jc w:val="center"/>
              <w:rPr>
                <w:rFonts w:hint="default" w:ascii="宋体" w:hAnsi="Times New Roman" w:eastAsia="宋体" w:cs="宋体"/>
                <w:sz w:val="24"/>
                <w:szCs w:val="24"/>
              </w:rPr>
            </w:pPr>
          </w:p>
        </w:tc>
        <w:tc>
          <w:tcPr>
            <w:tcW w:w="1061" w:type="dxa"/>
            <w:shd w:val="solid" w:color="E2EFD9" w:fill="auto"/>
            <w:vAlign w:val="center"/>
          </w:tcPr>
          <w:p w14:paraId="27A09DAA">
            <w:pPr>
              <w:keepNext w:val="0"/>
              <w:keepLines w:val="0"/>
              <w:suppressLineNumbers w:val="0"/>
              <w:spacing w:before="0" w:beforeAutospacing="0" w:after="0" w:afterAutospacing="0" w:line="300" w:lineRule="exact"/>
              <w:ind w:left="0" w:right="0"/>
              <w:jc w:val="center"/>
              <w:rPr>
                <w:rFonts w:hint="default" w:ascii="宋体" w:hAnsi="Times New Roman" w:eastAsia="宋体" w:cs="宋体"/>
                <w:sz w:val="24"/>
                <w:szCs w:val="24"/>
              </w:rPr>
            </w:pPr>
          </w:p>
        </w:tc>
        <w:tc>
          <w:tcPr>
            <w:tcW w:w="938" w:type="dxa"/>
            <w:vAlign w:val="center"/>
          </w:tcPr>
          <w:p w14:paraId="5782E00F">
            <w:pPr>
              <w:keepNext w:val="0"/>
              <w:keepLines w:val="0"/>
              <w:suppressLineNumbers w:val="0"/>
              <w:spacing w:before="0" w:beforeAutospacing="0" w:after="0" w:afterAutospacing="0" w:line="300" w:lineRule="exact"/>
              <w:ind w:left="0" w:right="0"/>
              <w:jc w:val="center"/>
              <w:rPr>
                <w:rFonts w:hint="default" w:ascii="宋体" w:hAnsi="Times New Roman" w:eastAsia="宋体" w:cs="宋体"/>
                <w:sz w:val="24"/>
                <w:szCs w:val="24"/>
              </w:rPr>
            </w:pPr>
          </w:p>
        </w:tc>
        <w:tc>
          <w:tcPr>
            <w:tcW w:w="1841" w:type="dxa"/>
            <w:shd w:val="solid" w:color="E2EFD9" w:fill="auto"/>
            <w:vAlign w:val="center"/>
          </w:tcPr>
          <w:p w14:paraId="28A2A590">
            <w:pPr>
              <w:keepNext w:val="0"/>
              <w:keepLines w:val="0"/>
              <w:suppressLineNumbers w:val="0"/>
              <w:spacing w:before="0" w:beforeAutospacing="0" w:after="0" w:afterAutospacing="0" w:line="300" w:lineRule="exact"/>
              <w:ind w:left="0" w:right="0"/>
              <w:jc w:val="center"/>
              <w:rPr>
                <w:rFonts w:hint="default" w:ascii="宋体" w:hAnsi="Times New Roman" w:eastAsia="宋体" w:cs="宋体"/>
                <w:sz w:val="24"/>
                <w:szCs w:val="24"/>
              </w:rPr>
            </w:pPr>
          </w:p>
        </w:tc>
      </w:tr>
      <w:tr w14:paraId="1B91BEB0">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23" w:hRule="atLeast"/>
          <w:jc w:val="center"/>
        </w:trPr>
        <w:tc>
          <w:tcPr>
            <w:tcW w:w="652" w:type="dxa"/>
            <w:vMerge w:val="continue"/>
            <w:shd w:val="solid" w:color="E2EFD9" w:fill="auto"/>
            <w:vAlign w:val="center"/>
          </w:tcPr>
          <w:p w14:paraId="5861B1B3">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081" w:type="dxa"/>
            <w:vMerge w:val="continue"/>
            <w:shd w:val="solid" w:color="E2EFD9" w:fill="auto"/>
            <w:vAlign w:val="center"/>
          </w:tcPr>
          <w:p w14:paraId="51983AC6">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250" w:type="dxa"/>
            <w:vMerge w:val="restart"/>
            <w:shd w:val="solid" w:color="E2EFD9" w:fill="auto"/>
            <w:vAlign w:val="center"/>
          </w:tcPr>
          <w:p w14:paraId="1D6E409F">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kern w:val="0"/>
                <w:sz w:val="24"/>
                <w:szCs w:val="24"/>
              </w:rPr>
            </w:pPr>
            <w:r>
              <w:rPr>
                <w:rFonts w:hint="default" w:ascii="宋体" w:hAnsi="Times New Roman" w:eastAsia="宋体" w:cs="宋体"/>
                <w:kern w:val="0"/>
                <w:sz w:val="24"/>
                <w:szCs w:val="24"/>
              </w:rPr>
              <w:t>社会效益</w:t>
            </w:r>
          </w:p>
          <w:p w14:paraId="21BB3584">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sz w:val="24"/>
                <w:szCs w:val="24"/>
              </w:rPr>
            </w:pPr>
            <w:r>
              <w:rPr>
                <w:rFonts w:hint="default" w:ascii="宋体" w:hAnsi="Times New Roman" w:eastAsia="宋体" w:cs="宋体"/>
                <w:kern w:val="0"/>
                <w:sz w:val="24"/>
                <w:szCs w:val="24"/>
              </w:rPr>
              <w:t>指标</w:t>
            </w:r>
          </w:p>
        </w:tc>
        <w:tc>
          <w:tcPr>
            <w:tcW w:w="1700" w:type="dxa"/>
            <w:shd w:val="solid" w:color="E2EFD9" w:fill="auto"/>
            <w:vAlign w:val="center"/>
          </w:tcPr>
          <w:p w14:paraId="1703EB55">
            <w:pPr>
              <w:keepNext w:val="0"/>
              <w:keepLines w:val="0"/>
              <w:suppressLineNumbers w:val="0"/>
              <w:spacing w:before="0" w:beforeAutospacing="0" w:after="0" w:afterAutospacing="0"/>
              <w:ind w:left="0" w:right="0"/>
              <w:jc w:val="center"/>
              <w:rPr>
                <w:rFonts w:hint="default" w:ascii="宋体" w:hAnsi="Times New Roman" w:eastAsia="宋体" w:cs="Lucida Sans"/>
                <w:sz w:val="18"/>
                <w:szCs w:val="32"/>
              </w:rPr>
            </w:pPr>
            <w:r>
              <w:rPr>
                <w:rFonts w:hint="default" w:ascii="宋体" w:hAnsi="Times New Roman" w:eastAsia="宋体" w:cs="Lucida Sans"/>
                <w:sz w:val="18"/>
                <w:szCs w:val="32"/>
              </w:rPr>
              <w:t>指标1：全国城市信用排名</w:t>
            </w:r>
          </w:p>
        </w:tc>
        <w:tc>
          <w:tcPr>
            <w:tcW w:w="739" w:type="dxa"/>
            <w:shd w:val="solid" w:color="E2EFD9" w:fill="auto"/>
            <w:vAlign w:val="center"/>
          </w:tcPr>
          <w:p w14:paraId="6DC6A84B">
            <w:pPr>
              <w:keepNext w:val="0"/>
              <w:keepLines w:val="0"/>
              <w:suppressLineNumbers w:val="0"/>
              <w:spacing w:before="0" w:beforeAutospacing="0" w:after="0" w:afterAutospacing="0"/>
              <w:ind w:left="0" w:right="0"/>
              <w:jc w:val="center"/>
              <w:rPr>
                <w:rFonts w:hint="default" w:ascii="宋体" w:hAnsi="Times New Roman" w:eastAsia="宋体" w:cs="Times New Roman"/>
                <w:sz w:val="18"/>
                <w:szCs w:val="32"/>
              </w:rPr>
            </w:pPr>
            <w:r>
              <w:rPr>
                <w:rFonts w:hint="default" w:ascii="宋体" w:hAnsi="Times New Roman" w:eastAsia="宋体" w:cs="Times New Roman"/>
                <w:sz w:val="18"/>
                <w:szCs w:val="32"/>
              </w:rPr>
              <w:t>≤</w:t>
            </w:r>
          </w:p>
        </w:tc>
        <w:tc>
          <w:tcPr>
            <w:tcW w:w="971" w:type="dxa"/>
            <w:shd w:val="solid" w:color="E2EFD9" w:fill="auto"/>
            <w:vAlign w:val="center"/>
          </w:tcPr>
          <w:p w14:paraId="374E9254">
            <w:pPr>
              <w:keepNext w:val="0"/>
              <w:keepLines w:val="0"/>
              <w:suppressLineNumbers w:val="0"/>
              <w:spacing w:before="0" w:beforeAutospacing="0" w:after="0" w:afterAutospacing="0"/>
              <w:ind w:left="0" w:right="0"/>
              <w:jc w:val="center"/>
              <w:rPr>
                <w:rFonts w:hint="default" w:ascii="宋体" w:hAnsi="Times New Roman" w:eastAsia="宋体" w:cs="Times New Roman"/>
                <w:sz w:val="18"/>
                <w:szCs w:val="32"/>
              </w:rPr>
            </w:pPr>
            <w:r>
              <w:rPr>
                <w:rFonts w:hint="default" w:ascii="宋体" w:hAnsi="Times New Roman" w:eastAsia="宋体" w:cs="Times New Roman"/>
                <w:sz w:val="18"/>
                <w:szCs w:val="32"/>
              </w:rPr>
              <w:t>100</w:t>
            </w:r>
          </w:p>
        </w:tc>
        <w:tc>
          <w:tcPr>
            <w:tcW w:w="1061" w:type="dxa"/>
            <w:shd w:val="solid" w:color="E2EFD9" w:fill="auto"/>
            <w:vAlign w:val="center"/>
          </w:tcPr>
          <w:p w14:paraId="339150D1">
            <w:pPr>
              <w:keepNext w:val="0"/>
              <w:keepLines w:val="0"/>
              <w:suppressLineNumbers w:val="0"/>
              <w:spacing w:before="0" w:beforeAutospacing="0" w:after="0" w:afterAutospacing="0"/>
              <w:ind w:left="0" w:right="0"/>
              <w:jc w:val="center"/>
              <w:rPr>
                <w:rFonts w:hint="default" w:ascii="宋体" w:hAnsi="Times New Roman" w:eastAsia="宋体" w:cs="Times New Roman"/>
                <w:sz w:val="18"/>
                <w:szCs w:val="32"/>
              </w:rPr>
            </w:pPr>
            <w:r>
              <w:rPr>
                <w:rFonts w:hint="default" w:ascii="宋体" w:hAnsi="Times New Roman" w:eastAsia="宋体" w:cs="Times New Roman"/>
                <w:sz w:val="18"/>
                <w:szCs w:val="32"/>
              </w:rPr>
              <w:t>名</w:t>
            </w:r>
          </w:p>
        </w:tc>
        <w:tc>
          <w:tcPr>
            <w:tcW w:w="938" w:type="dxa"/>
            <w:shd w:val="solid" w:color="E2EFD9" w:fill="auto"/>
            <w:vAlign w:val="center"/>
          </w:tcPr>
          <w:p w14:paraId="268AC525">
            <w:pPr>
              <w:keepNext w:val="0"/>
              <w:keepLines w:val="0"/>
              <w:suppressLineNumbers w:val="0"/>
              <w:spacing w:before="0" w:beforeAutospacing="0" w:after="0" w:afterAutospacing="0"/>
              <w:ind w:left="0" w:right="0"/>
              <w:jc w:val="center"/>
              <w:rPr>
                <w:rFonts w:hint="default" w:ascii="微软雅黑" w:hAnsi="Times New Roman" w:eastAsia="微软雅黑" w:cs="Times New Roman"/>
                <w:i/>
                <w:sz w:val="16"/>
                <w:szCs w:val="32"/>
              </w:rPr>
            </w:pPr>
            <w:r>
              <w:rPr>
                <w:rFonts w:hint="default" w:ascii="微软雅黑" w:hAnsi="Times New Roman" w:eastAsia="微软雅黑" w:cs="Times New Roman"/>
                <w:i/>
                <w:sz w:val="16"/>
                <w:szCs w:val="32"/>
              </w:rPr>
              <w:t>从2022年9月至2023年12月，最长连续15个月位列全省第一</w:t>
            </w:r>
          </w:p>
        </w:tc>
        <w:tc>
          <w:tcPr>
            <w:tcW w:w="1841" w:type="dxa"/>
            <w:shd w:val="solid" w:color="E2EFD9" w:fill="auto"/>
            <w:vAlign w:val="center"/>
          </w:tcPr>
          <w:p w14:paraId="2D4B582D">
            <w:pPr>
              <w:keepNext w:val="0"/>
              <w:keepLines w:val="0"/>
              <w:suppressLineNumbers w:val="0"/>
              <w:spacing w:before="0" w:beforeAutospacing="0" w:after="0" w:afterAutospacing="0"/>
              <w:ind w:left="0" w:right="0"/>
              <w:jc w:val="center"/>
              <w:rPr>
                <w:rFonts w:hint="default" w:ascii="宋体" w:hAnsi="Times New Roman" w:eastAsia="宋体" w:cs="Times New Roman"/>
                <w:sz w:val="18"/>
                <w:szCs w:val="32"/>
              </w:rPr>
            </w:pPr>
            <w:r>
              <w:rPr>
                <w:rFonts w:hint="default" w:ascii="宋体" w:hAnsi="Times New Roman" w:eastAsia="宋体" w:cs="Times New Roman"/>
                <w:sz w:val="18"/>
                <w:szCs w:val="32"/>
              </w:rPr>
              <w:t>10</w:t>
            </w:r>
          </w:p>
        </w:tc>
      </w:tr>
      <w:tr w14:paraId="126626D3">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23" w:hRule="atLeast"/>
          <w:jc w:val="center"/>
        </w:trPr>
        <w:tc>
          <w:tcPr>
            <w:tcW w:w="652" w:type="dxa"/>
            <w:vMerge w:val="continue"/>
            <w:shd w:val="solid" w:color="E2EFD9" w:fill="auto"/>
            <w:vAlign w:val="center"/>
          </w:tcPr>
          <w:p w14:paraId="0769B649">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081" w:type="dxa"/>
            <w:vMerge w:val="continue"/>
            <w:vAlign w:val="center"/>
          </w:tcPr>
          <w:p w14:paraId="0E511D8B">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250" w:type="dxa"/>
            <w:vMerge w:val="continue"/>
            <w:shd w:val="solid" w:color="E2EFD9" w:fill="auto"/>
            <w:vAlign w:val="center"/>
          </w:tcPr>
          <w:p w14:paraId="0185AB92">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700" w:type="dxa"/>
            <w:vAlign w:val="center"/>
          </w:tcPr>
          <w:p w14:paraId="12392A79">
            <w:pPr>
              <w:keepNext w:val="0"/>
              <w:keepLines w:val="0"/>
              <w:suppressLineNumbers w:val="0"/>
              <w:spacing w:before="0" w:beforeAutospacing="0" w:after="0" w:afterAutospacing="0" w:line="300" w:lineRule="exact"/>
              <w:ind w:left="0" w:right="0"/>
              <w:jc w:val="center"/>
              <w:rPr>
                <w:rFonts w:hint="default" w:ascii="宋体" w:hAnsi="Times New Roman" w:eastAsia="宋体" w:cs="宋体"/>
                <w:sz w:val="24"/>
                <w:szCs w:val="24"/>
              </w:rPr>
            </w:pPr>
            <w:r>
              <w:rPr>
                <w:rFonts w:hint="default" w:ascii="宋体" w:hAnsi="Times New Roman" w:eastAsia="宋体" w:cs="宋体"/>
                <w:sz w:val="24"/>
                <w:szCs w:val="24"/>
              </w:rPr>
              <w:t>指标2：完成专项财务审计及鉴证服务。</w:t>
            </w:r>
          </w:p>
        </w:tc>
        <w:tc>
          <w:tcPr>
            <w:tcW w:w="739" w:type="dxa"/>
            <w:shd w:val="solid" w:color="E2EFD9" w:fill="auto"/>
            <w:vAlign w:val="center"/>
          </w:tcPr>
          <w:p w14:paraId="7DB989CD">
            <w:pPr>
              <w:keepNext w:val="0"/>
              <w:keepLines w:val="0"/>
              <w:suppressLineNumbers w:val="0"/>
              <w:spacing w:before="0" w:beforeAutospacing="0" w:after="0" w:afterAutospacing="0"/>
              <w:ind w:left="0" w:right="0"/>
              <w:jc w:val="center"/>
              <w:rPr>
                <w:rFonts w:hint="default" w:ascii="宋体" w:hAnsi="Times New Roman" w:eastAsia="宋体" w:cs="Lucida Sans"/>
                <w:sz w:val="18"/>
                <w:szCs w:val="32"/>
              </w:rPr>
            </w:pPr>
            <w:r>
              <w:rPr>
                <w:rFonts w:hint="default" w:ascii="宋体" w:hAnsi="Times New Roman" w:eastAsia="宋体" w:cs="Lucida Sans"/>
                <w:sz w:val="18"/>
                <w:szCs w:val="32"/>
              </w:rPr>
              <w:t>定性</w:t>
            </w:r>
          </w:p>
        </w:tc>
        <w:tc>
          <w:tcPr>
            <w:tcW w:w="971" w:type="dxa"/>
            <w:vAlign w:val="center"/>
          </w:tcPr>
          <w:p w14:paraId="415E118B">
            <w:pPr>
              <w:keepNext w:val="0"/>
              <w:keepLines w:val="0"/>
              <w:suppressLineNumbers w:val="0"/>
              <w:spacing w:before="0" w:beforeAutospacing="0" w:after="0" w:afterAutospacing="0"/>
              <w:ind w:left="0" w:right="0"/>
              <w:jc w:val="center"/>
              <w:rPr>
                <w:rFonts w:hint="default" w:ascii="宋体" w:hAnsi="Times New Roman" w:eastAsia="宋体" w:cs="Lucida Sans"/>
                <w:sz w:val="18"/>
                <w:szCs w:val="32"/>
              </w:rPr>
            </w:pPr>
            <w:r>
              <w:rPr>
                <w:rFonts w:hint="default" w:ascii="宋体" w:hAnsi="Times New Roman" w:eastAsia="宋体" w:cs="Lucida Sans"/>
                <w:sz w:val="18"/>
                <w:szCs w:val="32"/>
              </w:rPr>
              <w:t>取得审计报告</w:t>
            </w:r>
          </w:p>
        </w:tc>
        <w:tc>
          <w:tcPr>
            <w:tcW w:w="1061" w:type="dxa"/>
            <w:shd w:val="solid" w:color="E2EFD9" w:fill="auto"/>
            <w:vAlign w:val="center"/>
          </w:tcPr>
          <w:p w14:paraId="40E59889">
            <w:pPr>
              <w:keepNext w:val="0"/>
              <w:keepLines w:val="0"/>
              <w:suppressLineNumbers w:val="0"/>
              <w:spacing w:before="0" w:beforeAutospacing="0" w:after="0" w:afterAutospacing="0"/>
              <w:ind w:left="0" w:right="0"/>
              <w:jc w:val="center"/>
              <w:rPr>
                <w:rFonts w:hint="default" w:ascii="宋体" w:hAnsi="Times New Roman" w:eastAsia="宋体" w:cs="Times New Roman"/>
                <w:sz w:val="18"/>
                <w:szCs w:val="32"/>
              </w:rPr>
            </w:pPr>
          </w:p>
        </w:tc>
        <w:tc>
          <w:tcPr>
            <w:tcW w:w="938" w:type="dxa"/>
            <w:vAlign w:val="center"/>
          </w:tcPr>
          <w:p w14:paraId="0A548E0F">
            <w:pPr>
              <w:keepNext w:val="0"/>
              <w:keepLines w:val="0"/>
              <w:suppressLineNumbers w:val="0"/>
              <w:spacing w:before="0" w:beforeAutospacing="0" w:after="0" w:afterAutospacing="0"/>
              <w:ind w:left="0" w:right="0"/>
              <w:jc w:val="center"/>
              <w:rPr>
                <w:rFonts w:hint="default" w:ascii="微软雅黑" w:hAnsi="Times New Roman" w:eastAsia="微软雅黑" w:cs="Lucida Sans"/>
                <w:i/>
                <w:sz w:val="16"/>
                <w:szCs w:val="32"/>
              </w:rPr>
            </w:pPr>
            <w:r>
              <w:rPr>
                <w:rFonts w:hint="default" w:ascii="微软雅黑" w:hAnsi="Times New Roman" w:eastAsia="微软雅黑" w:cs="Lucida Sans"/>
                <w:i/>
                <w:sz w:val="16"/>
                <w:szCs w:val="32"/>
              </w:rPr>
              <w:t>取得审计报告</w:t>
            </w:r>
          </w:p>
        </w:tc>
        <w:tc>
          <w:tcPr>
            <w:tcW w:w="1841" w:type="dxa"/>
            <w:shd w:val="solid" w:color="E2EFD9" w:fill="auto"/>
            <w:vAlign w:val="center"/>
          </w:tcPr>
          <w:p w14:paraId="0B8B07D8">
            <w:pPr>
              <w:keepNext w:val="0"/>
              <w:keepLines w:val="0"/>
              <w:suppressLineNumbers w:val="0"/>
              <w:spacing w:before="0" w:beforeAutospacing="0" w:after="0" w:afterAutospacing="0" w:line="300" w:lineRule="exact"/>
              <w:ind w:left="0" w:right="0"/>
              <w:jc w:val="center"/>
              <w:rPr>
                <w:rFonts w:hint="default" w:ascii="宋体" w:hAnsi="Times New Roman" w:eastAsia="宋体" w:cs="宋体"/>
                <w:sz w:val="24"/>
                <w:szCs w:val="24"/>
              </w:rPr>
            </w:pPr>
          </w:p>
        </w:tc>
      </w:tr>
      <w:tr w14:paraId="23CAAF9E">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23" w:hRule="atLeast"/>
          <w:jc w:val="center"/>
        </w:trPr>
        <w:tc>
          <w:tcPr>
            <w:tcW w:w="652" w:type="dxa"/>
            <w:vMerge w:val="continue"/>
            <w:shd w:val="solid" w:color="E2EFD9" w:fill="auto"/>
            <w:vAlign w:val="center"/>
          </w:tcPr>
          <w:p w14:paraId="358C8E71">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081" w:type="dxa"/>
            <w:vMerge w:val="continue"/>
            <w:shd w:val="solid" w:color="E2EFD9" w:fill="auto"/>
            <w:vAlign w:val="center"/>
          </w:tcPr>
          <w:p w14:paraId="2318941E">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250" w:type="dxa"/>
            <w:shd w:val="solid" w:color="E2EFD9" w:fill="auto"/>
            <w:vAlign w:val="center"/>
          </w:tcPr>
          <w:p w14:paraId="49E380BA">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sz w:val="24"/>
                <w:szCs w:val="24"/>
              </w:rPr>
            </w:pPr>
            <w:r>
              <w:rPr>
                <w:rFonts w:hint="eastAsia" w:ascii="宋体" w:hAnsi="Times New Roman" w:eastAsia="宋体" w:cs="宋体"/>
                <w:kern w:val="0"/>
                <w:sz w:val="24"/>
                <w:szCs w:val="24"/>
              </w:rPr>
              <w:t>......</w:t>
            </w:r>
          </w:p>
        </w:tc>
        <w:tc>
          <w:tcPr>
            <w:tcW w:w="1700" w:type="dxa"/>
            <w:shd w:val="solid" w:color="E2EFD9" w:fill="auto"/>
            <w:vAlign w:val="center"/>
          </w:tcPr>
          <w:p w14:paraId="7FCFAFDC">
            <w:pPr>
              <w:keepNext w:val="0"/>
              <w:keepLines w:val="0"/>
              <w:suppressLineNumbers w:val="0"/>
              <w:spacing w:before="0" w:beforeAutospacing="0" w:after="0" w:afterAutospacing="0" w:line="300" w:lineRule="exact"/>
              <w:ind w:left="0" w:right="0"/>
              <w:jc w:val="center"/>
              <w:rPr>
                <w:rFonts w:hint="default" w:ascii="宋体" w:hAnsi="Times New Roman" w:eastAsia="宋体" w:cs="宋体"/>
                <w:sz w:val="24"/>
                <w:szCs w:val="24"/>
              </w:rPr>
            </w:pPr>
          </w:p>
        </w:tc>
        <w:tc>
          <w:tcPr>
            <w:tcW w:w="739" w:type="dxa"/>
            <w:shd w:val="solid" w:color="E2EFD9" w:fill="auto"/>
            <w:vAlign w:val="center"/>
          </w:tcPr>
          <w:p w14:paraId="4671E6C6">
            <w:pPr>
              <w:keepNext w:val="0"/>
              <w:keepLines w:val="0"/>
              <w:suppressLineNumbers w:val="0"/>
              <w:spacing w:before="0" w:beforeAutospacing="0" w:after="0" w:afterAutospacing="0" w:line="300" w:lineRule="exact"/>
              <w:ind w:left="0" w:right="0"/>
              <w:jc w:val="center"/>
              <w:rPr>
                <w:rFonts w:hint="default" w:ascii="宋体" w:hAnsi="Times New Roman" w:eastAsia="宋体" w:cs="宋体"/>
                <w:sz w:val="24"/>
                <w:szCs w:val="24"/>
              </w:rPr>
            </w:pPr>
          </w:p>
        </w:tc>
        <w:tc>
          <w:tcPr>
            <w:tcW w:w="971" w:type="dxa"/>
            <w:shd w:val="solid" w:color="E2EFD9" w:fill="auto"/>
            <w:vAlign w:val="center"/>
          </w:tcPr>
          <w:p w14:paraId="7A690A1B">
            <w:pPr>
              <w:keepNext w:val="0"/>
              <w:keepLines w:val="0"/>
              <w:suppressLineNumbers w:val="0"/>
              <w:spacing w:before="0" w:beforeAutospacing="0" w:after="0" w:afterAutospacing="0" w:line="300" w:lineRule="exact"/>
              <w:ind w:left="0" w:right="0"/>
              <w:jc w:val="center"/>
              <w:rPr>
                <w:rFonts w:hint="default" w:ascii="宋体" w:hAnsi="Times New Roman" w:eastAsia="宋体" w:cs="宋体"/>
                <w:sz w:val="24"/>
                <w:szCs w:val="24"/>
              </w:rPr>
            </w:pPr>
          </w:p>
        </w:tc>
        <w:tc>
          <w:tcPr>
            <w:tcW w:w="1061" w:type="dxa"/>
            <w:shd w:val="solid" w:color="E2EFD9" w:fill="auto"/>
            <w:vAlign w:val="center"/>
          </w:tcPr>
          <w:p w14:paraId="425644BA">
            <w:pPr>
              <w:keepNext w:val="0"/>
              <w:keepLines w:val="0"/>
              <w:suppressLineNumbers w:val="0"/>
              <w:spacing w:before="0" w:beforeAutospacing="0" w:after="0" w:afterAutospacing="0" w:line="300" w:lineRule="exact"/>
              <w:ind w:left="0" w:right="0"/>
              <w:jc w:val="center"/>
              <w:rPr>
                <w:rFonts w:hint="default" w:ascii="宋体" w:hAnsi="Times New Roman" w:eastAsia="宋体" w:cs="宋体"/>
                <w:sz w:val="24"/>
                <w:szCs w:val="24"/>
              </w:rPr>
            </w:pPr>
          </w:p>
        </w:tc>
        <w:tc>
          <w:tcPr>
            <w:tcW w:w="938" w:type="dxa"/>
            <w:shd w:val="solid" w:color="E2EFD9" w:fill="auto"/>
            <w:vAlign w:val="center"/>
          </w:tcPr>
          <w:p w14:paraId="058271FB">
            <w:pPr>
              <w:keepNext w:val="0"/>
              <w:keepLines w:val="0"/>
              <w:suppressLineNumbers w:val="0"/>
              <w:spacing w:before="0" w:beforeAutospacing="0" w:after="0" w:afterAutospacing="0" w:line="300" w:lineRule="exact"/>
              <w:ind w:left="0" w:right="0"/>
              <w:jc w:val="center"/>
              <w:rPr>
                <w:rFonts w:hint="default" w:ascii="宋体" w:hAnsi="Times New Roman" w:eastAsia="宋体" w:cs="宋体"/>
                <w:sz w:val="24"/>
                <w:szCs w:val="24"/>
              </w:rPr>
            </w:pPr>
          </w:p>
        </w:tc>
        <w:tc>
          <w:tcPr>
            <w:tcW w:w="1841" w:type="dxa"/>
            <w:shd w:val="solid" w:color="E2EFD9" w:fill="auto"/>
            <w:vAlign w:val="center"/>
          </w:tcPr>
          <w:p w14:paraId="26249B39">
            <w:pPr>
              <w:keepNext w:val="0"/>
              <w:keepLines w:val="0"/>
              <w:suppressLineNumbers w:val="0"/>
              <w:spacing w:before="0" w:beforeAutospacing="0" w:after="0" w:afterAutospacing="0" w:line="300" w:lineRule="exact"/>
              <w:ind w:left="0" w:right="0"/>
              <w:jc w:val="center"/>
              <w:rPr>
                <w:rFonts w:hint="default" w:ascii="宋体" w:hAnsi="Times New Roman" w:eastAsia="宋体" w:cs="宋体"/>
                <w:sz w:val="24"/>
                <w:szCs w:val="24"/>
              </w:rPr>
            </w:pPr>
          </w:p>
        </w:tc>
      </w:tr>
      <w:tr w14:paraId="15123EA3">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23" w:hRule="atLeast"/>
          <w:jc w:val="center"/>
        </w:trPr>
        <w:tc>
          <w:tcPr>
            <w:tcW w:w="652" w:type="dxa"/>
            <w:vMerge w:val="continue"/>
            <w:shd w:val="solid" w:color="E2EFD9" w:fill="auto"/>
            <w:vAlign w:val="center"/>
          </w:tcPr>
          <w:p w14:paraId="70EB76BB">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081" w:type="dxa"/>
            <w:vAlign w:val="center"/>
          </w:tcPr>
          <w:p w14:paraId="5B91081D">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kern w:val="0"/>
                <w:sz w:val="24"/>
                <w:szCs w:val="24"/>
              </w:rPr>
            </w:pPr>
            <w:r>
              <w:rPr>
                <w:rFonts w:hint="default" w:ascii="宋体" w:hAnsi="Times New Roman" w:eastAsia="宋体" w:cs="宋体"/>
                <w:kern w:val="0"/>
                <w:sz w:val="24"/>
                <w:szCs w:val="24"/>
              </w:rPr>
              <w:t>满意度</w:t>
            </w:r>
          </w:p>
          <w:p w14:paraId="05580416">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sz w:val="24"/>
                <w:szCs w:val="24"/>
              </w:rPr>
            </w:pPr>
            <w:r>
              <w:rPr>
                <w:rFonts w:hint="default" w:ascii="宋体" w:hAnsi="Times New Roman" w:eastAsia="宋体" w:cs="宋体"/>
                <w:kern w:val="0"/>
                <w:sz w:val="24"/>
                <w:szCs w:val="24"/>
              </w:rPr>
              <w:t>指标</w:t>
            </w:r>
          </w:p>
        </w:tc>
        <w:tc>
          <w:tcPr>
            <w:tcW w:w="1250" w:type="dxa"/>
            <w:shd w:val="solid" w:color="E2EFD9" w:fill="auto"/>
            <w:vAlign w:val="center"/>
          </w:tcPr>
          <w:p w14:paraId="30F2E385">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kern w:val="0"/>
                <w:sz w:val="24"/>
                <w:szCs w:val="24"/>
              </w:rPr>
            </w:pPr>
            <w:r>
              <w:rPr>
                <w:rFonts w:hint="default" w:ascii="宋体" w:hAnsi="Times New Roman" w:eastAsia="宋体" w:cs="宋体"/>
                <w:kern w:val="0"/>
                <w:sz w:val="24"/>
                <w:szCs w:val="24"/>
              </w:rPr>
              <w:t>服务对象</w:t>
            </w:r>
          </w:p>
          <w:p w14:paraId="615048F9">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sz w:val="24"/>
                <w:szCs w:val="24"/>
              </w:rPr>
            </w:pPr>
            <w:r>
              <w:rPr>
                <w:rFonts w:hint="default" w:ascii="宋体" w:hAnsi="Times New Roman" w:eastAsia="宋体" w:cs="宋体"/>
                <w:kern w:val="0"/>
                <w:sz w:val="24"/>
                <w:szCs w:val="24"/>
              </w:rPr>
              <w:t>满意度指标</w:t>
            </w:r>
          </w:p>
        </w:tc>
        <w:tc>
          <w:tcPr>
            <w:tcW w:w="1700" w:type="dxa"/>
            <w:vAlign w:val="center"/>
          </w:tcPr>
          <w:p w14:paraId="7AFE22C9">
            <w:pPr>
              <w:keepNext w:val="0"/>
              <w:keepLines w:val="0"/>
              <w:suppressLineNumbers w:val="0"/>
              <w:spacing w:before="0" w:beforeAutospacing="0" w:after="0" w:afterAutospacing="0"/>
              <w:ind w:left="0" w:right="0"/>
              <w:jc w:val="center"/>
              <w:rPr>
                <w:rFonts w:hint="default" w:ascii="宋体" w:hAnsi="Times New Roman" w:eastAsia="宋体" w:cs="Lucida Sans"/>
                <w:sz w:val="18"/>
                <w:szCs w:val="32"/>
              </w:rPr>
            </w:pPr>
            <w:r>
              <w:rPr>
                <w:rFonts w:hint="default" w:ascii="宋体" w:hAnsi="Times New Roman" w:eastAsia="宋体" w:cs="Lucida Sans"/>
                <w:sz w:val="18"/>
                <w:szCs w:val="32"/>
              </w:rPr>
              <w:t>指标1：公众满意度</w:t>
            </w:r>
          </w:p>
        </w:tc>
        <w:tc>
          <w:tcPr>
            <w:tcW w:w="739" w:type="dxa"/>
            <w:shd w:val="solid" w:color="E2EFD9" w:fill="auto"/>
            <w:vAlign w:val="center"/>
          </w:tcPr>
          <w:p w14:paraId="24D8AA0D">
            <w:pPr>
              <w:keepNext w:val="0"/>
              <w:keepLines w:val="0"/>
              <w:suppressLineNumbers w:val="0"/>
              <w:spacing w:before="0" w:beforeAutospacing="0" w:after="0" w:afterAutospacing="0"/>
              <w:ind w:left="0" w:right="0"/>
              <w:jc w:val="center"/>
              <w:rPr>
                <w:rFonts w:hint="default" w:ascii="宋体" w:hAnsi="Times New Roman" w:eastAsia="宋体" w:cs="Lucida Sans"/>
                <w:sz w:val="18"/>
                <w:szCs w:val="32"/>
              </w:rPr>
            </w:pPr>
            <w:r>
              <w:rPr>
                <w:rFonts w:hint="default" w:ascii="宋体" w:hAnsi="Times New Roman" w:eastAsia="宋体" w:cs="Lucida Sans"/>
                <w:sz w:val="18"/>
                <w:szCs w:val="32"/>
              </w:rPr>
              <w:t>≥</w:t>
            </w:r>
          </w:p>
        </w:tc>
        <w:tc>
          <w:tcPr>
            <w:tcW w:w="971" w:type="dxa"/>
            <w:vAlign w:val="center"/>
          </w:tcPr>
          <w:p w14:paraId="220C1DDF">
            <w:pPr>
              <w:keepNext w:val="0"/>
              <w:keepLines w:val="0"/>
              <w:suppressLineNumbers w:val="0"/>
              <w:spacing w:before="0" w:beforeAutospacing="0" w:after="0" w:afterAutospacing="0"/>
              <w:ind w:left="0" w:right="0"/>
              <w:jc w:val="center"/>
              <w:rPr>
                <w:rFonts w:hint="default" w:ascii="宋体" w:hAnsi="Times New Roman" w:eastAsia="宋体" w:cs="Lucida Sans"/>
                <w:sz w:val="18"/>
                <w:szCs w:val="32"/>
              </w:rPr>
            </w:pPr>
            <w:r>
              <w:rPr>
                <w:rFonts w:hint="default" w:ascii="宋体" w:hAnsi="Times New Roman" w:eastAsia="宋体" w:cs="Lucida Sans"/>
                <w:sz w:val="18"/>
                <w:szCs w:val="32"/>
              </w:rPr>
              <w:t>95</w:t>
            </w:r>
          </w:p>
        </w:tc>
        <w:tc>
          <w:tcPr>
            <w:tcW w:w="1061" w:type="dxa"/>
            <w:shd w:val="solid" w:color="E2EFD9" w:fill="auto"/>
            <w:vAlign w:val="center"/>
          </w:tcPr>
          <w:p w14:paraId="11E81071">
            <w:pPr>
              <w:keepNext w:val="0"/>
              <w:keepLines w:val="0"/>
              <w:suppressLineNumbers w:val="0"/>
              <w:spacing w:before="0" w:beforeAutospacing="0" w:after="0" w:afterAutospacing="0"/>
              <w:ind w:left="0" w:right="0"/>
              <w:jc w:val="center"/>
              <w:rPr>
                <w:rFonts w:hint="default" w:ascii="宋体" w:hAnsi="Times New Roman" w:eastAsia="宋体" w:cs="Lucida Sans"/>
                <w:sz w:val="18"/>
                <w:szCs w:val="32"/>
              </w:rPr>
            </w:pPr>
            <w:r>
              <w:rPr>
                <w:rFonts w:hint="default" w:ascii="宋体" w:hAnsi="Times New Roman" w:eastAsia="宋体" w:cs="Lucida Sans"/>
                <w:sz w:val="18"/>
                <w:szCs w:val="32"/>
              </w:rPr>
              <w:t>%</w:t>
            </w:r>
          </w:p>
        </w:tc>
        <w:tc>
          <w:tcPr>
            <w:tcW w:w="938" w:type="dxa"/>
            <w:vAlign w:val="center"/>
          </w:tcPr>
          <w:p w14:paraId="4FFF3312">
            <w:pPr>
              <w:keepNext w:val="0"/>
              <w:keepLines w:val="0"/>
              <w:suppressLineNumbers w:val="0"/>
              <w:spacing w:before="0" w:beforeAutospacing="0" w:after="0" w:afterAutospacing="0"/>
              <w:ind w:left="0" w:right="0"/>
              <w:jc w:val="center"/>
              <w:rPr>
                <w:rFonts w:hint="default" w:ascii="微软雅黑" w:hAnsi="Times New Roman" w:eastAsia="微软雅黑" w:cs="Lucida Sans"/>
                <w:i/>
                <w:sz w:val="16"/>
                <w:szCs w:val="32"/>
              </w:rPr>
            </w:pPr>
            <w:r>
              <w:rPr>
                <w:rFonts w:hint="default" w:ascii="微软雅黑" w:hAnsi="Times New Roman" w:eastAsia="微软雅黑" w:cs="Lucida Sans"/>
                <w:i/>
                <w:sz w:val="16"/>
                <w:szCs w:val="32"/>
              </w:rPr>
              <w:t>95</w:t>
            </w:r>
          </w:p>
        </w:tc>
        <w:tc>
          <w:tcPr>
            <w:tcW w:w="1841" w:type="dxa"/>
            <w:shd w:val="solid" w:color="E2EFD9" w:fill="auto"/>
            <w:vAlign w:val="center"/>
          </w:tcPr>
          <w:p w14:paraId="1EC684AD">
            <w:pPr>
              <w:keepNext w:val="0"/>
              <w:keepLines w:val="0"/>
              <w:suppressLineNumbers w:val="0"/>
              <w:spacing w:before="0" w:beforeAutospacing="0" w:after="0" w:afterAutospacing="0"/>
              <w:ind w:left="0" w:right="0"/>
              <w:jc w:val="center"/>
              <w:rPr>
                <w:rFonts w:hint="default" w:ascii="宋体" w:hAnsi="Times New Roman" w:eastAsia="宋体" w:cs="Lucida Sans"/>
                <w:sz w:val="18"/>
                <w:szCs w:val="32"/>
              </w:rPr>
            </w:pPr>
            <w:r>
              <w:rPr>
                <w:rFonts w:hint="default" w:ascii="宋体" w:hAnsi="Times New Roman" w:eastAsia="宋体" w:cs="Lucida Sans"/>
                <w:sz w:val="18"/>
                <w:szCs w:val="32"/>
              </w:rPr>
              <w:t>10</w:t>
            </w:r>
          </w:p>
        </w:tc>
      </w:tr>
      <w:tr w14:paraId="5EDA6CFD">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23" w:hRule="atLeast"/>
          <w:jc w:val="center"/>
        </w:trPr>
        <w:tc>
          <w:tcPr>
            <w:tcW w:w="652" w:type="dxa"/>
            <w:vMerge w:val="continue"/>
            <w:shd w:val="solid" w:color="E2EFD9" w:fill="auto"/>
            <w:vAlign w:val="center"/>
          </w:tcPr>
          <w:p w14:paraId="7BE59C4A">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081" w:type="dxa"/>
            <w:vMerge w:val="restart"/>
            <w:tcBorders>
              <w:bottom w:val="single" w:color="000000" w:sz="4" w:space="0"/>
            </w:tcBorders>
            <w:shd w:val="solid" w:color="E2EFD9" w:fill="auto"/>
            <w:vAlign w:val="center"/>
          </w:tcPr>
          <w:p w14:paraId="06D30807">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sz w:val="24"/>
                <w:szCs w:val="24"/>
              </w:rPr>
            </w:pPr>
            <w:r>
              <w:rPr>
                <w:rFonts w:hint="default" w:ascii="宋体" w:hAnsi="Times New Roman" w:eastAsia="宋体" w:cs="宋体"/>
                <w:kern w:val="0"/>
                <w:sz w:val="24"/>
                <w:szCs w:val="24"/>
              </w:rPr>
              <w:t>成本指标</w:t>
            </w:r>
          </w:p>
        </w:tc>
        <w:tc>
          <w:tcPr>
            <w:tcW w:w="1250" w:type="dxa"/>
            <w:shd w:val="solid" w:color="E2EFD9" w:fill="auto"/>
            <w:vAlign w:val="center"/>
          </w:tcPr>
          <w:p w14:paraId="695906BA">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kern w:val="0"/>
                <w:sz w:val="24"/>
                <w:szCs w:val="24"/>
              </w:rPr>
            </w:pPr>
            <w:r>
              <w:rPr>
                <w:rFonts w:hint="default" w:ascii="宋体" w:hAnsi="Times New Roman" w:eastAsia="宋体" w:cs="宋体"/>
                <w:kern w:val="0"/>
                <w:sz w:val="24"/>
                <w:szCs w:val="24"/>
              </w:rPr>
              <w:t>经济成本</w:t>
            </w:r>
          </w:p>
          <w:p w14:paraId="795D4D34">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sz w:val="24"/>
                <w:szCs w:val="24"/>
              </w:rPr>
            </w:pPr>
            <w:r>
              <w:rPr>
                <w:rFonts w:hint="default" w:ascii="宋体" w:hAnsi="Times New Roman" w:eastAsia="宋体" w:cs="宋体"/>
                <w:kern w:val="0"/>
                <w:sz w:val="24"/>
                <w:szCs w:val="24"/>
              </w:rPr>
              <w:t>指标</w:t>
            </w:r>
          </w:p>
        </w:tc>
        <w:tc>
          <w:tcPr>
            <w:tcW w:w="1700" w:type="dxa"/>
            <w:shd w:val="solid" w:color="E2EFD9" w:fill="auto"/>
            <w:vAlign w:val="center"/>
          </w:tcPr>
          <w:p w14:paraId="09A1BB00">
            <w:pPr>
              <w:keepNext w:val="0"/>
              <w:keepLines w:val="0"/>
              <w:suppressLineNumbers w:val="0"/>
              <w:spacing w:before="0" w:beforeAutospacing="0" w:after="0" w:afterAutospacing="0"/>
              <w:ind w:left="0" w:right="0"/>
              <w:jc w:val="center"/>
              <w:rPr>
                <w:rFonts w:hint="default" w:ascii="宋体" w:hAnsi="Times New Roman" w:eastAsia="宋体" w:cs="Lucida Sans"/>
                <w:sz w:val="18"/>
                <w:szCs w:val="32"/>
              </w:rPr>
            </w:pPr>
            <w:r>
              <w:rPr>
                <w:rFonts w:hint="default" w:ascii="宋体" w:hAnsi="Times New Roman" w:eastAsia="宋体" w:cs="Lucida Sans"/>
                <w:sz w:val="18"/>
                <w:szCs w:val="32"/>
              </w:rPr>
              <w:t>指标2：完成专项财务审计及鉴证服务。</w:t>
            </w:r>
          </w:p>
        </w:tc>
        <w:tc>
          <w:tcPr>
            <w:tcW w:w="739" w:type="dxa"/>
            <w:shd w:val="solid" w:color="E2EFD9" w:fill="auto"/>
            <w:vAlign w:val="center"/>
          </w:tcPr>
          <w:p w14:paraId="45A3892C">
            <w:pPr>
              <w:keepNext w:val="0"/>
              <w:keepLines w:val="0"/>
              <w:suppressLineNumbers w:val="0"/>
              <w:spacing w:before="0" w:beforeAutospacing="0" w:after="0" w:afterAutospacing="0"/>
              <w:ind w:left="0" w:right="0"/>
              <w:jc w:val="center"/>
              <w:rPr>
                <w:rFonts w:hint="default" w:ascii="宋体" w:hAnsi="Times New Roman" w:eastAsia="宋体" w:cs="Lucida Sans"/>
                <w:sz w:val="18"/>
                <w:szCs w:val="32"/>
              </w:rPr>
            </w:pPr>
            <w:r>
              <w:rPr>
                <w:rFonts w:hint="default" w:ascii="宋体" w:hAnsi="Times New Roman" w:eastAsia="宋体" w:cs="Lucida Sans"/>
                <w:sz w:val="18"/>
                <w:szCs w:val="32"/>
              </w:rPr>
              <w:t>＝</w:t>
            </w:r>
          </w:p>
        </w:tc>
        <w:tc>
          <w:tcPr>
            <w:tcW w:w="971" w:type="dxa"/>
            <w:shd w:val="solid" w:color="E2EFD9" w:fill="auto"/>
            <w:vAlign w:val="center"/>
          </w:tcPr>
          <w:p w14:paraId="23C3FED1">
            <w:pPr>
              <w:keepNext w:val="0"/>
              <w:keepLines w:val="0"/>
              <w:suppressLineNumbers w:val="0"/>
              <w:spacing w:before="0" w:beforeAutospacing="0" w:after="0" w:afterAutospacing="0"/>
              <w:ind w:left="0" w:right="0"/>
              <w:jc w:val="center"/>
              <w:rPr>
                <w:rFonts w:hint="default" w:ascii="宋体" w:hAnsi="Times New Roman" w:eastAsia="宋体" w:cs="Lucida Sans"/>
                <w:sz w:val="18"/>
                <w:szCs w:val="32"/>
              </w:rPr>
            </w:pPr>
            <w:r>
              <w:rPr>
                <w:rFonts w:hint="default" w:ascii="宋体" w:hAnsi="Times New Roman" w:eastAsia="宋体" w:cs="Lucida Sans"/>
                <w:sz w:val="18"/>
                <w:szCs w:val="32"/>
              </w:rPr>
              <w:t>1.927</w:t>
            </w:r>
          </w:p>
        </w:tc>
        <w:tc>
          <w:tcPr>
            <w:tcW w:w="1061" w:type="dxa"/>
            <w:shd w:val="solid" w:color="E2EFD9" w:fill="auto"/>
            <w:vAlign w:val="center"/>
          </w:tcPr>
          <w:p w14:paraId="2756C551">
            <w:pPr>
              <w:keepNext w:val="0"/>
              <w:keepLines w:val="0"/>
              <w:suppressLineNumbers w:val="0"/>
              <w:spacing w:before="0" w:beforeAutospacing="0" w:after="0" w:afterAutospacing="0"/>
              <w:ind w:left="0" w:right="0"/>
              <w:jc w:val="center"/>
              <w:rPr>
                <w:rFonts w:hint="default" w:ascii="宋体" w:hAnsi="Times New Roman" w:eastAsia="宋体" w:cs="Lucida Sans"/>
                <w:sz w:val="18"/>
                <w:szCs w:val="32"/>
              </w:rPr>
            </w:pPr>
            <w:r>
              <w:rPr>
                <w:rFonts w:hint="default" w:ascii="宋体" w:hAnsi="Times New Roman" w:eastAsia="宋体" w:cs="Lucida Sans"/>
                <w:sz w:val="18"/>
                <w:szCs w:val="32"/>
              </w:rPr>
              <w:t>万元</w:t>
            </w:r>
          </w:p>
        </w:tc>
        <w:tc>
          <w:tcPr>
            <w:tcW w:w="938" w:type="dxa"/>
            <w:shd w:val="solid" w:color="E2EFD9" w:fill="auto"/>
            <w:vAlign w:val="center"/>
          </w:tcPr>
          <w:p w14:paraId="6A5F489C">
            <w:pPr>
              <w:keepNext w:val="0"/>
              <w:keepLines w:val="0"/>
              <w:suppressLineNumbers w:val="0"/>
              <w:spacing w:before="0" w:beforeAutospacing="0" w:after="0" w:afterAutospacing="0"/>
              <w:ind w:left="0" w:right="0"/>
              <w:jc w:val="center"/>
              <w:rPr>
                <w:rFonts w:hint="default" w:ascii="微软雅黑" w:hAnsi="Times New Roman" w:eastAsia="微软雅黑" w:cs="Lucida Sans"/>
                <w:i/>
                <w:sz w:val="16"/>
                <w:szCs w:val="32"/>
              </w:rPr>
            </w:pPr>
            <w:r>
              <w:rPr>
                <w:rFonts w:hint="default" w:ascii="微软雅黑" w:hAnsi="Times New Roman" w:eastAsia="微软雅黑" w:cs="Lucida Sans"/>
                <w:i/>
                <w:sz w:val="16"/>
                <w:szCs w:val="32"/>
              </w:rPr>
              <w:t>1.927</w:t>
            </w:r>
          </w:p>
        </w:tc>
        <w:tc>
          <w:tcPr>
            <w:tcW w:w="1841" w:type="dxa"/>
            <w:shd w:val="solid" w:color="E2EFD9" w:fill="auto"/>
            <w:vAlign w:val="center"/>
          </w:tcPr>
          <w:p w14:paraId="3351681A">
            <w:pPr>
              <w:keepNext w:val="0"/>
              <w:keepLines w:val="0"/>
              <w:suppressLineNumbers w:val="0"/>
              <w:spacing w:before="0" w:beforeAutospacing="0" w:after="0" w:afterAutospacing="0"/>
              <w:ind w:left="0" w:right="0"/>
              <w:jc w:val="center"/>
              <w:rPr>
                <w:rFonts w:hint="default" w:ascii="宋体" w:hAnsi="Times New Roman" w:eastAsia="宋体" w:cs="Lucida Sans"/>
                <w:sz w:val="18"/>
                <w:szCs w:val="32"/>
              </w:rPr>
            </w:pPr>
            <w:r>
              <w:rPr>
                <w:rFonts w:hint="default" w:ascii="宋体" w:hAnsi="Times New Roman" w:eastAsia="宋体" w:cs="Lucida Sans"/>
                <w:sz w:val="18"/>
                <w:szCs w:val="32"/>
              </w:rPr>
              <w:t>5</w:t>
            </w:r>
          </w:p>
        </w:tc>
      </w:tr>
      <w:tr w14:paraId="7DB90D3D">
        <w:tblPrEx>
          <w:tblBorders>
            <w:top w:val="single" w:color="A8D08D" w:sz="4" w:space="0"/>
            <w:left w:val="single" w:color="A8D08D" w:sz="4" w:space="0"/>
            <w:bottom w:val="single" w:color="A8D08D" w:sz="4" w:space="0"/>
            <w:right w:val="single" w:color="A8D08D" w:sz="4" w:space="0"/>
            <w:insideH w:val="single" w:color="A8D08D" w:sz="4" w:space="0"/>
            <w:insideV w:val="single" w:color="A8D08D" w:sz="4" w:space="0"/>
          </w:tblBorders>
          <w:tblCellMar>
            <w:top w:w="15" w:type="dxa"/>
            <w:left w:w="15" w:type="dxa"/>
            <w:bottom w:w="15" w:type="dxa"/>
            <w:right w:w="15" w:type="dxa"/>
          </w:tblCellMar>
        </w:tblPrEx>
        <w:trPr>
          <w:trHeight w:val="23" w:hRule="atLeast"/>
          <w:jc w:val="center"/>
        </w:trPr>
        <w:tc>
          <w:tcPr>
            <w:tcW w:w="652" w:type="dxa"/>
            <w:vMerge w:val="continue"/>
            <w:shd w:val="solid" w:color="E2EFD9" w:fill="auto"/>
            <w:vAlign w:val="center"/>
          </w:tcPr>
          <w:p w14:paraId="524597DA">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081" w:type="dxa"/>
            <w:vMerge w:val="continue"/>
            <w:vAlign w:val="center"/>
          </w:tcPr>
          <w:p w14:paraId="280DE372">
            <w:pPr>
              <w:keepNext w:val="0"/>
              <w:keepLines w:val="0"/>
              <w:suppressLineNumbers w:val="0"/>
              <w:spacing w:before="0" w:beforeAutospacing="0" w:after="0" w:afterAutospacing="0"/>
              <w:ind w:left="0" w:right="0"/>
              <w:rPr>
                <w:rFonts w:hint="default" w:ascii="Times New Roman" w:hAnsi="Times New Roman" w:eastAsia="仿宋_GB2312" w:cs="Times New Roman"/>
                <w:sz w:val="32"/>
                <w:szCs w:val="32"/>
              </w:rPr>
            </w:pPr>
          </w:p>
        </w:tc>
        <w:tc>
          <w:tcPr>
            <w:tcW w:w="1250" w:type="dxa"/>
            <w:shd w:val="solid" w:color="E2EFD9" w:fill="auto"/>
            <w:vAlign w:val="center"/>
          </w:tcPr>
          <w:p w14:paraId="307A4C44">
            <w:pPr>
              <w:keepNext w:val="0"/>
              <w:keepLines w:val="0"/>
              <w:widowControl/>
              <w:suppressLineNumbers w:val="0"/>
              <w:spacing w:before="0" w:beforeAutospacing="0" w:after="0" w:afterAutospacing="0" w:line="300" w:lineRule="exact"/>
              <w:ind w:left="0" w:right="0"/>
              <w:jc w:val="center"/>
              <w:textAlignment w:val="center"/>
              <w:rPr>
                <w:rFonts w:hint="default" w:ascii="宋体" w:hAnsi="Times New Roman" w:eastAsia="宋体" w:cs="宋体"/>
                <w:sz w:val="24"/>
                <w:szCs w:val="24"/>
              </w:rPr>
            </w:pPr>
            <w:r>
              <w:rPr>
                <w:rFonts w:hint="eastAsia" w:ascii="宋体" w:hAnsi="Times New Roman" w:eastAsia="宋体" w:cs="宋体"/>
                <w:kern w:val="0"/>
                <w:sz w:val="24"/>
                <w:szCs w:val="24"/>
              </w:rPr>
              <w:t>......</w:t>
            </w:r>
          </w:p>
        </w:tc>
        <w:tc>
          <w:tcPr>
            <w:tcW w:w="1700" w:type="dxa"/>
            <w:vAlign w:val="center"/>
          </w:tcPr>
          <w:p w14:paraId="008BC942">
            <w:pPr>
              <w:keepNext w:val="0"/>
              <w:keepLines w:val="0"/>
              <w:suppressLineNumbers w:val="0"/>
              <w:spacing w:before="0" w:beforeAutospacing="0" w:after="0" w:afterAutospacing="0"/>
              <w:ind w:left="0" w:right="0"/>
              <w:jc w:val="center"/>
              <w:rPr>
                <w:rFonts w:hint="default" w:ascii="宋体" w:hAnsi="Times New Roman" w:eastAsia="宋体" w:cs="Lucida Sans"/>
                <w:sz w:val="18"/>
                <w:szCs w:val="32"/>
              </w:rPr>
            </w:pPr>
            <w:r>
              <w:rPr>
                <w:rFonts w:hint="default" w:ascii="宋体" w:hAnsi="Times New Roman" w:eastAsia="宋体" w:cs="Lucida Sans"/>
                <w:sz w:val="18"/>
                <w:szCs w:val="32"/>
              </w:rPr>
              <w:t>指标1：公共信用平台2022年度驻场运维服务</w:t>
            </w:r>
          </w:p>
        </w:tc>
        <w:tc>
          <w:tcPr>
            <w:tcW w:w="739" w:type="dxa"/>
            <w:shd w:val="solid" w:color="E2EFD9" w:fill="auto"/>
            <w:vAlign w:val="center"/>
          </w:tcPr>
          <w:p w14:paraId="18A07AC7">
            <w:pPr>
              <w:keepNext w:val="0"/>
              <w:keepLines w:val="0"/>
              <w:suppressLineNumbers w:val="0"/>
              <w:spacing w:before="0" w:beforeAutospacing="0" w:after="0" w:afterAutospacing="0"/>
              <w:ind w:left="0" w:right="0"/>
              <w:jc w:val="center"/>
              <w:rPr>
                <w:rFonts w:hint="default" w:ascii="宋体" w:hAnsi="Times New Roman" w:eastAsia="宋体" w:cs="Lucida Sans"/>
                <w:sz w:val="18"/>
                <w:szCs w:val="32"/>
              </w:rPr>
            </w:pPr>
            <w:r>
              <w:rPr>
                <w:rFonts w:hint="default" w:ascii="宋体" w:hAnsi="Times New Roman" w:eastAsia="宋体" w:cs="Lucida Sans"/>
                <w:sz w:val="18"/>
                <w:szCs w:val="32"/>
              </w:rPr>
              <w:t>＝</w:t>
            </w:r>
          </w:p>
        </w:tc>
        <w:tc>
          <w:tcPr>
            <w:tcW w:w="971" w:type="dxa"/>
            <w:vAlign w:val="center"/>
          </w:tcPr>
          <w:p w14:paraId="145DB568">
            <w:pPr>
              <w:keepNext w:val="0"/>
              <w:keepLines w:val="0"/>
              <w:suppressLineNumbers w:val="0"/>
              <w:spacing w:before="0" w:beforeAutospacing="0" w:after="0" w:afterAutospacing="0"/>
              <w:ind w:left="0" w:right="0"/>
              <w:jc w:val="center"/>
              <w:rPr>
                <w:rFonts w:hint="default" w:ascii="宋体" w:hAnsi="Times New Roman" w:eastAsia="宋体" w:cs="Lucida Sans"/>
                <w:sz w:val="18"/>
                <w:szCs w:val="32"/>
              </w:rPr>
            </w:pPr>
            <w:r>
              <w:rPr>
                <w:rFonts w:hint="default" w:ascii="宋体" w:hAnsi="Times New Roman" w:eastAsia="宋体" w:cs="Lucida Sans"/>
                <w:sz w:val="18"/>
                <w:szCs w:val="32"/>
              </w:rPr>
              <w:t>29.4</w:t>
            </w:r>
          </w:p>
        </w:tc>
        <w:tc>
          <w:tcPr>
            <w:tcW w:w="1061" w:type="dxa"/>
            <w:shd w:val="solid" w:color="E2EFD9" w:fill="auto"/>
            <w:vAlign w:val="center"/>
          </w:tcPr>
          <w:p w14:paraId="09162AAB">
            <w:pPr>
              <w:keepNext w:val="0"/>
              <w:keepLines w:val="0"/>
              <w:suppressLineNumbers w:val="0"/>
              <w:spacing w:before="0" w:beforeAutospacing="0" w:after="0" w:afterAutospacing="0"/>
              <w:ind w:left="0" w:right="0"/>
              <w:jc w:val="center"/>
              <w:rPr>
                <w:rFonts w:hint="default" w:ascii="宋体" w:hAnsi="Times New Roman" w:eastAsia="宋体" w:cs="Lucida Sans"/>
                <w:sz w:val="18"/>
                <w:szCs w:val="32"/>
              </w:rPr>
            </w:pPr>
            <w:r>
              <w:rPr>
                <w:rFonts w:hint="default" w:ascii="宋体" w:hAnsi="Times New Roman" w:eastAsia="宋体" w:cs="Lucida Sans"/>
                <w:sz w:val="18"/>
                <w:szCs w:val="32"/>
              </w:rPr>
              <w:t>万元</w:t>
            </w:r>
          </w:p>
        </w:tc>
        <w:tc>
          <w:tcPr>
            <w:tcW w:w="938" w:type="dxa"/>
            <w:vAlign w:val="center"/>
          </w:tcPr>
          <w:p w14:paraId="2914EF35">
            <w:pPr>
              <w:keepNext w:val="0"/>
              <w:keepLines w:val="0"/>
              <w:suppressLineNumbers w:val="0"/>
              <w:spacing w:before="0" w:beforeAutospacing="0" w:after="0" w:afterAutospacing="0"/>
              <w:ind w:left="0" w:right="0"/>
              <w:jc w:val="center"/>
              <w:rPr>
                <w:rFonts w:hint="default" w:ascii="微软雅黑" w:hAnsi="Times New Roman" w:eastAsia="微软雅黑" w:cs="Lucida Sans"/>
                <w:i/>
                <w:sz w:val="16"/>
                <w:szCs w:val="32"/>
              </w:rPr>
            </w:pPr>
            <w:r>
              <w:rPr>
                <w:rFonts w:hint="default" w:ascii="微软雅黑" w:hAnsi="Times New Roman" w:eastAsia="微软雅黑" w:cs="Lucida Sans"/>
                <w:i/>
                <w:sz w:val="16"/>
                <w:szCs w:val="32"/>
              </w:rPr>
              <w:t>29.4</w:t>
            </w:r>
          </w:p>
        </w:tc>
        <w:tc>
          <w:tcPr>
            <w:tcW w:w="1841" w:type="dxa"/>
            <w:shd w:val="solid" w:color="E2EFD9" w:fill="auto"/>
            <w:vAlign w:val="center"/>
          </w:tcPr>
          <w:p w14:paraId="241B6EFF">
            <w:pPr>
              <w:keepNext w:val="0"/>
              <w:keepLines w:val="0"/>
              <w:suppressLineNumbers w:val="0"/>
              <w:spacing w:before="0" w:beforeAutospacing="0" w:after="0" w:afterAutospacing="0"/>
              <w:ind w:left="0" w:right="0"/>
              <w:jc w:val="center"/>
              <w:rPr>
                <w:rFonts w:hint="default" w:ascii="宋体" w:hAnsi="Times New Roman" w:eastAsia="宋体" w:cs="Lucida Sans"/>
                <w:sz w:val="18"/>
                <w:szCs w:val="32"/>
              </w:rPr>
            </w:pPr>
            <w:r>
              <w:rPr>
                <w:rFonts w:hint="default" w:ascii="宋体" w:hAnsi="Times New Roman" w:eastAsia="宋体" w:cs="Lucida Sans"/>
                <w:sz w:val="18"/>
                <w:szCs w:val="32"/>
              </w:rPr>
              <w:t>5</w:t>
            </w:r>
          </w:p>
        </w:tc>
      </w:tr>
    </w:tbl>
    <w:p w14:paraId="6A91AE81">
      <w:pPr>
        <w:spacing w:line="600" w:lineRule="exact"/>
        <w:jc w:val="center"/>
        <w:outlineLvl w:val="0"/>
        <w:rPr>
          <w:rFonts w:hint="eastAsia" w:ascii="黑体" w:hAnsi="黑体" w:eastAsia="黑体"/>
          <w:color w:val="auto"/>
          <w:sz w:val="44"/>
          <w:szCs w:val="44"/>
          <w:highlight w:val="none"/>
        </w:rPr>
      </w:pPr>
    </w:p>
    <w:p w14:paraId="77AF08E3">
      <w:pPr>
        <w:keepNext w:val="0"/>
        <w:keepLines w:val="0"/>
        <w:pageBreakBefore w:val="0"/>
        <w:widowControl w:val="0"/>
        <w:kinsoku/>
        <w:wordWrap/>
        <w:overflowPunct/>
        <w:topLinePunct w:val="0"/>
        <w:autoSpaceDE/>
        <w:autoSpaceDN/>
        <w:bidi w:val="0"/>
        <w:spacing w:line="578" w:lineRule="exact"/>
        <w:ind w:left="0" w:leftChars="0"/>
        <w:jc w:val="center"/>
        <w:textAlignment w:val="auto"/>
        <w:rPr>
          <w:rFonts w:hint="eastAsia" w:ascii="方正小标宋简体" w:hAnsi="方正小标宋简体" w:eastAsia="方正小标宋简体" w:cs="方正小标宋简体"/>
          <w:color w:val="auto"/>
          <w:kern w:val="2"/>
          <w:sz w:val="44"/>
          <w:szCs w:val="44"/>
          <w:highlight w:val="none"/>
          <w:lang w:val="en-US" w:eastAsia="zh-CN" w:bidi="ar-SA"/>
        </w:rPr>
      </w:pPr>
      <w:r>
        <w:rPr>
          <w:rFonts w:hint="eastAsia" w:ascii="方正小标宋简体" w:hAnsi="方正小标宋简体" w:eastAsia="方正小标宋简体" w:cs="方正小标宋简体"/>
          <w:color w:val="auto"/>
          <w:kern w:val="2"/>
          <w:sz w:val="44"/>
          <w:szCs w:val="44"/>
          <w:highlight w:val="none"/>
          <w:lang w:val="en-US" w:eastAsia="zh-CN" w:bidi="ar-SA"/>
        </w:rPr>
        <w:t>广元市粮油质量监测站</w:t>
      </w:r>
    </w:p>
    <w:p w14:paraId="2A01BD61">
      <w:pPr>
        <w:spacing w:line="560" w:lineRule="exact"/>
        <w:ind w:firstLine="640"/>
        <w:jc w:val="left"/>
        <w:rPr>
          <w:rFonts w:hint="default" w:ascii="方正小标宋简体" w:hAnsi="方正小标宋简体" w:eastAsia="方正小标宋简体" w:cs="方正小标宋简体"/>
          <w:color w:val="auto"/>
          <w:kern w:val="2"/>
          <w:sz w:val="44"/>
          <w:szCs w:val="44"/>
          <w:highlight w:val="none"/>
          <w:lang w:val="en-US" w:eastAsia="zh-CN" w:bidi="ar-SA"/>
        </w:rPr>
      </w:pPr>
      <w:r>
        <w:rPr>
          <w:rFonts w:hint="eastAsia" w:ascii="方正小标宋简体" w:hAnsi="方正小标宋简体" w:eastAsia="方正小标宋简体" w:cs="方正小标宋简体"/>
          <w:color w:val="auto"/>
          <w:kern w:val="2"/>
          <w:sz w:val="44"/>
          <w:szCs w:val="44"/>
          <w:highlight w:val="none"/>
          <w:lang w:val="en-US" w:eastAsia="zh-CN" w:bidi="ar-SA"/>
        </w:rPr>
        <w:t>粮食质量安全检验监测能力提升项目</w:t>
      </w:r>
    </w:p>
    <w:p w14:paraId="1B9A23FC">
      <w:pPr>
        <w:keepNext w:val="0"/>
        <w:keepLines w:val="0"/>
        <w:pageBreakBefore w:val="0"/>
        <w:widowControl w:val="0"/>
        <w:kinsoku/>
        <w:wordWrap/>
        <w:overflowPunct/>
        <w:topLinePunct w:val="0"/>
        <w:autoSpaceDE/>
        <w:autoSpaceDN/>
        <w:bidi w:val="0"/>
        <w:spacing w:line="578" w:lineRule="exact"/>
        <w:ind w:left="0" w:leftChars="0"/>
        <w:jc w:val="center"/>
        <w:textAlignment w:val="auto"/>
        <w:rPr>
          <w:rFonts w:hint="eastAsia" w:ascii="方正小标宋简体" w:hAnsi="方正小标宋简体" w:eastAsia="方正小标宋简体" w:cs="方正小标宋简体"/>
          <w:color w:val="auto"/>
          <w:kern w:val="2"/>
          <w:sz w:val="44"/>
          <w:szCs w:val="44"/>
          <w:highlight w:val="none"/>
          <w:lang w:val="en-US" w:eastAsia="zh-CN" w:bidi="ar-SA"/>
        </w:rPr>
      </w:pPr>
      <w:r>
        <w:rPr>
          <w:rFonts w:hint="eastAsia" w:ascii="方正小标宋简体" w:hAnsi="方正小标宋简体" w:eastAsia="方正小标宋简体" w:cs="方正小标宋简体"/>
          <w:color w:val="auto"/>
          <w:kern w:val="2"/>
          <w:sz w:val="44"/>
          <w:szCs w:val="44"/>
          <w:highlight w:val="none"/>
          <w:lang w:val="en-US" w:eastAsia="zh-CN" w:bidi="ar-SA"/>
        </w:rPr>
        <w:t>绩效评价报告</w:t>
      </w:r>
    </w:p>
    <w:p w14:paraId="030C8636">
      <w:pPr>
        <w:keepNext w:val="0"/>
        <w:keepLines w:val="0"/>
        <w:pageBreakBefore w:val="0"/>
        <w:widowControl w:val="0"/>
        <w:kinsoku/>
        <w:wordWrap/>
        <w:overflowPunct/>
        <w:topLinePunct w:val="0"/>
        <w:autoSpaceDE/>
        <w:autoSpaceDN/>
        <w:bidi w:val="0"/>
        <w:spacing w:line="578" w:lineRule="exact"/>
        <w:ind w:left="0" w:leftChars="0" w:firstLine="640"/>
        <w:jc w:val="center"/>
        <w:textAlignment w:val="auto"/>
        <w:rPr>
          <w:rFonts w:ascii="宋体" w:hAnsi="宋体" w:eastAsia="宋体" w:cs="Times New Roman"/>
          <w:color w:val="auto"/>
          <w:kern w:val="2"/>
          <w:sz w:val="32"/>
          <w:szCs w:val="32"/>
          <w:highlight w:val="none"/>
          <w:lang w:val="zh-CN" w:eastAsia="zh-CN" w:bidi="ar-SA"/>
        </w:rPr>
      </w:pPr>
    </w:p>
    <w:p w14:paraId="7339F082">
      <w:pPr>
        <w:keepNext w:val="0"/>
        <w:keepLines w:val="0"/>
        <w:pageBreakBefore w:val="0"/>
        <w:widowControl w:val="0"/>
        <w:kinsoku/>
        <w:wordWrap/>
        <w:overflowPunct/>
        <w:topLinePunct w:val="0"/>
        <w:autoSpaceDE/>
        <w:autoSpaceDN/>
        <w:bidi w:val="0"/>
        <w:adjustRightInd w:val="0"/>
        <w:snapToGrid w:val="0"/>
        <w:spacing w:line="578" w:lineRule="exact"/>
        <w:ind w:firstLine="640" w:firstLineChars="200"/>
        <w:textAlignment w:val="auto"/>
        <w:rPr>
          <w:rFonts w:ascii="黑体" w:hAnsi="宋体" w:eastAsia="黑体" w:cs="Times New Roman"/>
          <w:sz w:val="32"/>
          <w:szCs w:val="32"/>
          <w:highlight w:val="none"/>
          <w:lang w:val="zh-CN"/>
        </w:rPr>
      </w:pPr>
      <w:r>
        <w:rPr>
          <w:rFonts w:hint="eastAsia" w:ascii="黑体" w:hAnsi="宋体" w:eastAsia="黑体" w:cs="Times New Roman"/>
          <w:sz w:val="32"/>
          <w:szCs w:val="32"/>
          <w:highlight w:val="none"/>
        </w:rPr>
        <w:t>一、</w:t>
      </w:r>
      <w:r>
        <w:rPr>
          <w:rFonts w:hint="eastAsia" w:ascii="黑体" w:hAnsi="宋体" w:eastAsia="黑体" w:cs="Times New Roman"/>
          <w:sz w:val="32"/>
          <w:szCs w:val="32"/>
          <w:highlight w:val="none"/>
          <w:lang w:val="zh-CN"/>
        </w:rPr>
        <w:t>项目概况</w:t>
      </w:r>
    </w:p>
    <w:p w14:paraId="44BBB72A">
      <w:pPr>
        <w:keepNext w:val="0"/>
        <w:keepLines w:val="0"/>
        <w:pageBreakBefore w:val="0"/>
        <w:widowControl/>
        <w:numPr>
          <w:ilvl w:val="0"/>
          <w:numId w:val="0"/>
        </w:numPr>
        <w:kinsoku/>
        <w:wordWrap/>
        <w:overflowPunct/>
        <w:topLinePunct w:val="0"/>
        <w:autoSpaceDE/>
        <w:autoSpaceDN/>
        <w:bidi w:val="0"/>
        <w:adjustRightInd w:val="0"/>
        <w:snapToGrid w:val="0"/>
        <w:spacing w:line="578" w:lineRule="exact"/>
        <w:ind w:left="0" w:leftChars="0" w:firstLine="643" w:firstLineChars="200"/>
        <w:contextualSpacing/>
        <w:jc w:val="left"/>
        <w:textAlignment w:val="auto"/>
        <w:rPr>
          <w:rFonts w:hint="eastAsia" w:ascii="楷体_GB2312" w:hAnsi="宋体" w:eastAsia="楷体_GB2312" w:cs="Times New Roman"/>
          <w:b/>
          <w:color w:val="auto"/>
          <w:sz w:val="32"/>
          <w:szCs w:val="32"/>
          <w:highlight w:val="none"/>
          <w:u w:val="none"/>
          <w:lang w:val="zh-CN"/>
        </w:rPr>
      </w:pPr>
      <w:r>
        <w:rPr>
          <w:rFonts w:hint="eastAsia" w:ascii="楷体_GB2312" w:hAnsi="宋体" w:eastAsia="楷体_GB2312" w:cs="Times New Roman"/>
          <w:b/>
          <w:color w:val="auto"/>
          <w:sz w:val="32"/>
          <w:szCs w:val="32"/>
          <w:highlight w:val="none"/>
          <w:u w:val="none"/>
          <w:lang w:val="zh-CN"/>
        </w:rPr>
        <w:t>（一）设立背景及基本情况。</w:t>
      </w:r>
    </w:p>
    <w:p w14:paraId="7572D371">
      <w:pPr>
        <w:widowControl/>
        <w:tabs>
          <w:tab w:val="left" w:pos="2160"/>
        </w:tabs>
        <w:spacing w:line="480" w:lineRule="auto"/>
        <w:ind w:firstLine="640" w:firstLineChars="200"/>
        <w:jc w:val="left"/>
        <w:rPr>
          <w:rFonts w:hint="eastAsia" w:ascii="仿宋_GB2312" w:hAnsi="仿宋_GB2312" w:eastAsia="仿宋_GB2312" w:cs="仿宋_GB2312"/>
          <w:kern w:val="2"/>
          <w:position w:val="3"/>
          <w:sz w:val="32"/>
          <w:szCs w:val="32"/>
          <w:lang w:val="en-US" w:eastAsia="zh-CN" w:bidi="ar-SA"/>
        </w:rPr>
      </w:pPr>
      <w:r>
        <w:rPr>
          <w:rFonts w:hint="eastAsia" w:ascii="仿宋_GB2312" w:hAnsi="仿宋_GB2312" w:eastAsia="仿宋_GB2312" w:cs="仿宋_GB2312"/>
          <w:snapToGrid w:val="0"/>
          <w:kern w:val="0"/>
          <w:position w:val="3"/>
          <w:sz w:val="32"/>
          <w:szCs w:val="32"/>
          <w:lang w:val="en-US" w:eastAsia="zh-CN" w:bidi="ar-SA"/>
        </w:rPr>
        <w:t>为扩大监测覆盖面，加强对市场运行的监测分析和预测预警，提高市场调控和公共信息服务的预见性、针对性、有效性，</w:t>
      </w:r>
      <w:r>
        <w:rPr>
          <w:rFonts w:hint="eastAsia" w:ascii="仿宋_GB2312" w:hAnsi="仿宋_GB2312" w:eastAsia="仿宋_GB2312" w:cs="仿宋_GB2312"/>
          <w:kern w:val="2"/>
          <w:position w:val="3"/>
          <w:sz w:val="32"/>
          <w:szCs w:val="32"/>
          <w:lang w:val="en-US" w:eastAsia="zh-CN" w:bidi="ar-SA"/>
        </w:rPr>
        <w:t>不断提高我市粮食质量检验检测能力，改善粮食质量安全检验监测硬件设施，保障政策性储备质量安全，</w:t>
      </w:r>
      <w:r>
        <w:rPr>
          <w:rFonts w:hint="eastAsia" w:ascii="仿宋_GB2312" w:hAnsi="仿宋_GB2312" w:eastAsia="仿宋_GB2312" w:cs="仿宋_GB2312"/>
          <w:snapToGrid w:val="0"/>
          <w:kern w:val="0"/>
          <w:position w:val="3"/>
          <w:sz w:val="32"/>
          <w:szCs w:val="32"/>
          <w:lang w:val="en-US" w:eastAsia="zh-CN" w:bidi="ar-SA"/>
        </w:rPr>
        <w:t>严格把控质量安全关口，严禁不符合食品安全标准的粮食进入口粮市场，完善</w:t>
      </w:r>
      <w:r>
        <w:rPr>
          <w:rFonts w:hint="eastAsia" w:ascii="仿宋_GB2312" w:hAnsi="仿宋_GB2312" w:eastAsia="仿宋_GB2312" w:cs="仿宋_GB2312"/>
          <w:kern w:val="2"/>
          <w:position w:val="3"/>
          <w:sz w:val="32"/>
          <w:szCs w:val="32"/>
          <w:lang w:val="en-US" w:eastAsia="zh-CN" w:bidi="ar-SA"/>
        </w:rPr>
        <w:t>粮食质量安全监测体系建设，服务优质粮油企业，推动我市粮食产业高质量发展。</w:t>
      </w:r>
      <w:r>
        <w:rPr>
          <w:rFonts w:hint="eastAsia" w:ascii="仿宋_GB2312" w:hAnsi="仿宋_GB2312" w:eastAsia="仿宋_GB2312" w:cs="仿宋_GB2312"/>
          <w:kern w:val="0"/>
          <w:position w:val="3"/>
          <w:sz w:val="32"/>
          <w:szCs w:val="32"/>
          <w:lang w:val="en-US" w:eastAsia="zh-CN" w:bidi="ar-SA"/>
        </w:rPr>
        <w:t>2023年采购了</w:t>
      </w:r>
      <w:r>
        <w:rPr>
          <w:rFonts w:hint="eastAsia" w:ascii="仿宋_GB2312" w:hAnsi="仿宋_GB2312" w:eastAsia="仿宋_GB2312" w:cs="仿宋_GB2312"/>
          <w:kern w:val="0"/>
          <w:position w:val="3"/>
          <w:sz w:val="32"/>
          <w:szCs w:val="32"/>
          <w:lang w:val="en-US" w:eastAsia="en-US" w:bidi="ar-SA"/>
        </w:rPr>
        <w:t>一批</w:t>
      </w:r>
      <w:r>
        <w:rPr>
          <w:rFonts w:hint="eastAsia" w:ascii="仿宋_GB2312" w:hAnsi="仿宋_GB2312" w:eastAsia="仿宋_GB2312" w:cs="仿宋_GB2312"/>
          <w:kern w:val="2"/>
          <w:position w:val="3"/>
          <w:sz w:val="32"/>
          <w:szCs w:val="32"/>
          <w:lang w:val="en-US" w:eastAsia="zh-CN" w:bidi="ar-SA"/>
        </w:rPr>
        <w:t>气相色谱仪、超纯水系统、电子天平等</w:t>
      </w:r>
      <w:r>
        <w:rPr>
          <w:rFonts w:hint="eastAsia" w:ascii="仿宋_GB2312" w:hAnsi="仿宋_GB2312" w:eastAsia="仿宋_GB2312" w:cs="仿宋_GB2312"/>
          <w:kern w:val="0"/>
          <w:position w:val="3"/>
          <w:sz w:val="32"/>
          <w:szCs w:val="32"/>
          <w:lang w:val="en-US" w:eastAsia="zh-CN" w:bidi="ar-SA"/>
        </w:rPr>
        <w:t>前处理、粮油专用快检和微生物监测等专业</w:t>
      </w:r>
      <w:r>
        <w:rPr>
          <w:rFonts w:hint="eastAsia" w:ascii="仿宋_GB2312" w:hAnsi="仿宋_GB2312" w:eastAsia="仿宋_GB2312" w:cs="仿宋_GB2312"/>
          <w:kern w:val="0"/>
          <w:position w:val="3"/>
          <w:sz w:val="32"/>
          <w:szCs w:val="32"/>
          <w:lang w:val="en-US" w:eastAsia="en-US" w:bidi="ar-SA"/>
        </w:rPr>
        <w:t>设备</w:t>
      </w:r>
      <w:r>
        <w:rPr>
          <w:rFonts w:hint="eastAsia" w:ascii="仿宋_GB2312" w:hAnsi="仿宋_GB2312" w:eastAsia="仿宋_GB2312" w:cs="仿宋_GB2312"/>
          <w:kern w:val="2"/>
          <w:position w:val="3"/>
          <w:sz w:val="32"/>
          <w:szCs w:val="32"/>
          <w:lang w:val="en-US" w:eastAsia="zh-CN" w:bidi="ar-SA"/>
        </w:rPr>
        <w:t>20台（套）</w:t>
      </w:r>
      <w:r>
        <w:rPr>
          <w:rFonts w:hint="eastAsia" w:ascii="仿宋_GB2312" w:hAnsi="仿宋_GB2312" w:eastAsia="仿宋_GB2312" w:cs="仿宋_GB2312"/>
          <w:kern w:val="0"/>
          <w:position w:val="3"/>
          <w:sz w:val="32"/>
          <w:szCs w:val="32"/>
          <w:lang w:val="en-US" w:eastAsia="zh-CN" w:bidi="ar-SA"/>
        </w:rPr>
        <w:t>，总预算150万元，项目预计完</w:t>
      </w:r>
      <w:r>
        <w:rPr>
          <w:rFonts w:hint="eastAsia" w:ascii="仿宋_GB2312" w:hAnsi="仿宋_GB2312" w:eastAsia="仿宋_GB2312" w:cs="仿宋_GB2312"/>
          <w:kern w:val="2"/>
          <w:position w:val="3"/>
          <w:sz w:val="32"/>
          <w:szCs w:val="32"/>
          <w:lang w:val="en-US" w:eastAsia="zh-CN" w:bidi="ar-SA"/>
        </w:rPr>
        <w:t>成时间为2023年12月，实际完成时间为2023年8月。</w:t>
      </w:r>
    </w:p>
    <w:p w14:paraId="0E4DD64D">
      <w:pPr>
        <w:widowControl w:val="0"/>
        <w:spacing w:line="560" w:lineRule="exact"/>
        <w:ind w:left="0" w:leftChars="0" w:firstLine="640" w:firstLineChars="200"/>
        <w:contextualSpacing/>
        <w:jc w:val="left"/>
        <w:rPr>
          <w:rFonts w:hint="eastAsia" w:ascii="Times New Roman" w:hAnsi="Times New Roman" w:eastAsia="仿宋_GB2312" w:cs="Times New Roman"/>
          <w:kern w:val="2"/>
          <w:sz w:val="32"/>
          <w:szCs w:val="32"/>
          <w:lang w:val="en-US" w:eastAsia="zh-CN" w:bidi="ar-SA"/>
        </w:rPr>
      </w:pPr>
      <w:r>
        <w:rPr>
          <w:rFonts w:hint="eastAsia" w:ascii="仿宋_GB2312" w:hAnsi="仿宋_GB2312" w:eastAsia="仿宋_GB2312" w:cs="仿宋_GB2312"/>
          <w:kern w:val="2"/>
          <w:sz w:val="32"/>
          <w:szCs w:val="32"/>
          <w:lang w:val="en-US" w:eastAsia="zh-CN" w:bidi="ar-SA"/>
        </w:rPr>
        <w:t>项目资金来源为商品粮大市奖励资金（广财建〔2022〕144号）。采购程序严格按照《四川省政府集中采购目录及标准（ 2020年版)》的通知（川财规〔2020〕11号）等文件规定进行，严格采购程序，防止采购过程中出现违纪违规的现象。在项目建设实施中切实执行政府采购的合同管理制、进口论证、资金使用等制度。制定项目管理办法和资金使用管理办法，建立有效的管理和监督机制，确保项目的顺利实施。</w:t>
      </w:r>
    </w:p>
    <w:p w14:paraId="74FE3555">
      <w:pPr>
        <w:keepNext w:val="0"/>
        <w:keepLines w:val="0"/>
        <w:pageBreakBefore w:val="0"/>
        <w:widowControl/>
        <w:numPr>
          <w:ilvl w:val="0"/>
          <w:numId w:val="7"/>
        </w:numPr>
        <w:kinsoku/>
        <w:wordWrap/>
        <w:overflowPunct/>
        <w:topLinePunct w:val="0"/>
        <w:autoSpaceDE/>
        <w:autoSpaceDN/>
        <w:bidi w:val="0"/>
        <w:adjustRightInd w:val="0"/>
        <w:snapToGrid w:val="0"/>
        <w:spacing w:line="578" w:lineRule="exact"/>
        <w:ind w:left="0" w:leftChars="0" w:firstLine="643" w:firstLineChars="200"/>
        <w:contextualSpacing/>
        <w:jc w:val="left"/>
        <w:textAlignment w:val="auto"/>
        <w:rPr>
          <w:rFonts w:hint="eastAsia" w:ascii="楷体_GB2312" w:hAnsi="宋体" w:eastAsia="楷体_GB2312" w:cs="Times New Roman"/>
          <w:b/>
          <w:color w:val="auto"/>
          <w:sz w:val="32"/>
          <w:szCs w:val="32"/>
          <w:highlight w:val="none"/>
          <w:u w:val="none"/>
          <w:lang w:val="zh-CN" w:eastAsia="zh-CN"/>
        </w:rPr>
      </w:pPr>
      <w:r>
        <w:rPr>
          <w:rFonts w:hint="default" w:ascii="楷体_GB2312" w:hAnsi="宋体" w:eastAsia="楷体_GB2312" w:cs="Times New Roman"/>
          <w:b/>
          <w:color w:val="auto"/>
          <w:sz w:val="32"/>
          <w:szCs w:val="32"/>
          <w:highlight w:val="none"/>
          <w:u w:val="none"/>
          <w:lang w:val="en-US" w:eastAsia="zh-CN"/>
        </w:rPr>
        <w:t>预算安排及分配管理</w:t>
      </w:r>
      <w:r>
        <w:rPr>
          <w:rFonts w:hint="eastAsia" w:ascii="楷体_GB2312" w:hAnsi="宋体" w:eastAsia="楷体_GB2312" w:cs="Times New Roman"/>
          <w:b/>
          <w:color w:val="auto"/>
          <w:sz w:val="32"/>
          <w:szCs w:val="32"/>
          <w:highlight w:val="none"/>
          <w:u w:val="none"/>
          <w:lang w:val="zh-CN" w:eastAsia="zh-CN"/>
        </w:rPr>
        <w:t>。</w:t>
      </w:r>
    </w:p>
    <w:p w14:paraId="194EFD73">
      <w:pPr>
        <w:widowControl/>
        <w:tabs>
          <w:tab w:val="left" w:pos="2160"/>
        </w:tabs>
        <w:spacing w:line="480" w:lineRule="auto"/>
        <w:ind w:firstLine="640" w:firstLineChars="200"/>
        <w:jc w:val="left"/>
        <w:rPr>
          <w:rFonts w:hint="eastAsia" w:ascii="仿宋_GB2312" w:hAnsi="仿宋_GB2312" w:eastAsia="仿宋_GB2312" w:cs="仿宋_GB2312"/>
          <w:kern w:val="2"/>
          <w:position w:val="0"/>
          <w:sz w:val="32"/>
          <w:szCs w:val="32"/>
          <w:lang w:val="zh-CN" w:eastAsia="zh-CN" w:bidi="ar-SA"/>
        </w:rPr>
      </w:pPr>
      <w:r>
        <w:rPr>
          <w:rFonts w:hint="eastAsia" w:ascii="仿宋_GB2312" w:hAnsi="仿宋_GB2312" w:eastAsia="仿宋_GB2312" w:cs="仿宋_GB2312"/>
          <w:kern w:val="2"/>
          <w:position w:val="0"/>
          <w:sz w:val="32"/>
          <w:szCs w:val="32"/>
          <w:lang w:val="en-US" w:eastAsia="zh-CN" w:bidi="ar-SA"/>
        </w:rPr>
        <w:t>1.</w:t>
      </w:r>
      <w:r>
        <w:rPr>
          <w:rFonts w:hint="eastAsia" w:ascii="仿宋_GB2312" w:hAnsi="仿宋_GB2312" w:eastAsia="仿宋_GB2312" w:cs="仿宋_GB2312"/>
          <w:kern w:val="2"/>
          <w:position w:val="0"/>
          <w:sz w:val="32"/>
          <w:szCs w:val="32"/>
          <w:lang w:val="zh-CN" w:eastAsia="zh-CN" w:bidi="ar-SA"/>
        </w:rPr>
        <w:t>项目资金到位情况：</w:t>
      </w:r>
      <w:r>
        <w:rPr>
          <w:rFonts w:hint="eastAsia" w:ascii="仿宋_GB2312" w:hAnsi="仿宋_GB2312" w:eastAsia="仿宋_GB2312" w:cs="仿宋_GB2312"/>
          <w:kern w:val="2"/>
          <w:position w:val="0"/>
          <w:sz w:val="32"/>
          <w:szCs w:val="32"/>
          <w:lang w:val="en-US" w:eastAsia="zh-CN" w:bidi="ar-SA"/>
        </w:rPr>
        <w:t>2022年</w:t>
      </w:r>
      <w:r>
        <w:rPr>
          <w:rFonts w:hint="eastAsia" w:ascii="仿宋_GB2312" w:hAnsi="仿宋_GB2312" w:eastAsia="仿宋_GB2312" w:cs="仿宋_GB2312"/>
          <w:kern w:val="2"/>
          <w:position w:val="0"/>
          <w:sz w:val="32"/>
          <w:szCs w:val="32"/>
          <w:lang w:val="zh-CN" w:eastAsia="zh-CN" w:bidi="ar-SA"/>
        </w:rPr>
        <w:t>项目财政拨款收入</w:t>
      </w:r>
      <w:r>
        <w:rPr>
          <w:rFonts w:hint="eastAsia" w:ascii="仿宋_GB2312" w:hAnsi="仿宋_GB2312" w:eastAsia="仿宋_GB2312" w:cs="仿宋_GB2312"/>
          <w:kern w:val="2"/>
          <w:position w:val="0"/>
          <w:sz w:val="32"/>
          <w:szCs w:val="32"/>
          <w:lang w:val="en-US" w:eastAsia="zh-CN" w:bidi="ar-SA"/>
        </w:rPr>
        <w:t>150</w:t>
      </w:r>
      <w:r>
        <w:rPr>
          <w:rFonts w:hint="eastAsia" w:ascii="仿宋_GB2312" w:hAnsi="仿宋_GB2312" w:eastAsia="仿宋_GB2312" w:cs="仿宋_GB2312"/>
          <w:kern w:val="2"/>
          <w:position w:val="0"/>
          <w:sz w:val="32"/>
          <w:szCs w:val="32"/>
          <w:lang w:val="zh-CN" w:eastAsia="zh-CN" w:bidi="ar-SA"/>
        </w:rPr>
        <w:t>万元（</w:t>
      </w:r>
      <w:r>
        <w:rPr>
          <w:rFonts w:hint="eastAsia" w:ascii="仿宋_GB2312" w:hAnsi="仿宋_GB2312" w:eastAsia="仿宋_GB2312" w:cs="仿宋_GB2312"/>
          <w:kern w:val="2"/>
          <w:position w:val="0"/>
          <w:sz w:val="32"/>
          <w:szCs w:val="32"/>
          <w:lang w:val="en-US" w:eastAsia="zh-CN" w:bidi="ar-SA"/>
        </w:rPr>
        <w:t>广财建〔2022〕144号</w:t>
      </w:r>
      <w:r>
        <w:rPr>
          <w:rFonts w:hint="eastAsia" w:ascii="仿宋_GB2312" w:hAnsi="仿宋_GB2312" w:eastAsia="仿宋_GB2312" w:cs="仿宋_GB2312"/>
          <w:kern w:val="2"/>
          <w:position w:val="0"/>
          <w:sz w:val="32"/>
          <w:szCs w:val="32"/>
          <w:lang w:val="zh-CN" w:eastAsia="zh-CN" w:bidi="ar-SA"/>
        </w:rPr>
        <w:t>）</w:t>
      </w:r>
      <w:r>
        <w:rPr>
          <w:rFonts w:hint="eastAsia" w:ascii="仿宋_GB2312" w:hAnsi="仿宋_GB2312" w:eastAsia="仿宋_GB2312" w:cs="仿宋_GB2312"/>
          <w:kern w:val="2"/>
          <w:position w:val="0"/>
          <w:sz w:val="32"/>
          <w:szCs w:val="32"/>
          <w:lang w:val="en-US" w:eastAsia="zh-CN" w:bidi="ar-SA"/>
        </w:rPr>
        <w:t>。</w:t>
      </w:r>
    </w:p>
    <w:p w14:paraId="0F14A468">
      <w:pPr>
        <w:keepNext w:val="0"/>
        <w:keepLines w:val="0"/>
        <w:pageBreakBefore w:val="0"/>
        <w:widowControl/>
        <w:numPr>
          <w:ilvl w:val="0"/>
          <w:numId w:val="0"/>
        </w:numPr>
        <w:kinsoku/>
        <w:wordWrap/>
        <w:overflowPunct/>
        <w:topLinePunct w:val="0"/>
        <w:autoSpaceDE/>
        <w:autoSpaceDN/>
        <w:bidi w:val="0"/>
        <w:adjustRightInd w:val="0"/>
        <w:snapToGrid w:val="0"/>
        <w:spacing w:line="578" w:lineRule="exact"/>
        <w:ind w:firstLine="640" w:firstLineChars="200"/>
        <w:contextualSpacing/>
        <w:jc w:val="left"/>
        <w:textAlignment w:val="auto"/>
        <w:rPr>
          <w:rFonts w:hint="default" w:ascii="仿宋_GB2312" w:hAnsi="仿宋_GB2312" w:eastAsia="仿宋_GB2312" w:cs="仿宋_GB2312"/>
          <w:kern w:val="2"/>
          <w:position w:val="0"/>
          <w:sz w:val="32"/>
          <w:szCs w:val="32"/>
          <w:lang w:val="en-US" w:eastAsia="zh-CN" w:bidi="ar-SA"/>
        </w:rPr>
      </w:pPr>
      <w:r>
        <w:rPr>
          <w:rFonts w:hint="eastAsia" w:ascii="仿宋_GB2312" w:hAnsi="仿宋_GB2312" w:eastAsia="仿宋_GB2312" w:cs="仿宋_GB2312"/>
          <w:kern w:val="2"/>
          <w:position w:val="0"/>
          <w:sz w:val="32"/>
          <w:szCs w:val="32"/>
          <w:lang w:val="en-US" w:eastAsia="zh-CN" w:bidi="ar-SA"/>
        </w:rPr>
        <w:t>2.项目资金执行情况：截止2023年12月已使用149.5万元。预算资金150万元，</w:t>
      </w:r>
      <w:r>
        <w:rPr>
          <w:rFonts w:hint="eastAsia" w:ascii="仿宋_GB2312" w:hAnsi="Times New Roman" w:eastAsia="仿宋_GB2312" w:cs="仿宋_GB2312"/>
          <w:color w:val="auto"/>
          <w:sz w:val="32"/>
          <w:szCs w:val="32"/>
        </w:rPr>
        <w:t>通过公开招标流程，中标金额</w:t>
      </w:r>
      <w:r>
        <w:rPr>
          <w:rFonts w:hint="eastAsia" w:ascii="仿宋_GB2312" w:hAnsi="Times New Roman" w:eastAsia="仿宋_GB2312" w:cs="仿宋_GB2312"/>
          <w:color w:val="auto"/>
          <w:sz w:val="32"/>
          <w:szCs w:val="32"/>
          <w:lang w:val="en-US" w:eastAsia="zh-CN"/>
        </w:rPr>
        <w:t>149.5</w:t>
      </w:r>
      <w:r>
        <w:rPr>
          <w:rFonts w:hint="eastAsia" w:ascii="仿宋_GB2312" w:hAnsi="Times New Roman" w:eastAsia="仿宋_GB2312" w:cs="仿宋_GB2312"/>
          <w:color w:val="auto"/>
          <w:sz w:val="32"/>
          <w:szCs w:val="32"/>
        </w:rPr>
        <w:t>元</w:t>
      </w:r>
      <w:r>
        <w:rPr>
          <w:rFonts w:hint="eastAsia" w:ascii="仿宋_GB2312" w:hAnsi="仿宋_GB2312" w:eastAsia="仿宋_GB2312" w:cs="仿宋_GB2312"/>
          <w:kern w:val="2"/>
          <w:position w:val="0"/>
          <w:sz w:val="32"/>
          <w:szCs w:val="32"/>
          <w:lang w:val="en-US" w:eastAsia="zh-CN" w:bidi="ar-SA"/>
        </w:rPr>
        <w:t>。</w:t>
      </w:r>
    </w:p>
    <w:p w14:paraId="01454937">
      <w:pPr>
        <w:keepNext w:val="0"/>
        <w:keepLines w:val="0"/>
        <w:pageBreakBefore w:val="0"/>
        <w:widowControl/>
        <w:numPr>
          <w:ilvl w:val="0"/>
          <w:numId w:val="0"/>
        </w:numPr>
        <w:kinsoku/>
        <w:wordWrap/>
        <w:overflowPunct/>
        <w:topLinePunct w:val="0"/>
        <w:autoSpaceDE/>
        <w:autoSpaceDN/>
        <w:bidi w:val="0"/>
        <w:adjustRightInd w:val="0"/>
        <w:snapToGrid w:val="0"/>
        <w:spacing w:line="578" w:lineRule="exact"/>
        <w:ind w:firstLine="640" w:firstLineChars="200"/>
        <w:contextualSpacing/>
        <w:jc w:val="left"/>
        <w:textAlignment w:val="auto"/>
        <w:rPr>
          <w:rFonts w:hint="default" w:ascii="仿宋_GB2312" w:hAnsi="仿宋_GB2312" w:eastAsia="仿宋_GB2312" w:cs="仿宋_GB2312"/>
          <w:kern w:val="2"/>
          <w:position w:val="0"/>
          <w:sz w:val="32"/>
          <w:szCs w:val="32"/>
          <w:lang w:val="en-US" w:eastAsia="zh-CN" w:bidi="ar-SA"/>
        </w:rPr>
      </w:pPr>
      <w:r>
        <w:rPr>
          <w:rFonts w:hint="eastAsia" w:ascii="仿宋_GB2312" w:hAnsi="仿宋_GB2312" w:eastAsia="仿宋_GB2312" w:cs="仿宋_GB2312"/>
          <w:kern w:val="2"/>
          <w:position w:val="0"/>
          <w:sz w:val="32"/>
          <w:szCs w:val="32"/>
          <w:lang w:val="en-US" w:eastAsia="zh-CN" w:bidi="ar-SA"/>
        </w:rPr>
        <w:t>3.项目资金管理情况：在项目资金使用过程中能严格按照专项经费管理使用要求和相应项目实施方案及预算目标进行收支和管理，做到了专款专用，没有出现项目资金被占用、挪用的情况，并切实发挥效益，保证项目的顺利实施。</w:t>
      </w:r>
    </w:p>
    <w:p w14:paraId="68B38876">
      <w:pPr>
        <w:keepNext w:val="0"/>
        <w:keepLines w:val="0"/>
        <w:pageBreakBefore w:val="0"/>
        <w:numPr>
          <w:ilvl w:val="0"/>
          <w:numId w:val="7"/>
        </w:numPr>
        <w:kinsoku/>
        <w:wordWrap/>
        <w:overflowPunct/>
        <w:topLinePunct w:val="0"/>
        <w:autoSpaceDE/>
        <w:autoSpaceDN/>
        <w:bidi w:val="0"/>
        <w:adjustRightInd w:val="0"/>
        <w:snapToGrid w:val="0"/>
        <w:spacing w:line="578" w:lineRule="exact"/>
        <w:ind w:left="0" w:leftChars="0" w:firstLine="643" w:firstLineChars="200"/>
        <w:textAlignment w:val="auto"/>
        <w:rPr>
          <w:rFonts w:hint="eastAsia" w:ascii="楷体_GB2312" w:hAnsi="宋体" w:eastAsia="楷体_GB2312" w:cs="Times New Roman"/>
          <w:b/>
          <w:color w:val="auto"/>
          <w:sz w:val="32"/>
          <w:szCs w:val="32"/>
          <w:highlight w:val="none"/>
          <w:u w:val="none"/>
          <w:lang w:val="zh-CN" w:eastAsia="zh-CN"/>
        </w:rPr>
      </w:pPr>
      <w:r>
        <w:rPr>
          <w:rFonts w:hint="eastAsia" w:ascii="楷体_GB2312" w:hAnsi="宋体" w:eastAsia="楷体_GB2312" w:cs="Times New Roman"/>
          <w:b/>
          <w:color w:val="auto"/>
          <w:sz w:val="32"/>
          <w:szCs w:val="32"/>
          <w:highlight w:val="none"/>
          <w:u w:val="none"/>
          <w:lang w:val="zh-CN" w:eastAsia="zh-CN"/>
        </w:rPr>
        <w:t>项目绩效目标设置。</w:t>
      </w:r>
    </w:p>
    <w:p w14:paraId="46B6A3AB">
      <w:pPr>
        <w:spacing w:line="560" w:lineRule="exact"/>
        <w:ind w:firstLine="600"/>
        <w:jc w:val="left"/>
        <w:rPr>
          <w:rFonts w:hint="eastAsia" w:ascii="Times New Roman" w:hAnsi="Times New Roman" w:eastAsia="仿宋_GB2312" w:cs="Times New Roman"/>
          <w:sz w:val="32"/>
          <w:szCs w:val="32"/>
          <w:lang w:val="zh-CN" w:eastAsia="zh-CN"/>
        </w:rPr>
      </w:pPr>
      <w:r>
        <w:rPr>
          <w:rFonts w:hint="eastAsia" w:ascii="仿宋_GB2312" w:hAnsi="仿宋_GB2312" w:eastAsia="仿宋_GB2312" w:cs="仿宋_GB2312"/>
          <w:kern w:val="2"/>
          <w:sz w:val="32"/>
          <w:szCs w:val="32"/>
          <w:lang w:val="en-US" w:eastAsia="zh-CN" w:bidi="ar-SA"/>
        </w:rPr>
        <w:t>通过仪器设备购置和更新，实现我市主要粮食品种质量、安全、品质检测指标的全覆盖检验监测，检测能力达到“中国好粮油标准体系”“天府菜油”检测业务开展的要求，检测参数能力提高15%以上，有力保障政策性储备出入库质量安全和优质粮食生产、购销、流通，</w:t>
      </w:r>
      <w:r>
        <w:rPr>
          <w:rFonts w:hint="eastAsia" w:ascii="仿宋_GB2312" w:hAnsi="仿宋_GB2312" w:eastAsia="仿宋_GB2312" w:cs="仿宋_GB2312"/>
          <w:snapToGrid w:val="0"/>
          <w:kern w:val="0"/>
          <w:sz w:val="32"/>
          <w:szCs w:val="32"/>
          <w:lang w:val="en-US" w:eastAsia="zh-CN" w:bidi="ar-SA"/>
        </w:rPr>
        <w:t>严格把控质量安全关口，严禁不符合食品安全标准的粮食进入口粮市场</w:t>
      </w:r>
    </w:p>
    <w:p w14:paraId="0B963EDD">
      <w:pPr>
        <w:keepNext w:val="0"/>
        <w:keepLines w:val="0"/>
        <w:pageBreakBefore w:val="0"/>
        <w:widowControl w:val="0"/>
        <w:kinsoku/>
        <w:wordWrap/>
        <w:overflowPunct/>
        <w:topLinePunct w:val="0"/>
        <w:autoSpaceDE/>
        <w:autoSpaceDN/>
        <w:bidi w:val="0"/>
        <w:adjustRightInd w:val="0"/>
        <w:snapToGrid w:val="0"/>
        <w:spacing w:line="578" w:lineRule="exact"/>
        <w:ind w:firstLine="640" w:firstLineChars="200"/>
        <w:textAlignment w:val="auto"/>
        <w:outlineLvl w:val="9"/>
        <w:rPr>
          <w:rFonts w:hint="eastAsia" w:ascii="黑体" w:hAnsi="宋体" w:eastAsia="黑体" w:cs="Times New Roman"/>
          <w:sz w:val="32"/>
          <w:szCs w:val="32"/>
          <w:highlight w:val="none"/>
          <w:lang w:eastAsia="zh-CN"/>
        </w:rPr>
      </w:pPr>
      <w:r>
        <w:rPr>
          <w:rFonts w:hint="eastAsia" w:ascii="黑体" w:hAnsi="宋体" w:eastAsia="黑体" w:cs="Times New Roman"/>
          <w:sz w:val="32"/>
          <w:szCs w:val="32"/>
          <w:highlight w:val="none"/>
        </w:rPr>
        <w:t>二、</w:t>
      </w:r>
      <w:r>
        <w:rPr>
          <w:rFonts w:hint="eastAsia" w:ascii="黑体" w:hAnsi="宋体" w:eastAsia="黑体" w:cs="Times New Roman"/>
          <w:sz w:val="32"/>
          <w:szCs w:val="32"/>
          <w:highlight w:val="none"/>
          <w:lang w:eastAsia="zh-CN"/>
        </w:rPr>
        <w:t>评价实施</w:t>
      </w:r>
    </w:p>
    <w:p w14:paraId="3ED4A208">
      <w:pPr>
        <w:keepNext w:val="0"/>
        <w:keepLines w:val="0"/>
        <w:pageBreakBefore w:val="0"/>
        <w:widowControl w:val="0"/>
        <w:kinsoku/>
        <w:wordWrap/>
        <w:overflowPunct/>
        <w:topLinePunct w:val="0"/>
        <w:autoSpaceDE/>
        <w:autoSpaceDN/>
        <w:bidi w:val="0"/>
        <w:spacing w:line="578" w:lineRule="exact"/>
        <w:ind w:firstLine="640"/>
        <w:textAlignment w:val="auto"/>
        <w:outlineLvl w:val="9"/>
        <w:rPr>
          <w:rFonts w:hint="eastAsia" w:ascii="楷体_GB2312" w:hAnsi="宋体" w:eastAsia="楷体_GB2312" w:cs="Times New Roman"/>
          <w:b/>
          <w:color w:val="auto"/>
          <w:sz w:val="32"/>
          <w:szCs w:val="32"/>
          <w:highlight w:val="none"/>
          <w:u w:val="none"/>
          <w:lang w:val="zh-CN"/>
        </w:rPr>
      </w:pPr>
      <w:r>
        <w:rPr>
          <w:rFonts w:hint="eastAsia" w:ascii="楷体_GB2312" w:hAnsi="宋体" w:eastAsia="楷体_GB2312" w:cs="Times New Roman"/>
          <w:b/>
          <w:color w:val="auto"/>
          <w:sz w:val="32"/>
          <w:szCs w:val="32"/>
          <w:highlight w:val="none"/>
          <w:u w:val="none"/>
          <w:lang w:val="zh-CN"/>
        </w:rPr>
        <w:t>（一）评价目的</w:t>
      </w:r>
    </w:p>
    <w:p w14:paraId="6D3786E6">
      <w:pPr>
        <w:keepNext w:val="0"/>
        <w:keepLines w:val="0"/>
        <w:pageBreakBefore w:val="0"/>
        <w:widowControl w:val="0"/>
        <w:kinsoku/>
        <w:wordWrap/>
        <w:overflowPunct/>
        <w:topLinePunct w:val="0"/>
        <w:autoSpaceDE/>
        <w:autoSpaceDN/>
        <w:bidi w:val="0"/>
        <w:adjustRightInd/>
        <w:snapToGrid w:val="0"/>
        <w:spacing w:line="576" w:lineRule="exact"/>
        <w:ind w:firstLine="640"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通过事前绩效评估将绩效管理关口前移，为项目设立和预算安排提供重要参考依据，提高预算编制科学性、合理性，优化财政支出结构，从源头上防控财政资源配置的低效无效，提高财政资源配置效率和财政资金使用效益。</w:t>
      </w:r>
    </w:p>
    <w:p w14:paraId="7577676F">
      <w:pPr>
        <w:keepNext w:val="0"/>
        <w:keepLines w:val="0"/>
        <w:pageBreakBefore w:val="0"/>
        <w:widowControl w:val="0"/>
        <w:numPr>
          <w:ilvl w:val="0"/>
          <w:numId w:val="8"/>
        </w:numPr>
        <w:kinsoku/>
        <w:wordWrap/>
        <w:overflowPunct/>
        <w:topLinePunct w:val="0"/>
        <w:autoSpaceDE/>
        <w:autoSpaceDN/>
        <w:bidi w:val="0"/>
        <w:adjustRightInd w:val="0"/>
        <w:snapToGrid w:val="0"/>
        <w:spacing w:line="578" w:lineRule="exact"/>
        <w:ind w:left="0" w:leftChars="0" w:firstLine="643" w:firstLineChars="200"/>
        <w:textAlignment w:val="auto"/>
        <w:outlineLvl w:val="9"/>
        <w:rPr>
          <w:rFonts w:hint="eastAsia" w:ascii="楷体_GB2312" w:hAnsi="宋体" w:eastAsia="楷体_GB2312" w:cs="Times New Roman"/>
          <w:b/>
          <w:color w:val="auto"/>
          <w:sz w:val="32"/>
          <w:szCs w:val="32"/>
          <w:highlight w:val="none"/>
          <w:u w:val="none"/>
          <w:lang w:val="zh-CN"/>
        </w:rPr>
      </w:pPr>
      <w:r>
        <w:rPr>
          <w:rFonts w:hint="eastAsia" w:ascii="楷体_GB2312" w:hAnsi="宋体" w:eastAsia="楷体_GB2312" w:cs="Times New Roman"/>
          <w:b/>
          <w:color w:val="auto"/>
          <w:sz w:val="32"/>
          <w:szCs w:val="32"/>
          <w:highlight w:val="none"/>
          <w:u w:val="none"/>
          <w:lang w:val="zh-CN"/>
        </w:rPr>
        <w:t>预设问题及评价重点</w:t>
      </w:r>
    </w:p>
    <w:p w14:paraId="6A41B934">
      <w:pPr>
        <w:adjustRightInd w:val="0"/>
        <w:snapToGrid w:val="0"/>
        <w:spacing w:line="576" w:lineRule="exact"/>
        <w:ind w:firstLine="720"/>
        <w:rPr>
          <w:rFonts w:hint="default" w:ascii="Times New Roman" w:hAnsi="Times New Roman" w:eastAsia="仿宋" w:cs="Times New Roman"/>
          <w:color w:val="0000FF"/>
          <w:sz w:val="32"/>
          <w:szCs w:val="32"/>
          <w:lang w:val="en-US" w:eastAsia="zh-CN"/>
        </w:rPr>
      </w:pPr>
      <w:r>
        <w:rPr>
          <w:rFonts w:hint="eastAsia" w:ascii="仿宋" w:hAnsi="仿宋" w:eastAsia="仿宋" w:cs="Times New Roman"/>
          <w:sz w:val="32"/>
          <w:szCs w:val="32"/>
        </w:rPr>
        <w:t>项目申报内容与具体实施内容相符、申报目标合理可行，资金使用合理</w:t>
      </w:r>
      <w:r>
        <w:rPr>
          <w:rFonts w:hint="eastAsia" w:ascii="仿宋" w:hAnsi="仿宋" w:eastAsia="仿宋" w:cs="Times New Roman"/>
          <w:sz w:val="32"/>
          <w:szCs w:val="32"/>
          <w:lang w:eastAsia="zh-CN"/>
        </w:rPr>
        <w:t>，</w:t>
      </w:r>
      <w:r>
        <w:rPr>
          <w:rFonts w:hint="eastAsia" w:ascii="仿宋" w:hAnsi="仿宋" w:eastAsia="仿宋" w:cs="Times New Roman"/>
          <w:sz w:val="32"/>
          <w:szCs w:val="32"/>
          <w:lang w:val="en-US" w:eastAsia="zh-CN"/>
        </w:rPr>
        <w:t>达到项目实施目标。</w:t>
      </w:r>
    </w:p>
    <w:p w14:paraId="32A63F29">
      <w:pPr>
        <w:keepNext w:val="0"/>
        <w:keepLines w:val="0"/>
        <w:pageBreakBefore w:val="0"/>
        <w:widowControl w:val="0"/>
        <w:numPr>
          <w:ilvl w:val="0"/>
          <w:numId w:val="8"/>
        </w:numPr>
        <w:kinsoku/>
        <w:wordWrap/>
        <w:overflowPunct/>
        <w:topLinePunct w:val="0"/>
        <w:autoSpaceDE/>
        <w:autoSpaceDN/>
        <w:bidi w:val="0"/>
        <w:adjustRightInd w:val="0"/>
        <w:snapToGrid w:val="0"/>
        <w:spacing w:line="578" w:lineRule="exact"/>
        <w:ind w:left="0" w:leftChars="0" w:firstLine="643" w:firstLineChars="200"/>
        <w:textAlignment w:val="auto"/>
        <w:outlineLvl w:val="9"/>
        <w:rPr>
          <w:rFonts w:hint="eastAsia" w:ascii="楷体_GB2312" w:hAnsi="宋体" w:eastAsia="楷体_GB2312" w:cs="Times New Roman"/>
          <w:b/>
          <w:color w:val="auto"/>
          <w:sz w:val="32"/>
          <w:szCs w:val="32"/>
          <w:highlight w:val="none"/>
          <w:u w:val="none"/>
          <w:lang w:val="zh-CN"/>
        </w:rPr>
      </w:pPr>
      <w:r>
        <w:rPr>
          <w:rFonts w:hint="eastAsia" w:ascii="楷体_GB2312" w:hAnsi="宋体" w:eastAsia="楷体_GB2312" w:cs="Times New Roman"/>
          <w:b/>
          <w:color w:val="auto"/>
          <w:sz w:val="32"/>
          <w:szCs w:val="32"/>
          <w:highlight w:val="none"/>
          <w:u w:val="none"/>
          <w:lang w:val="zh-CN"/>
        </w:rPr>
        <w:t>评价选点</w:t>
      </w:r>
    </w:p>
    <w:p w14:paraId="5F64EE3A">
      <w:pPr>
        <w:widowControl w:val="0"/>
        <w:spacing w:line="560" w:lineRule="exact"/>
        <w:ind w:left="0" w:leftChars="0" w:firstLine="640" w:firstLineChars="200"/>
        <w:contextualSpacing/>
        <w:jc w:val="left"/>
        <w:rPr>
          <w:rFonts w:hint="default"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严格执行</w:t>
      </w:r>
      <w:r>
        <w:rPr>
          <w:rFonts w:hint="eastAsia" w:ascii="仿宋" w:hAnsi="仿宋" w:eastAsia="仿宋" w:cs="Times New Roman"/>
          <w:kern w:val="2"/>
          <w:sz w:val="32"/>
          <w:szCs w:val="32"/>
          <w:lang w:val="en-US" w:eastAsia="zh-CN" w:bidi="ar-SA"/>
        </w:rPr>
        <w:t>政府采购程序，</w:t>
      </w:r>
      <w:r>
        <w:rPr>
          <w:rFonts w:hint="eastAsia" w:ascii="仿宋_GB2312" w:hAnsi="仿宋_GB2312" w:eastAsia="仿宋_GB2312" w:cs="仿宋_GB2312"/>
          <w:kern w:val="2"/>
          <w:sz w:val="32"/>
          <w:szCs w:val="32"/>
          <w:lang w:val="en-US" w:eastAsia="zh-CN" w:bidi="ar-SA"/>
        </w:rPr>
        <w:t>采购20台仪器设备，7月设备到位完成安装调试，8月29日验收合格，并及时将仪器设备投入使用，提高了粮食检验前处理、快速检测和植物油检验能力，保障了粮食质量安全监测、新收获粮食质量调查、品质测报和优品率测报等工作的顺利开展。</w:t>
      </w:r>
    </w:p>
    <w:p w14:paraId="08C62C39">
      <w:pPr>
        <w:keepNext w:val="0"/>
        <w:keepLines w:val="0"/>
        <w:pageBreakBefore w:val="0"/>
        <w:widowControl w:val="0"/>
        <w:numPr>
          <w:ilvl w:val="0"/>
          <w:numId w:val="8"/>
        </w:numPr>
        <w:kinsoku/>
        <w:wordWrap/>
        <w:overflowPunct/>
        <w:topLinePunct w:val="0"/>
        <w:autoSpaceDE/>
        <w:autoSpaceDN/>
        <w:bidi w:val="0"/>
        <w:spacing w:line="578" w:lineRule="exact"/>
        <w:ind w:left="0" w:leftChars="0" w:firstLine="643" w:firstLineChars="200"/>
        <w:textAlignment w:val="auto"/>
        <w:outlineLvl w:val="9"/>
        <w:rPr>
          <w:rFonts w:hint="eastAsia" w:ascii="楷体_GB2312" w:hAnsi="宋体" w:eastAsia="楷体_GB2312" w:cs="Times New Roman"/>
          <w:b/>
          <w:color w:val="auto"/>
          <w:sz w:val="32"/>
          <w:szCs w:val="32"/>
          <w:highlight w:val="none"/>
          <w:u w:val="none"/>
          <w:lang w:val="zh-CN"/>
        </w:rPr>
      </w:pPr>
      <w:r>
        <w:rPr>
          <w:rFonts w:hint="eastAsia" w:ascii="楷体_GB2312" w:hAnsi="宋体" w:eastAsia="楷体_GB2312" w:cs="Times New Roman"/>
          <w:b/>
          <w:color w:val="auto"/>
          <w:sz w:val="32"/>
          <w:szCs w:val="32"/>
          <w:highlight w:val="none"/>
          <w:u w:val="none"/>
          <w:lang w:val="zh-CN"/>
        </w:rPr>
        <w:t>评价方法</w:t>
      </w:r>
    </w:p>
    <w:p w14:paraId="6DA4F705">
      <w:pPr>
        <w:snapToGrid w:val="0"/>
        <w:spacing w:line="600" w:lineRule="exact"/>
        <w:ind w:firstLine="640" w:firstLineChars="200"/>
        <w:rPr>
          <w:rFonts w:ascii="仿宋" w:hAnsi="仿宋" w:eastAsia="仿宋" w:cs="Times New Roman"/>
          <w:sz w:val="32"/>
          <w:szCs w:val="32"/>
        </w:rPr>
      </w:pPr>
      <w:r>
        <w:rPr>
          <w:rFonts w:hint="eastAsia" w:ascii="仿宋" w:hAnsi="仿宋" w:eastAsia="仿宋" w:cs="仿宋_GB2312"/>
          <w:sz w:val="32"/>
          <w:szCs w:val="32"/>
        </w:rPr>
        <w:t>按照有关规定和工作安排</w:t>
      </w:r>
      <w:r>
        <w:rPr>
          <w:rFonts w:hint="eastAsia" w:ascii="仿宋" w:hAnsi="仿宋" w:eastAsia="仿宋" w:cs="Times New Roman"/>
          <w:sz w:val="32"/>
          <w:szCs w:val="32"/>
        </w:rPr>
        <w:t>，通过与项目相关人员座谈</w:t>
      </w:r>
      <w:r>
        <w:rPr>
          <w:rFonts w:hint="eastAsia" w:ascii="仿宋" w:hAnsi="仿宋" w:eastAsia="仿宋" w:cs="Times New Roman"/>
          <w:sz w:val="32"/>
          <w:szCs w:val="32"/>
          <w:lang w:eastAsia="zh-CN"/>
        </w:rPr>
        <w:t>、</w:t>
      </w:r>
      <w:r>
        <w:rPr>
          <w:rFonts w:hint="eastAsia" w:ascii="仿宋" w:hAnsi="仿宋" w:eastAsia="仿宋" w:cs="Times New Roman"/>
          <w:sz w:val="32"/>
          <w:szCs w:val="32"/>
        </w:rPr>
        <w:t>讨论、</w:t>
      </w:r>
      <w:r>
        <w:rPr>
          <w:rFonts w:ascii="仿宋" w:hAnsi="仿宋" w:eastAsia="仿宋" w:cs="Times New Roman"/>
          <w:sz w:val="32"/>
          <w:szCs w:val="32"/>
        </w:rPr>
        <w:t>市场调研</w:t>
      </w:r>
      <w:r>
        <w:rPr>
          <w:rFonts w:hint="eastAsia" w:ascii="仿宋" w:hAnsi="仿宋" w:eastAsia="仿宋" w:cs="Times New Roman"/>
          <w:sz w:val="32"/>
          <w:szCs w:val="32"/>
        </w:rPr>
        <w:t>等方法</w:t>
      </w:r>
      <w:r>
        <w:rPr>
          <w:rFonts w:ascii="仿宋" w:hAnsi="仿宋" w:eastAsia="仿宋" w:cs="Times New Roman"/>
          <w:sz w:val="32"/>
          <w:szCs w:val="32"/>
        </w:rPr>
        <w:t>了解项目情况</w:t>
      </w:r>
      <w:r>
        <w:rPr>
          <w:rFonts w:hint="eastAsia" w:ascii="仿宋" w:hAnsi="仿宋" w:eastAsia="仿宋" w:cs="Times New Roman"/>
          <w:sz w:val="32"/>
          <w:szCs w:val="32"/>
        </w:rPr>
        <w:t>，收集相关资料，综合分析相关情况后，对项目的立项必要性、投入经济性、目标合理性、方案可行性以及筹资合规性实施评估。</w:t>
      </w:r>
    </w:p>
    <w:p w14:paraId="468C4E3D">
      <w:pPr>
        <w:widowControl w:val="0"/>
        <w:spacing w:line="560" w:lineRule="exact"/>
        <w:ind w:left="0" w:leftChars="0" w:firstLine="640" w:firstLineChars="200"/>
        <w:contextualSpacing/>
        <w:jc w:val="left"/>
        <w:rPr>
          <w:rFonts w:hint="eastAsia" w:ascii="Times New Roman" w:hAnsi="Times New Roman" w:eastAsia="仿宋_GB2312" w:cs="Times New Roman"/>
          <w:kern w:val="2"/>
          <w:sz w:val="32"/>
          <w:szCs w:val="32"/>
          <w:lang w:val="en-US" w:eastAsia="zh-CN" w:bidi="ar-SA"/>
        </w:rPr>
      </w:pPr>
      <w:r>
        <w:rPr>
          <w:rFonts w:hint="eastAsia" w:ascii="仿宋_GB2312" w:hAnsi="仿宋_GB2312" w:eastAsia="仿宋_GB2312" w:cs="仿宋_GB2312"/>
          <w:kern w:val="2"/>
          <w:sz w:val="32"/>
          <w:szCs w:val="32"/>
          <w:lang w:val="en-US" w:eastAsia="zh-CN" w:bidi="ar-SA"/>
        </w:rPr>
        <w:t>成立广元市粮油质量监测站粮食质量安全检验监测能力提升项目工作领导小组，由广元市发展改革委员会党组书记、主任彭仕扬为组长，广元市发展改革委员会党组成员、副主任陈林为副组长，领导小组办公室设在市粮油质量监测站，由何其同志负责具体日常工作。严格按照</w:t>
      </w:r>
      <w:r>
        <w:rPr>
          <w:rFonts w:hint="eastAsia" w:ascii="仿宋" w:hAnsi="仿宋" w:eastAsia="仿宋" w:cs="Times New Roman"/>
          <w:kern w:val="2"/>
          <w:sz w:val="32"/>
          <w:szCs w:val="32"/>
          <w:lang w:val="en-US" w:eastAsia="zh-CN" w:bidi="ar-SA"/>
        </w:rPr>
        <w:t>政府采购流程组织实施。组织机构健全、职责分工明确，基础设施条件能够有效保障该项目的实施，并结合实际制定了项目实施方案，进一步明确了项目实施时间、工作程序和质量检查、验收等控制措施和应对突发事件的应急措施。</w:t>
      </w:r>
    </w:p>
    <w:p w14:paraId="5853A9B7">
      <w:pPr>
        <w:keepNext w:val="0"/>
        <w:keepLines w:val="0"/>
        <w:pageBreakBefore w:val="0"/>
        <w:kinsoku/>
        <w:wordWrap/>
        <w:overflowPunct/>
        <w:topLinePunct w:val="0"/>
        <w:autoSpaceDE/>
        <w:autoSpaceDN/>
        <w:bidi w:val="0"/>
        <w:adjustRightInd w:val="0"/>
        <w:snapToGrid w:val="0"/>
        <w:spacing w:line="578" w:lineRule="exact"/>
        <w:ind w:firstLine="640" w:firstLineChars="200"/>
        <w:textAlignment w:val="auto"/>
        <w:rPr>
          <w:rFonts w:ascii="仿宋_GB2312" w:hAnsi="宋体" w:eastAsia="仿宋_GB2312" w:cs="Times New Roman"/>
          <w:color w:val="auto"/>
          <w:sz w:val="32"/>
          <w:szCs w:val="32"/>
          <w:highlight w:val="none"/>
          <w:u w:val="none"/>
          <w:lang w:val="zh-CN"/>
        </w:rPr>
      </w:pPr>
      <w:r>
        <w:rPr>
          <w:rFonts w:hint="eastAsia" w:ascii="黑体" w:hAnsi="宋体" w:eastAsia="黑体" w:cs="Times New Roman"/>
          <w:color w:val="auto"/>
          <w:sz w:val="32"/>
          <w:szCs w:val="32"/>
          <w:highlight w:val="none"/>
          <w:u w:val="none"/>
        </w:rPr>
        <w:t>三、</w:t>
      </w:r>
      <w:r>
        <w:rPr>
          <w:rFonts w:hint="eastAsia" w:ascii="黑体" w:hAnsi="宋体" w:eastAsia="黑体" w:cs="Times New Roman"/>
          <w:color w:val="auto"/>
          <w:sz w:val="32"/>
          <w:szCs w:val="32"/>
          <w:highlight w:val="none"/>
          <w:u w:val="none"/>
          <w:lang w:eastAsia="zh-CN"/>
        </w:rPr>
        <w:t>绩效分析</w:t>
      </w:r>
      <w:r>
        <w:rPr>
          <w:rFonts w:hint="eastAsia" w:ascii="仿宋_GB2312" w:hAnsi="宋体" w:eastAsia="仿宋_GB2312" w:cs="Times New Roman"/>
          <w:color w:val="auto"/>
          <w:sz w:val="32"/>
          <w:szCs w:val="32"/>
          <w:highlight w:val="none"/>
          <w:u w:val="none"/>
          <w:lang w:val="zh-CN"/>
        </w:rPr>
        <w:tab/>
      </w:r>
    </w:p>
    <w:p w14:paraId="24C17DF4">
      <w:pPr>
        <w:keepNext w:val="0"/>
        <w:keepLines w:val="0"/>
        <w:pageBreakBefore w:val="0"/>
        <w:widowControl w:val="0"/>
        <w:kinsoku/>
        <w:wordWrap/>
        <w:overflowPunct/>
        <w:topLinePunct w:val="0"/>
        <w:autoSpaceDE/>
        <w:autoSpaceDN/>
        <w:bidi w:val="0"/>
        <w:spacing w:line="578" w:lineRule="exact"/>
        <w:ind w:firstLine="640"/>
        <w:textAlignment w:val="auto"/>
        <w:outlineLvl w:val="9"/>
        <w:rPr>
          <w:rFonts w:hint="eastAsia" w:ascii="Times New Roman" w:hAnsi="Times New Roman" w:eastAsia="仿宋_GB2312" w:cs="Times New Roman"/>
          <w:sz w:val="32"/>
          <w:szCs w:val="32"/>
          <w:lang w:val="en-US" w:eastAsia="zh-CN"/>
        </w:rPr>
      </w:pPr>
      <w:r>
        <w:rPr>
          <w:rFonts w:hint="default" w:ascii="Times New Roman" w:hAnsi="Times New Roman" w:eastAsia="仿宋_GB2312" w:cs="Times New Roman"/>
          <w:sz w:val="32"/>
          <w:szCs w:val="32"/>
          <w:lang w:val="zh-CN" w:eastAsia="zh-CN"/>
        </w:rPr>
        <w:t>根据</w:t>
      </w:r>
      <w:r>
        <w:rPr>
          <w:rFonts w:hint="eastAsia" w:ascii="Times New Roman" w:hAnsi="Times New Roman" w:eastAsia="仿宋_GB2312" w:cs="Times New Roman"/>
          <w:sz w:val="32"/>
          <w:szCs w:val="32"/>
          <w:lang w:val="zh-CN" w:eastAsia="zh-CN"/>
        </w:rPr>
        <w:t>项目</w:t>
      </w:r>
      <w:r>
        <w:rPr>
          <w:rFonts w:hint="default" w:ascii="Times New Roman" w:hAnsi="Times New Roman" w:eastAsia="仿宋_GB2312" w:cs="Times New Roman"/>
          <w:sz w:val="32"/>
          <w:szCs w:val="32"/>
          <w:lang w:val="zh-CN" w:eastAsia="zh-CN"/>
        </w:rPr>
        <w:t>预算绩效评价指标体系“</w:t>
      </w:r>
      <w:r>
        <w:rPr>
          <w:rFonts w:hint="eastAsia" w:ascii="Times New Roman" w:hAnsi="Times New Roman" w:eastAsia="仿宋_GB2312" w:cs="Times New Roman"/>
          <w:sz w:val="32"/>
          <w:szCs w:val="32"/>
          <w:lang w:val="zh-CN" w:eastAsia="zh-CN"/>
        </w:rPr>
        <w:t>通用指标</w:t>
      </w:r>
      <w:r>
        <w:rPr>
          <w:rFonts w:hint="default" w:ascii="Times New Roman" w:hAnsi="Times New Roman" w:eastAsia="仿宋_GB2312" w:cs="Times New Roman"/>
          <w:sz w:val="32"/>
          <w:szCs w:val="32"/>
          <w:lang w:val="zh-CN" w:eastAsia="zh-CN"/>
        </w:rPr>
        <w:t>”</w:t>
      </w:r>
      <w:r>
        <w:rPr>
          <w:rFonts w:hint="eastAsia" w:ascii="Times New Roman" w:hAnsi="Times New Roman" w:eastAsia="仿宋_GB2312" w:cs="Times New Roman"/>
          <w:sz w:val="32"/>
          <w:szCs w:val="32"/>
          <w:lang w:val="zh-CN" w:eastAsia="zh-CN"/>
        </w:rPr>
        <w:t>“专用指标”“个性指标”</w:t>
      </w:r>
      <w:r>
        <w:rPr>
          <w:rFonts w:hint="default" w:ascii="Times New Roman" w:hAnsi="Times New Roman" w:eastAsia="仿宋_GB2312" w:cs="Times New Roman"/>
          <w:sz w:val="32"/>
          <w:szCs w:val="32"/>
          <w:lang w:val="zh-CN" w:eastAsia="zh-CN"/>
        </w:rPr>
        <w:t>涉及</w:t>
      </w:r>
      <w:r>
        <w:rPr>
          <w:rFonts w:hint="eastAsia" w:ascii="Times New Roman" w:hAnsi="Times New Roman" w:eastAsia="仿宋_GB2312" w:cs="Times New Roman"/>
          <w:sz w:val="32"/>
          <w:szCs w:val="32"/>
          <w:lang w:val="zh-CN" w:eastAsia="zh-CN"/>
        </w:rPr>
        <w:t>二、三级</w:t>
      </w:r>
      <w:r>
        <w:rPr>
          <w:rFonts w:hint="default" w:ascii="Times New Roman" w:hAnsi="Times New Roman" w:eastAsia="仿宋_GB2312" w:cs="Times New Roman"/>
          <w:sz w:val="32"/>
          <w:szCs w:val="32"/>
          <w:lang w:val="zh-CN" w:eastAsia="zh-CN"/>
        </w:rPr>
        <w:t>指标进行</w:t>
      </w:r>
      <w:r>
        <w:rPr>
          <w:rFonts w:hint="eastAsia" w:ascii="Times New Roman" w:hAnsi="Times New Roman" w:eastAsia="仿宋_GB2312" w:cs="Times New Roman"/>
          <w:sz w:val="32"/>
          <w:szCs w:val="32"/>
          <w:lang w:val="zh-CN" w:eastAsia="zh-CN"/>
        </w:rPr>
        <w:t>逐项</w:t>
      </w:r>
      <w:r>
        <w:rPr>
          <w:rFonts w:hint="default" w:ascii="Times New Roman" w:hAnsi="Times New Roman" w:eastAsia="仿宋_GB2312" w:cs="Times New Roman"/>
          <w:sz w:val="32"/>
          <w:szCs w:val="32"/>
          <w:lang w:val="zh-CN" w:eastAsia="zh-CN"/>
        </w:rPr>
        <w:t>绩效分析</w:t>
      </w:r>
      <w:r>
        <w:rPr>
          <w:rFonts w:hint="eastAsia" w:ascii="Times New Roman" w:hAnsi="Times New Roman" w:eastAsia="仿宋_GB2312" w:cs="Times New Roman"/>
          <w:sz w:val="32"/>
          <w:szCs w:val="32"/>
          <w:lang w:val="zh-CN" w:eastAsia="zh-CN"/>
        </w:rPr>
        <w:t>并评分</w:t>
      </w:r>
      <w:r>
        <w:rPr>
          <w:rFonts w:hint="eastAsia" w:ascii="Times New Roman" w:hAnsi="Times New Roman" w:eastAsia="仿宋_GB2312" w:cs="Times New Roman"/>
          <w:sz w:val="32"/>
          <w:szCs w:val="32"/>
          <w:lang w:val="en-US" w:eastAsia="zh-CN"/>
        </w:rPr>
        <w:t>。</w:t>
      </w:r>
    </w:p>
    <w:p w14:paraId="1703EB65">
      <w:pPr>
        <w:keepNext w:val="0"/>
        <w:keepLines w:val="0"/>
        <w:pageBreakBefore w:val="0"/>
        <w:widowControl w:val="0"/>
        <w:kinsoku/>
        <w:wordWrap/>
        <w:overflowPunct/>
        <w:topLinePunct w:val="0"/>
        <w:autoSpaceDE/>
        <w:autoSpaceDN/>
        <w:bidi w:val="0"/>
        <w:adjustRightInd/>
        <w:snapToGrid/>
        <w:spacing w:line="578" w:lineRule="exact"/>
        <w:ind w:firstLine="640"/>
        <w:textAlignment w:val="auto"/>
        <w:outlineLvl w:val="9"/>
        <w:rPr>
          <w:rFonts w:hint="eastAsia" w:ascii="楷体_GB2312" w:hAnsi="宋体" w:eastAsia="楷体_GB2312" w:cs="Times New Roman"/>
          <w:b/>
          <w:color w:val="auto"/>
          <w:sz w:val="32"/>
          <w:szCs w:val="32"/>
          <w:highlight w:val="none"/>
          <w:u w:val="none"/>
          <w:lang w:val="en-US" w:eastAsia="zh-CN"/>
        </w:rPr>
      </w:pPr>
      <w:r>
        <w:rPr>
          <w:rFonts w:hint="eastAsia" w:ascii="楷体_GB2312" w:hAnsi="宋体" w:eastAsia="楷体_GB2312" w:cs="Times New Roman"/>
          <w:b/>
          <w:color w:val="auto"/>
          <w:sz w:val="32"/>
          <w:szCs w:val="32"/>
          <w:highlight w:val="none"/>
          <w:u w:val="none"/>
          <w:lang w:val="zh-CN"/>
        </w:rPr>
        <w:t>（一）</w:t>
      </w:r>
      <w:r>
        <w:rPr>
          <w:rFonts w:hint="eastAsia" w:ascii="楷体_GB2312" w:hAnsi="宋体" w:eastAsia="楷体_GB2312" w:cs="Times New Roman"/>
          <w:b/>
          <w:color w:val="auto"/>
          <w:sz w:val="32"/>
          <w:szCs w:val="32"/>
          <w:highlight w:val="none"/>
          <w:u w:val="none"/>
          <w:lang w:val="en-US" w:eastAsia="zh-CN"/>
        </w:rPr>
        <w:t>通用指标</w:t>
      </w:r>
      <w:r>
        <w:rPr>
          <w:rFonts w:hint="default" w:ascii="Times New Roman" w:hAnsi="Times New Roman" w:eastAsia="楷体_GB2312" w:cs="Times New Roman"/>
          <w:b/>
          <w:bCs/>
          <w:color w:val="000000"/>
          <w:kern w:val="0"/>
          <w:sz w:val="32"/>
          <w:szCs w:val="32"/>
          <w:highlight w:val="none"/>
          <w:shd w:val="clear" w:color="auto" w:fill="FFFFFF"/>
          <w:lang w:val="zh-CN"/>
        </w:rPr>
        <w:t>绩效分析。</w:t>
      </w:r>
    </w:p>
    <w:p w14:paraId="7A8654D8">
      <w:pPr>
        <w:keepNext w:val="0"/>
        <w:keepLines w:val="0"/>
        <w:pageBreakBefore w:val="0"/>
        <w:widowControl w:val="0"/>
        <w:kinsoku/>
        <w:wordWrap/>
        <w:overflowPunct/>
        <w:topLinePunct w:val="0"/>
        <w:autoSpaceDE/>
        <w:autoSpaceDN/>
        <w:bidi w:val="0"/>
        <w:adjustRightInd/>
        <w:snapToGrid/>
        <w:spacing w:line="578" w:lineRule="exact"/>
        <w:ind w:firstLine="640"/>
        <w:textAlignment w:val="auto"/>
        <w:outlineLvl w:val="9"/>
        <w:rPr>
          <w:rFonts w:hint="eastAsia" w:ascii="仿宋_GB2312" w:hAnsi="仿宋_GB2312" w:eastAsia="仿宋_GB2312" w:cs="仿宋_GB2312"/>
          <w:sz w:val="32"/>
          <w:szCs w:val="32"/>
          <w:lang w:eastAsia="zh-CN"/>
        </w:rPr>
      </w:pPr>
      <w:r>
        <w:rPr>
          <w:rFonts w:hint="eastAsia" w:ascii="仿宋_GB2312" w:hAnsi="仿宋_GB2312" w:eastAsia="仿宋_GB2312" w:cs="仿宋_GB2312"/>
          <w:color w:val="auto"/>
          <w:sz w:val="32"/>
          <w:szCs w:val="32"/>
          <w:lang w:val="en-US" w:eastAsia="zh-CN"/>
        </w:rPr>
        <w:t>1.</w:t>
      </w:r>
      <w:r>
        <w:rPr>
          <w:rFonts w:hint="eastAsia" w:ascii="仿宋_GB2312" w:hAnsi="仿宋_GB2312" w:eastAsia="仿宋_GB2312" w:cs="仿宋_GB2312"/>
          <w:color w:val="auto"/>
          <w:sz w:val="32"/>
          <w:szCs w:val="32"/>
          <w:lang w:eastAsia="zh-CN"/>
        </w:rPr>
        <w:t>项目决策。</w:t>
      </w:r>
      <w:r>
        <w:rPr>
          <w:rFonts w:hint="eastAsia" w:ascii="仿宋_GB2312" w:hAnsi="仿宋_GB2312" w:eastAsia="仿宋_GB2312" w:cs="仿宋_GB2312"/>
          <w:sz w:val="32"/>
          <w:szCs w:val="32"/>
          <w:lang w:val="en-US" w:eastAsia="zh-CN"/>
        </w:rPr>
        <w:t>项</w:t>
      </w:r>
      <w:r>
        <w:rPr>
          <w:rFonts w:hint="eastAsia" w:ascii="仿宋_GB2312" w:hAnsi="仿宋_GB2312" w:eastAsia="仿宋_GB2312" w:cs="仿宋_GB2312"/>
          <w:sz w:val="32"/>
          <w:szCs w:val="32"/>
        </w:rPr>
        <w:t>目符合资金管理基本规范和决策程序要求，项目规划论证符合中省市要求，项目绩效目标设置科学合理。项目资金与相关行业事业发展相匹配，属于政府支持范围，且符合财政事权支出责任划分规定，未与其他同类项目或部门内部相关项目交叉重复。绩效分析得分</w:t>
      </w:r>
      <w:r>
        <w:rPr>
          <w:rFonts w:hint="eastAsia" w:ascii="仿宋_GB2312" w:hAnsi="仿宋_GB2312" w:eastAsia="仿宋_GB2312" w:cs="仿宋_GB2312"/>
          <w:sz w:val="32"/>
          <w:szCs w:val="32"/>
          <w:lang w:val="en-US" w:eastAsia="zh-CN"/>
        </w:rPr>
        <w:t>18</w:t>
      </w:r>
      <w:r>
        <w:rPr>
          <w:rFonts w:hint="eastAsia" w:ascii="仿宋_GB2312" w:hAnsi="仿宋_GB2312" w:eastAsia="仿宋_GB2312" w:cs="仿宋_GB2312"/>
          <w:sz w:val="32"/>
          <w:szCs w:val="32"/>
        </w:rPr>
        <w:t>分。</w:t>
      </w:r>
    </w:p>
    <w:p w14:paraId="410EAF20">
      <w:pPr>
        <w:keepNext w:val="0"/>
        <w:keepLines w:val="0"/>
        <w:pageBreakBefore w:val="0"/>
        <w:widowControl w:val="0"/>
        <w:numPr>
          <w:ilvl w:val="0"/>
          <w:numId w:val="0"/>
        </w:numPr>
        <w:kinsoku/>
        <w:wordWrap/>
        <w:overflowPunct/>
        <w:topLinePunct w:val="0"/>
        <w:autoSpaceDE/>
        <w:autoSpaceDN/>
        <w:bidi w:val="0"/>
        <w:adjustRightInd/>
        <w:snapToGrid/>
        <w:spacing w:line="578" w:lineRule="exact"/>
        <w:ind w:firstLine="640" w:firstLineChars="200"/>
        <w:textAlignment w:val="auto"/>
        <w:outlineLvl w:val="9"/>
        <w:rPr>
          <w:rFonts w:hint="eastAsia" w:ascii="仿宋_GB2312" w:hAnsi="仿宋_GB2312" w:eastAsia="仿宋_GB2312" w:cs="仿宋_GB2312"/>
          <w:b w:val="0"/>
          <w:kern w:val="2"/>
          <w:sz w:val="32"/>
          <w:szCs w:val="32"/>
          <w:lang w:val="en-US" w:eastAsia="zh-CN" w:bidi="ar-SA"/>
        </w:rPr>
      </w:pPr>
      <w:r>
        <w:rPr>
          <w:rFonts w:hint="eastAsia" w:ascii="仿宋_GB2312" w:hAnsi="仿宋_GB2312" w:eastAsia="仿宋_GB2312" w:cs="仿宋_GB2312"/>
          <w:color w:val="auto"/>
          <w:sz w:val="32"/>
          <w:szCs w:val="32"/>
          <w:lang w:val="en-US" w:eastAsia="zh-CN"/>
        </w:rPr>
        <w:t>2.</w:t>
      </w:r>
      <w:r>
        <w:rPr>
          <w:rFonts w:hint="eastAsia" w:ascii="仿宋_GB2312" w:hAnsi="仿宋_GB2312" w:eastAsia="仿宋_GB2312" w:cs="仿宋_GB2312"/>
          <w:color w:val="auto"/>
          <w:sz w:val="32"/>
          <w:szCs w:val="32"/>
          <w:lang w:eastAsia="zh-CN"/>
        </w:rPr>
        <w:t>项目管理。</w:t>
      </w:r>
      <w:r>
        <w:rPr>
          <w:rFonts w:hint="eastAsia" w:ascii="仿宋_GB2312" w:hAnsi="仿宋_GB2312" w:eastAsia="仿宋_GB2312" w:cs="仿宋_GB2312"/>
          <w:b w:val="0"/>
          <w:kern w:val="2"/>
          <w:sz w:val="32"/>
          <w:szCs w:val="32"/>
          <w:lang w:val="en-US" w:eastAsia="zh-CN" w:bidi="ar-SA"/>
        </w:rPr>
        <w:t>项目制度办法、资金管理办法等管理制度体系健全完善，不存在管理制度缺失、管理办法过期情况，项目管理、审批符合管理要求，决策程序符合管理要求，及时高效，项目开展严格按照要求全面完成绩效目标（含事前评估）、绩效评价等预算绩效管理工作。绩效分析得分18分。</w:t>
      </w:r>
    </w:p>
    <w:p w14:paraId="4CE2ADD2">
      <w:pPr>
        <w:keepNext w:val="0"/>
        <w:keepLines w:val="0"/>
        <w:pageBreakBefore w:val="0"/>
        <w:widowControl w:val="0"/>
        <w:numPr>
          <w:ilvl w:val="0"/>
          <w:numId w:val="0"/>
        </w:numPr>
        <w:kinsoku/>
        <w:wordWrap/>
        <w:overflowPunct/>
        <w:topLinePunct w:val="0"/>
        <w:autoSpaceDE/>
        <w:autoSpaceDN/>
        <w:bidi w:val="0"/>
        <w:adjustRightInd/>
        <w:snapToGrid/>
        <w:spacing w:line="578" w:lineRule="exact"/>
        <w:ind w:firstLine="640" w:firstLineChars="200"/>
        <w:textAlignment w:val="auto"/>
        <w:outlineLvl w:val="9"/>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lang w:val="en-US" w:eastAsia="zh-CN"/>
        </w:rPr>
        <w:t>3.项目实施。</w:t>
      </w:r>
      <w:r>
        <w:rPr>
          <w:rFonts w:hint="eastAsia" w:ascii="仿宋_GB2312" w:hAnsi="仿宋_GB2312" w:eastAsia="仿宋_GB2312" w:cs="仿宋_GB2312"/>
          <w:sz w:val="32"/>
          <w:szCs w:val="32"/>
        </w:rPr>
        <w:t>项目资金财政拨付</w:t>
      </w:r>
      <w:r>
        <w:rPr>
          <w:rFonts w:hint="eastAsia" w:ascii="仿宋_GB2312" w:hAnsi="仿宋_GB2312" w:eastAsia="仿宋_GB2312" w:cs="仿宋_GB2312"/>
          <w:sz w:val="32"/>
          <w:szCs w:val="32"/>
          <w:lang w:val="en-US" w:eastAsia="zh-CN"/>
        </w:rPr>
        <w:t>150</w:t>
      </w:r>
      <w:r>
        <w:rPr>
          <w:rFonts w:hint="eastAsia" w:ascii="仿宋_GB2312" w:hAnsi="仿宋_GB2312" w:eastAsia="仿宋_GB2312" w:cs="仿宋_GB2312"/>
          <w:sz w:val="32"/>
          <w:szCs w:val="32"/>
        </w:rPr>
        <w:t>万元，单位执行到位</w:t>
      </w:r>
      <w:r>
        <w:rPr>
          <w:rFonts w:hint="eastAsia" w:ascii="仿宋_GB2312" w:hAnsi="仿宋_GB2312" w:eastAsia="仿宋_GB2312" w:cs="仿宋_GB2312"/>
          <w:sz w:val="32"/>
          <w:szCs w:val="32"/>
          <w:lang w:val="en-US" w:eastAsia="zh-CN"/>
        </w:rPr>
        <w:t>149.5</w:t>
      </w:r>
      <w:r>
        <w:rPr>
          <w:rFonts w:hint="eastAsia" w:ascii="仿宋_GB2312" w:hAnsi="仿宋_GB2312" w:eastAsia="仿宋_GB2312" w:cs="仿宋_GB2312"/>
          <w:sz w:val="32"/>
          <w:szCs w:val="32"/>
        </w:rPr>
        <w:t>万元。项目资金使用、拨付符合国家财经法规、财务管理制度及有关专项资金管理制度办法规定和审批程序。绩效分析得分9分。</w:t>
      </w:r>
    </w:p>
    <w:p w14:paraId="6D361362">
      <w:pPr>
        <w:keepNext w:val="0"/>
        <w:keepLines w:val="0"/>
        <w:pageBreakBefore w:val="0"/>
        <w:widowControl w:val="0"/>
        <w:numPr>
          <w:ilvl w:val="0"/>
          <w:numId w:val="0"/>
        </w:numPr>
        <w:kinsoku/>
        <w:wordWrap/>
        <w:overflowPunct/>
        <w:topLinePunct w:val="0"/>
        <w:autoSpaceDE/>
        <w:autoSpaceDN/>
        <w:bidi w:val="0"/>
        <w:adjustRightInd/>
        <w:snapToGrid/>
        <w:spacing w:line="578" w:lineRule="exact"/>
        <w:ind w:firstLine="640" w:firstLineChars="200"/>
        <w:textAlignment w:val="auto"/>
        <w:outlineLvl w:val="9"/>
        <w:rPr>
          <w:rFonts w:hint="eastAsia" w:ascii="仿宋_GB2312" w:hAnsi="仿宋_GB2312" w:eastAsia="仿宋_GB2312" w:cs="仿宋_GB2312"/>
          <w:b w:val="0"/>
          <w:kern w:val="2"/>
          <w:sz w:val="32"/>
          <w:szCs w:val="32"/>
          <w:lang w:val="en-US" w:eastAsia="zh-CN" w:bidi="ar-SA"/>
        </w:rPr>
      </w:pPr>
      <w:r>
        <w:rPr>
          <w:rFonts w:hint="eastAsia" w:ascii="仿宋_GB2312" w:hAnsi="仿宋_GB2312" w:eastAsia="仿宋_GB2312" w:cs="仿宋_GB2312"/>
          <w:color w:val="auto"/>
          <w:sz w:val="32"/>
          <w:szCs w:val="32"/>
          <w:lang w:val="en-US" w:eastAsia="zh-CN"/>
        </w:rPr>
        <w:t>4.项目结果。</w:t>
      </w:r>
      <w:r>
        <w:rPr>
          <w:rFonts w:hint="eastAsia" w:ascii="仿宋_GB2312" w:hAnsi="仿宋_GB2312" w:eastAsia="仿宋_GB2312" w:cs="仿宋_GB2312"/>
          <w:b w:val="0"/>
          <w:kern w:val="2"/>
          <w:sz w:val="32"/>
          <w:szCs w:val="32"/>
          <w:lang w:val="en-US" w:eastAsia="zh-CN" w:bidi="ar-SA"/>
        </w:rPr>
        <w:t>项目时效提前4个月，达到了预期目标，实施结果与绩效目标相匹配。绩效分析得分9分。</w:t>
      </w:r>
    </w:p>
    <w:p w14:paraId="313078FE">
      <w:pPr>
        <w:keepNext w:val="0"/>
        <w:keepLines w:val="0"/>
        <w:pageBreakBefore w:val="0"/>
        <w:widowControl w:val="0"/>
        <w:kinsoku/>
        <w:wordWrap/>
        <w:overflowPunct/>
        <w:topLinePunct w:val="0"/>
        <w:autoSpaceDE/>
        <w:autoSpaceDN/>
        <w:bidi w:val="0"/>
        <w:adjustRightInd/>
        <w:snapToGrid/>
        <w:spacing w:line="578" w:lineRule="exact"/>
        <w:ind w:firstLine="643" w:firstLineChars="200"/>
        <w:textAlignment w:val="auto"/>
        <w:outlineLvl w:val="9"/>
        <w:rPr>
          <w:rFonts w:hint="eastAsia" w:ascii="楷体_GB2312" w:hAnsi="楷体_GB2312" w:eastAsia="楷体_GB2312" w:cs="楷体_GB2312"/>
          <w:color w:val="auto"/>
          <w:sz w:val="32"/>
          <w:szCs w:val="32"/>
          <w:lang w:val="zh-CN" w:eastAsia="zh-CN"/>
        </w:rPr>
      </w:pPr>
      <w:r>
        <w:rPr>
          <w:rFonts w:hint="eastAsia" w:ascii="楷体_GB2312" w:hAnsi="宋体" w:eastAsia="楷体_GB2312" w:cs="Times New Roman"/>
          <w:b/>
          <w:color w:val="auto"/>
          <w:sz w:val="32"/>
          <w:szCs w:val="32"/>
          <w:highlight w:val="none"/>
          <w:u w:val="none"/>
          <w:lang w:val="zh-CN"/>
        </w:rPr>
        <w:t>（二）</w:t>
      </w:r>
      <w:r>
        <w:rPr>
          <w:rFonts w:hint="eastAsia" w:ascii="楷体_GB2312" w:hAnsi="宋体" w:eastAsia="楷体_GB2312" w:cs="Times New Roman"/>
          <w:b/>
          <w:color w:val="auto"/>
          <w:sz w:val="32"/>
          <w:szCs w:val="32"/>
          <w:highlight w:val="none"/>
          <w:u w:val="none"/>
          <w:lang w:val="en-US" w:eastAsia="zh-CN"/>
        </w:rPr>
        <w:t>专用指标</w:t>
      </w:r>
      <w:r>
        <w:rPr>
          <w:rFonts w:hint="default" w:ascii="Times New Roman" w:hAnsi="Times New Roman" w:eastAsia="楷体_GB2312" w:cs="Times New Roman"/>
          <w:b/>
          <w:bCs/>
          <w:color w:val="000000"/>
          <w:kern w:val="0"/>
          <w:sz w:val="32"/>
          <w:szCs w:val="32"/>
          <w:highlight w:val="none"/>
          <w:shd w:val="clear" w:color="auto" w:fill="FFFFFF"/>
          <w:lang w:val="zh-CN"/>
        </w:rPr>
        <w:t>绩效分析。</w:t>
      </w:r>
    </w:p>
    <w:p w14:paraId="7CC4F2D4">
      <w:pPr>
        <w:keepNext w:val="0"/>
        <w:keepLines w:val="0"/>
        <w:pageBreakBefore w:val="0"/>
        <w:widowControl w:val="0"/>
        <w:kinsoku/>
        <w:wordWrap/>
        <w:overflowPunct/>
        <w:topLinePunct w:val="0"/>
        <w:autoSpaceDE/>
        <w:autoSpaceDN/>
        <w:bidi w:val="0"/>
        <w:adjustRightInd/>
        <w:snapToGrid/>
        <w:spacing w:line="578" w:lineRule="exact"/>
        <w:ind w:left="0" w:leftChars="0" w:firstLine="640" w:firstLineChars="200"/>
        <w:textAlignment w:val="auto"/>
        <w:outlineLvl w:val="9"/>
        <w:rPr>
          <w:rFonts w:hint="eastAsia" w:ascii="Times New Roman" w:hAnsi="Times New Roman" w:eastAsia="仿宋_GB2312" w:cs="Times New Roman"/>
          <w:sz w:val="32"/>
          <w:szCs w:val="32"/>
          <w:lang w:val="en-US" w:eastAsia="zh-CN"/>
        </w:rPr>
      </w:pPr>
      <w:r>
        <w:rPr>
          <w:rFonts w:hint="eastAsia" w:ascii="Times New Roman" w:hAnsi="Times New Roman" w:eastAsia="仿宋_GB2312" w:cs="Times New Roman"/>
          <w:color w:val="auto"/>
          <w:sz w:val="32"/>
          <w:szCs w:val="32"/>
          <w:lang w:val="zh-CN" w:eastAsia="zh-CN"/>
        </w:rPr>
        <w:t>根据</w:t>
      </w:r>
      <w:r>
        <w:rPr>
          <w:rFonts w:hint="eastAsia" w:ascii="Times New Roman" w:hAnsi="Times New Roman" w:eastAsia="仿宋_GB2312" w:cs="Times New Roman"/>
          <w:color w:val="auto"/>
          <w:sz w:val="32"/>
          <w:szCs w:val="32"/>
          <w:lang w:val="en-US" w:eastAsia="zh-CN"/>
        </w:rPr>
        <w:t>专项预算项目资金支持对象选择</w:t>
      </w:r>
      <w:r>
        <w:rPr>
          <w:rFonts w:hint="eastAsia" w:ascii="仿宋_GB2312" w:hAnsi="仿宋_GB2312" w:eastAsia="仿宋_GB2312" w:cs="仿宋_GB2312"/>
          <w:color w:val="auto"/>
          <w:sz w:val="32"/>
          <w:szCs w:val="32"/>
          <w:lang w:val="en-US" w:eastAsia="zh-CN"/>
        </w:rPr>
        <w:t>产业发展，</w:t>
      </w:r>
      <w:r>
        <w:rPr>
          <w:rFonts w:hint="eastAsia" w:ascii="Times New Roman" w:hAnsi="Times New Roman" w:eastAsia="仿宋_GB2312" w:cs="Times New Roman"/>
          <w:b w:val="0"/>
          <w:color w:val="auto"/>
          <w:kern w:val="2"/>
          <w:sz w:val="32"/>
          <w:szCs w:val="32"/>
          <w:lang w:val="en-US" w:eastAsia="zh-CN" w:bidi="ar-SA"/>
        </w:rPr>
        <w:t>助力粮食经济高质量发展，一是指导全市“十四五”期间300万亩优质粮油基地建设，调整种植结构，促进优质品种和特色品种向优势产区集中，实现优质、高产、高效、生态、安全相统一，为助农增收和乡村振兴贡献力量；二是为粮食生产绿色发展提供技术支持，全面贯彻党中央和省、市政府关于粮食安全工作的决策部署，严格落实粮食安全和食品安全党政同责，将粮食安全保障向前推进一公里，守住粮食质量安全的第一道屏障，切实加强全市范围内产新粮食质量安全监测，强化源头污染防控，确保粮食质量安全。三是</w:t>
      </w:r>
      <w:r>
        <w:rPr>
          <w:rFonts w:hint="eastAsia" w:ascii="仿宋_GB2312" w:hAnsi="仿宋_GB2312" w:eastAsia="仿宋_GB2312" w:cs="仿宋_GB2312"/>
          <w:kern w:val="2"/>
          <w:sz w:val="32"/>
          <w:szCs w:val="32"/>
          <w:lang w:val="en-US" w:eastAsia="zh-CN" w:bidi="ar-SA"/>
        </w:rPr>
        <w:t>保障政策性粮食质量安全，达到对政策性粮食必检项目全覆盖，检测样品量年均1000余批次，检验参数由以前的的241项增加到290项以上，检测设备由168提高到186台（套），综合检验检测能力提升20%以上，达到“检得出、检得快、检得准”的要求。</w:t>
      </w:r>
      <w:r>
        <w:rPr>
          <w:rFonts w:hint="eastAsia" w:ascii="Times New Roman" w:hAnsi="Times New Roman" w:eastAsia="仿宋_GB2312" w:cs="Times New Roman"/>
          <w:b w:val="0"/>
          <w:color w:val="auto"/>
          <w:kern w:val="2"/>
          <w:sz w:val="32"/>
          <w:szCs w:val="32"/>
          <w:lang w:val="en-US" w:eastAsia="zh-CN" w:bidi="ar-SA"/>
        </w:rPr>
        <w:t>绩效分析得分30分</w:t>
      </w:r>
    </w:p>
    <w:p w14:paraId="6AF10723">
      <w:pPr>
        <w:adjustRightInd w:val="0"/>
        <w:snapToGrid w:val="0"/>
        <w:spacing w:line="578" w:lineRule="exact"/>
        <w:ind w:firstLine="643" w:firstLineChars="200"/>
        <w:rPr>
          <w:rFonts w:hint="eastAsia" w:ascii="Times New Roman" w:hAnsi="Times New Roman" w:eastAsia="仿宋_GB2312" w:cs="Times New Roman"/>
          <w:b w:val="0"/>
          <w:color w:val="auto"/>
          <w:kern w:val="2"/>
          <w:sz w:val="32"/>
          <w:szCs w:val="32"/>
          <w:lang w:val="en-US" w:eastAsia="zh-CN" w:bidi="ar-SA"/>
        </w:rPr>
      </w:pPr>
      <w:r>
        <w:rPr>
          <w:rFonts w:hint="eastAsia" w:ascii="楷体_GB2312" w:hAnsi="宋体" w:eastAsia="楷体_GB2312" w:cs="Times New Roman"/>
          <w:b/>
          <w:color w:val="auto"/>
          <w:sz w:val="32"/>
          <w:szCs w:val="32"/>
          <w:highlight w:val="none"/>
          <w:u w:val="none"/>
          <w:lang w:val="zh-CN"/>
        </w:rPr>
        <w:t>（三）</w:t>
      </w:r>
      <w:r>
        <w:rPr>
          <w:rFonts w:hint="eastAsia" w:ascii="楷体_GB2312" w:hAnsi="宋体" w:eastAsia="楷体_GB2312" w:cs="Times New Roman"/>
          <w:b/>
          <w:color w:val="auto"/>
          <w:sz w:val="32"/>
          <w:szCs w:val="32"/>
          <w:highlight w:val="none"/>
          <w:u w:val="none"/>
          <w:lang w:val="en-US" w:eastAsia="zh-CN"/>
        </w:rPr>
        <w:t>个性指标</w:t>
      </w:r>
      <w:r>
        <w:rPr>
          <w:rFonts w:hint="default" w:ascii="Times New Roman" w:hAnsi="Times New Roman" w:eastAsia="楷体_GB2312" w:cs="Times New Roman"/>
          <w:b/>
          <w:bCs/>
          <w:color w:val="000000"/>
          <w:kern w:val="0"/>
          <w:sz w:val="32"/>
          <w:szCs w:val="32"/>
          <w:highlight w:val="none"/>
          <w:shd w:val="clear" w:color="auto" w:fill="FFFFFF"/>
          <w:lang w:val="zh-CN"/>
        </w:rPr>
        <w:t>绩效分析。</w:t>
      </w:r>
      <w:r>
        <w:rPr>
          <w:rFonts w:hint="eastAsia" w:ascii="Times New Roman" w:hAnsi="Times New Roman" w:eastAsia="仿宋_GB2312" w:cs="Times New Roman"/>
          <w:b w:val="0"/>
          <w:color w:val="auto"/>
          <w:kern w:val="2"/>
          <w:sz w:val="32"/>
          <w:szCs w:val="32"/>
          <w:lang w:val="en-US" w:eastAsia="zh-CN" w:bidi="ar-SA"/>
        </w:rPr>
        <w:t>协助</w:t>
      </w:r>
      <w:r>
        <w:rPr>
          <w:rFonts w:hint="eastAsia" w:ascii="Times New Roman" w:hAnsi="Times New Roman" w:eastAsia="仿宋_GB2312" w:cs="Times New Roman"/>
          <w:b w:val="0"/>
          <w:color w:val="auto"/>
          <w:kern w:val="2"/>
          <w:sz w:val="32"/>
          <w:szCs w:val="32"/>
          <w:lang w:val="zh-CN" w:eastAsia="zh-CN" w:bidi="ar-SA"/>
        </w:rPr>
        <w:t>完成</w:t>
      </w:r>
      <w:r>
        <w:rPr>
          <w:rFonts w:hint="eastAsia" w:ascii="Times New Roman" w:hAnsi="Times New Roman" w:eastAsia="仿宋_GB2312" w:cs="Times New Roman"/>
          <w:b w:val="0"/>
          <w:color w:val="auto"/>
          <w:kern w:val="2"/>
          <w:sz w:val="32"/>
          <w:szCs w:val="32"/>
          <w:lang w:val="en-US" w:eastAsia="zh-CN" w:bidi="ar-SA"/>
        </w:rPr>
        <w:t>市级</w:t>
      </w:r>
      <w:r>
        <w:rPr>
          <w:rFonts w:hint="eastAsia" w:ascii="Times New Roman" w:hAnsi="Times New Roman" w:eastAsia="仿宋_GB2312" w:cs="Times New Roman"/>
          <w:b w:val="0"/>
          <w:color w:val="auto"/>
          <w:kern w:val="2"/>
          <w:sz w:val="32"/>
          <w:szCs w:val="32"/>
          <w:lang w:val="zh-CN" w:eastAsia="zh-CN" w:bidi="ar-SA"/>
        </w:rPr>
        <w:t>储备任务，</w:t>
      </w:r>
      <w:r>
        <w:rPr>
          <w:rFonts w:hint="eastAsia" w:ascii="Times New Roman" w:hAnsi="Times New Roman" w:eastAsia="仿宋_GB2312" w:cs="Times New Roman"/>
          <w:b w:val="0"/>
          <w:color w:val="auto"/>
          <w:kern w:val="2"/>
          <w:sz w:val="32"/>
          <w:szCs w:val="32"/>
          <w:lang w:val="en-US" w:eastAsia="zh-CN" w:bidi="ar-SA"/>
        </w:rPr>
        <w:t>及时组织开展市级储备原粮、应急小包装粮食、军供粮出入库质量检验和政策性粮食库存检查。绩效分析得分16分。</w:t>
      </w:r>
    </w:p>
    <w:p w14:paraId="619D9A57">
      <w:pPr>
        <w:pageBreakBefore w:val="0"/>
        <w:widowControl/>
        <w:numPr>
          <w:ilvl w:val="0"/>
          <w:numId w:val="0"/>
        </w:numPr>
        <w:tabs>
          <w:tab w:val="left" w:pos="2160"/>
        </w:tabs>
        <w:kinsoku/>
        <w:wordWrap/>
        <w:overflowPunct/>
        <w:topLinePunct w:val="0"/>
        <w:autoSpaceDE/>
        <w:autoSpaceDN/>
        <w:bidi w:val="0"/>
        <w:adjustRightInd/>
        <w:spacing w:line="600" w:lineRule="exact"/>
        <w:ind w:firstLine="640" w:firstLineChars="200"/>
        <w:jc w:val="left"/>
        <w:textAlignment w:val="auto"/>
        <w:rPr>
          <w:rFonts w:hint="eastAsia" w:ascii="黑体" w:hAnsi="宋体" w:eastAsia="黑体" w:cs="Times New Roman"/>
          <w:color w:val="auto"/>
          <w:kern w:val="0"/>
          <w:position w:val="3"/>
          <w:sz w:val="32"/>
          <w:szCs w:val="32"/>
          <w:highlight w:val="none"/>
          <w:u w:val="none"/>
          <w:lang w:val="en-US" w:eastAsia="en-US" w:bidi="ar-SA"/>
        </w:rPr>
      </w:pPr>
      <w:r>
        <w:rPr>
          <w:rFonts w:hint="eastAsia" w:ascii="黑体" w:hAnsi="宋体" w:eastAsia="黑体" w:cs="Times New Roman"/>
          <w:color w:val="auto"/>
          <w:kern w:val="0"/>
          <w:position w:val="3"/>
          <w:sz w:val="32"/>
          <w:szCs w:val="32"/>
          <w:highlight w:val="none"/>
          <w:u w:val="none"/>
          <w:lang w:val="en-US" w:eastAsia="zh-CN" w:bidi="ar-SA"/>
        </w:rPr>
        <w:t>四</w:t>
      </w:r>
      <w:r>
        <w:rPr>
          <w:rFonts w:hint="eastAsia" w:ascii="黑体" w:hAnsi="宋体" w:eastAsia="黑体" w:cs="Times New Roman"/>
          <w:color w:val="auto"/>
          <w:kern w:val="0"/>
          <w:position w:val="3"/>
          <w:sz w:val="32"/>
          <w:szCs w:val="32"/>
          <w:highlight w:val="none"/>
          <w:u w:val="none"/>
          <w:lang w:val="en-US" w:eastAsia="en-US" w:bidi="ar-SA"/>
        </w:rPr>
        <w:t>、评价结论</w:t>
      </w:r>
    </w:p>
    <w:p w14:paraId="54D2620B">
      <w:pPr>
        <w:pageBreakBefore w:val="0"/>
        <w:widowControl/>
        <w:numPr>
          <w:ilvl w:val="0"/>
          <w:numId w:val="0"/>
        </w:numPr>
        <w:tabs>
          <w:tab w:val="left" w:pos="2160"/>
        </w:tabs>
        <w:kinsoku/>
        <w:wordWrap/>
        <w:overflowPunct/>
        <w:topLinePunct w:val="0"/>
        <w:autoSpaceDE/>
        <w:autoSpaceDN/>
        <w:bidi w:val="0"/>
        <w:adjustRightInd/>
        <w:spacing w:line="600" w:lineRule="exact"/>
        <w:ind w:firstLine="640" w:firstLineChars="200"/>
        <w:jc w:val="left"/>
        <w:textAlignment w:val="auto"/>
        <w:rPr>
          <w:rFonts w:hint="default" w:ascii="仿宋" w:hAnsi="仿宋" w:eastAsia="仿宋_GB2312" w:cs="Times New Roman"/>
          <w:kern w:val="0"/>
          <w:position w:val="3"/>
          <w:sz w:val="20"/>
          <w:szCs w:val="20"/>
          <w:lang w:val="en-US" w:eastAsia="zh-CN" w:bidi="ar-SA"/>
        </w:rPr>
      </w:pPr>
      <w:r>
        <w:rPr>
          <w:rFonts w:hint="eastAsia" w:ascii="Times New Roman" w:hAnsi="Times New Roman" w:eastAsia="仿宋_GB2312" w:cs="Times New Roman"/>
          <w:color w:val="auto"/>
          <w:kern w:val="2"/>
          <w:position w:val="0"/>
          <w:sz w:val="32"/>
          <w:szCs w:val="32"/>
          <w:lang w:val="zh-CN" w:eastAsia="zh-CN" w:bidi="ar-SA"/>
        </w:rPr>
        <w:t>项目历时</w:t>
      </w:r>
      <w:r>
        <w:rPr>
          <w:rFonts w:hint="eastAsia" w:ascii="Times New Roman" w:hAnsi="Times New Roman" w:eastAsia="仿宋_GB2312" w:cs="Times New Roman"/>
          <w:color w:val="auto"/>
          <w:kern w:val="2"/>
          <w:position w:val="0"/>
          <w:sz w:val="32"/>
          <w:szCs w:val="32"/>
          <w:lang w:val="en-US" w:eastAsia="zh-CN" w:bidi="ar-SA"/>
        </w:rPr>
        <w:t>7</w:t>
      </w:r>
      <w:r>
        <w:rPr>
          <w:rFonts w:hint="eastAsia" w:ascii="Times New Roman" w:hAnsi="Times New Roman" w:eastAsia="仿宋_GB2312" w:cs="Times New Roman"/>
          <w:color w:val="auto"/>
          <w:kern w:val="2"/>
          <w:position w:val="0"/>
          <w:sz w:val="32"/>
          <w:szCs w:val="32"/>
          <w:lang w:val="zh-CN" w:eastAsia="zh-CN" w:bidi="ar-SA"/>
        </w:rPr>
        <w:t>个月，采购</w:t>
      </w:r>
      <w:r>
        <w:rPr>
          <w:rFonts w:hint="eastAsia" w:ascii="Times New Roman" w:hAnsi="Times New Roman" w:eastAsia="仿宋_GB2312" w:cs="Times New Roman"/>
          <w:color w:val="auto"/>
          <w:kern w:val="2"/>
          <w:position w:val="0"/>
          <w:sz w:val="32"/>
          <w:szCs w:val="32"/>
          <w:lang w:val="en-US" w:eastAsia="zh-CN" w:bidi="ar-SA"/>
        </w:rPr>
        <w:t>仪器设备20台（套），全部验收安装调试合格，</w:t>
      </w:r>
      <w:r>
        <w:rPr>
          <w:rFonts w:hint="eastAsia" w:ascii="Times New Roman" w:hAnsi="Times New Roman" w:eastAsia="仿宋_GB2312" w:cs="Times New Roman"/>
          <w:color w:val="auto"/>
          <w:kern w:val="2"/>
          <w:position w:val="0"/>
          <w:sz w:val="32"/>
          <w:szCs w:val="32"/>
          <w:lang w:val="zh-CN" w:eastAsia="zh-CN" w:bidi="ar-SA"/>
        </w:rPr>
        <w:t>项目的实施及时，有效提高了</w:t>
      </w:r>
      <w:r>
        <w:rPr>
          <w:rFonts w:hint="eastAsia" w:ascii="Times New Roman" w:hAnsi="Times New Roman" w:eastAsia="仿宋_GB2312" w:cs="Times New Roman"/>
          <w:color w:val="auto"/>
          <w:kern w:val="2"/>
          <w:position w:val="0"/>
          <w:sz w:val="32"/>
          <w:szCs w:val="32"/>
          <w:lang w:val="en-US" w:eastAsia="zh-CN" w:bidi="ar-SA"/>
        </w:rPr>
        <w:t>粮油质量安全检验检测能力</w:t>
      </w:r>
      <w:r>
        <w:rPr>
          <w:rFonts w:hint="eastAsia" w:ascii="Times New Roman" w:hAnsi="Times New Roman" w:eastAsia="仿宋_GB2312" w:cs="Times New Roman"/>
          <w:color w:val="auto"/>
          <w:kern w:val="2"/>
          <w:position w:val="0"/>
          <w:sz w:val="32"/>
          <w:szCs w:val="32"/>
          <w:lang w:val="zh-CN" w:eastAsia="zh-CN" w:bidi="ar-SA"/>
        </w:rPr>
        <w:t>，发挥了良好的社会效益。绩效分析评分100分。</w:t>
      </w:r>
    </w:p>
    <w:p w14:paraId="4D4B663A">
      <w:pPr>
        <w:pageBreakBefore w:val="0"/>
        <w:widowControl/>
        <w:numPr>
          <w:ilvl w:val="0"/>
          <w:numId w:val="0"/>
        </w:numPr>
        <w:tabs>
          <w:tab w:val="left" w:pos="2160"/>
        </w:tabs>
        <w:kinsoku/>
        <w:wordWrap/>
        <w:overflowPunct/>
        <w:topLinePunct w:val="0"/>
        <w:autoSpaceDE/>
        <w:autoSpaceDN/>
        <w:bidi w:val="0"/>
        <w:adjustRightInd/>
        <w:spacing w:line="600" w:lineRule="exact"/>
        <w:ind w:firstLine="640" w:firstLineChars="200"/>
        <w:jc w:val="left"/>
        <w:textAlignment w:val="auto"/>
        <w:rPr>
          <w:rFonts w:hint="eastAsia" w:ascii="黑体" w:hAnsi="宋体" w:eastAsia="黑体" w:cs="Times New Roman"/>
          <w:color w:val="auto"/>
          <w:kern w:val="0"/>
          <w:position w:val="3"/>
          <w:sz w:val="32"/>
          <w:szCs w:val="32"/>
          <w:highlight w:val="none"/>
          <w:u w:val="none"/>
          <w:lang w:val="en-US" w:eastAsia="zh-CN" w:bidi="ar-SA"/>
        </w:rPr>
      </w:pPr>
      <w:r>
        <w:rPr>
          <w:rFonts w:hint="eastAsia" w:ascii="黑体" w:hAnsi="宋体" w:eastAsia="黑体" w:cs="Times New Roman"/>
          <w:color w:val="auto"/>
          <w:kern w:val="0"/>
          <w:position w:val="3"/>
          <w:sz w:val="32"/>
          <w:szCs w:val="32"/>
          <w:highlight w:val="none"/>
          <w:u w:val="none"/>
          <w:lang w:val="en-US" w:eastAsia="zh-CN" w:bidi="ar-SA"/>
        </w:rPr>
        <w:t>五、存在主要问题</w:t>
      </w:r>
    </w:p>
    <w:p w14:paraId="5A874BBC">
      <w:pPr>
        <w:pageBreakBefore w:val="0"/>
        <w:widowControl/>
        <w:numPr>
          <w:ilvl w:val="0"/>
          <w:numId w:val="0"/>
        </w:numPr>
        <w:tabs>
          <w:tab w:val="left" w:pos="2160"/>
        </w:tabs>
        <w:kinsoku/>
        <w:wordWrap/>
        <w:overflowPunct/>
        <w:topLinePunct w:val="0"/>
        <w:autoSpaceDE/>
        <w:autoSpaceDN/>
        <w:bidi w:val="0"/>
        <w:adjustRightInd/>
        <w:spacing w:line="600" w:lineRule="exact"/>
        <w:ind w:firstLine="640" w:firstLineChars="200"/>
        <w:jc w:val="left"/>
        <w:textAlignment w:val="auto"/>
        <w:rPr>
          <w:rFonts w:hint="eastAsia" w:ascii="仿宋_GB2312" w:hAnsi="仿宋_GB2312" w:eastAsia="仿宋_GB2312" w:cs="仿宋_GB2312"/>
          <w:b w:val="0"/>
          <w:bCs w:val="0"/>
          <w:kern w:val="0"/>
          <w:position w:val="0"/>
          <w:sz w:val="32"/>
          <w:szCs w:val="32"/>
          <w:highlight w:val="none"/>
          <w:lang w:val="en-US" w:eastAsia="zh-CN" w:bidi="ar-SA"/>
        </w:rPr>
      </w:pPr>
      <w:r>
        <w:rPr>
          <w:rFonts w:hint="eastAsia" w:ascii="仿宋_GB2312" w:hAnsi="仿宋_GB2312" w:eastAsia="仿宋_GB2312" w:cs="仿宋_GB2312"/>
          <w:b w:val="0"/>
          <w:bCs w:val="0"/>
          <w:kern w:val="0"/>
          <w:position w:val="0"/>
          <w:sz w:val="32"/>
          <w:szCs w:val="32"/>
          <w:highlight w:val="none"/>
          <w:lang w:val="en-US" w:eastAsia="zh-CN" w:bidi="ar-SA"/>
        </w:rPr>
        <w:t>无</w:t>
      </w:r>
    </w:p>
    <w:p w14:paraId="7BB01F77">
      <w:pPr>
        <w:pageBreakBefore w:val="0"/>
        <w:widowControl/>
        <w:numPr>
          <w:ilvl w:val="0"/>
          <w:numId w:val="0"/>
        </w:numPr>
        <w:tabs>
          <w:tab w:val="left" w:pos="2160"/>
        </w:tabs>
        <w:kinsoku/>
        <w:wordWrap/>
        <w:overflowPunct/>
        <w:topLinePunct w:val="0"/>
        <w:autoSpaceDE/>
        <w:autoSpaceDN/>
        <w:bidi w:val="0"/>
        <w:adjustRightInd/>
        <w:spacing w:line="600" w:lineRule="exact"/>
        <w:ind w:firstLine="640" w:firstLineChars="200"/>
        <w:jc w:val="left"/>
        <w:textAlignment w:val="auto"/>
        <w:rPr>
          <w:rFonts w:hint="eastAsia" w:ascii="黑体" w:hAnsi="宋体" w:eastAsia="黑体" w:cs="Times New Roman"/>
          <w:color w:val="auto"/>
          <w:kern w:val="0"/>
          <w:position w:val="3"/>
          <w:sz w:val="32"/>
          <w:szCs w:val="32"/>
          <w:highlight w:val="none"/>
          <w:u w:val="none"/>
          <w:lang w:val="zh-CN" w:eastAsia="zh-CN" w:bidi="ar-SA"/>
        </w:rPr>
      </w:pPr>
      <w:r>
        <w:rPr>
          <w:rFonts w:hint="eastAsia" w:ascii="黑体" w:hAnsi="宋体" w:eastAsia="黑体" w:cs="Times New Roman"/>
          <w:color w:val="auto"/>
          <w:kern w:val="0"/>
          <w:position w:val="3"/>
          <w:sz w:val="32"/>
          <w:szCs w:val="32"/>
          <w:highlight w:val="none"/>
          <w:u w:val="none"/>
          <w:lang w:val="zh-CN" w:eastAsia="zh-CN" w:bidi="ar-SA"/>
        </w:rPr>
        <w:t>六、改进建议</w:t>
      </w:r>
    </w:p>
    <w:p w14:paraId="1F912E00">
      <w:pPr>
        <w:tabs>
          <w:tab w:val="left" w:pos="1911"/>
        </w:tabs>
        <w:jc w:val="left"/>
        <w:rPr>
          <w:rFonts w:hint="default" w:ascii="仿宋_GB2312" w:hAnsi="仿宋_GB2312" w:eastAsia="仿宋_GB2312" w:cs="仿宋_GB2312"/>
          <w:b w:val="0"/>
          <w:bCs w:val="0"/>
          <w:kern w:val="0"/>
          <w:positio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u w:val="none"/>
          <w:shd w:val="clear" w:color="auto" w:fill="FFFFFF"/>
          <w:lang w:val="zh-CN" w:eastAsia="zh-CN"/>
        </w:rPr>
        <w:t xml:space="preserve"> </w:t>
      </w:r>
      <w:r>
        <w:rPr>
          <w:rFonts w:hint="eastAsia" w:ascii="仿宋_GB2312" w:hAnsi="仿宋_GB2312" w:eastAsia="仿宋_GB2312" w:cs="仿宋_GB2312"/>
          <w:b w:val="0"/>
          <w:bCs w:val="0"/>
          <w:kern w:val="0"/>
          <w:position w:val="0"/>
          <w:sz w:val="32"/>
          <w:szCs w:val="32"/>
          <w:highlight w:val="none"/>
          <w:lang w:val="en-US" w:eastAsia="zh-CN" w:bidi="ar-SA"/>
        </w:rPr>
        <w:t xml:space="preserve"> 无</w:t>
      </w:r>
    </w:p>
    <w:p w14:paraId="3C376E3E">
      <w:pPr>
        <w:keepNext w:val="0"/>
        <w:keepLines w:val="0"/>
        <w:pageBreakBefore w:val="0"/>
        <w:kinsoku/>
        <w:wordWrap/>
        <w:overflowPunct/>
        <w:topLinePunct w:val="0"/>
        <w:autoSpaceDE/>
        <w:autoSpaceDN/>
        <w:bidi w:val="0"/>
        <w:adjustRightInd/>
        <w:snapToGrid w:val="0"/>
        <w:spacing w:line="578" w:lineRule="exact"/>
        <w:ind w:left="0" w:leftChars="0" w:firstLine="640" w:firstLineChars="200"/>
        <w:textAlignment w:val="auto"/>
        <w:outlineLvl w:val="9"/>
        <w:rPr>
          <w:rFonts w:hint="eastAsia" w:ascii="Times New Roman" w:hAnsi="Times New Roman" w:eastAsia="仿宋_GB2312" w:cs="Times New Roman"/>
          <w:color w:val="000000"/>
          <w:kern w:val="0"/>
          <w:sz w:val="32"/>
          <w:szCs w:val="32"/>
          <w:highlight w:val="none"/>
          <w:shd w:val="clear" w:color="auto" w:fill="FFFFFF"/>
          <w:lang w:val="zh-CN" w:eastAsia="zh-CN"/>
        </w:rPr>
      </w:pPr>
    </w:p>
    <w:p w14:paraId="08D453A4">
      <w:pPr>
        <w:keepNext w:val="0"/>
        <w:keepLines w:val="0"/>
        <w:pageBreakBefore w:val="0"/>
        <w:kinsoku/>
        <w:wordWrap/>
        <w:overflowPunct/>
        <w:topLinePunct w:val="0"/>
        <w:autoSpaceDE/>
        <w:autoSpaceDN/>
        <w:bidi w:val="0"/>
        <w:adjustRightInd/>
        <w:snapToGrid w:val="0"/>
        <w:spacing w:line="578" w:lineRule="exact"/>
        <w:ind w:left="0" w:leftChars="0" w:firstLine="640" w:firstLineChars="200"/>
        <w:textAlignment w:val="auto"/>
        <w:outlineLvl w:val="9"/>
        <w:rPr>
          <w:rFonts w:hint="eastAsia" w:ascii="Times New Roman" w:hAnsi="Times New Roman" w:eastAsia="仿宋_GB2312" w:cs="Times New Roman"/>
          <w:color w:val="000000"/>
          <w:kern w:val="0"/>
          <w:sz w:val="32"/>
          <w:szCs w:val="32"/>
          <w:highlight w:val="none"/>
          <w:shd w:val="clear" w:color="auto" w:fill="FFFFFF"/>
          <w:lang w:val="en-US" w:eastAsia="zh-CN"/>
        </w:rPr>
      </w:pPr>
      <w:r>
        <w:rPr>
          <w:rFonts w:hint="eastAsia" w:ascii="Times New Roman" w:hAnsi="Times New Roman" w:eastAsia="仿宋_GB2312" w:cs="Times New Roman"/>
          <w:color w:val="000000"/>
          <w:kern w:val="0"/>
          <w:sz w:val="32"/>
          <w:szCs w:val="32"/>
          <w:highlight w:val="none"/>
          <w:shd w:val="clear" w:color="auto" w:fill="FFFFFF"/>
          <w:lang w:val="en-US" w:eastAsia="zh-CN"/>
        </w:rPr>
        <w:t>附表：1.项目资金分配涉及所有点位自评得分情况表</w:t>
      </w:r>
    </w:p>
    <w:p w14:paraId="672982CD">
      <w:pPr>
        <w:keepNext w:val="0"/>
        <w:keepLines w:val="0"/>
        <w:pageBreakBefore w:val="0"/>
        <w:kinsoku/>
        <w:wordWrap/>
        <w:overflowPunct/>
        <w:topLinePunct w:val="0"/>
        <w:autoSpaceDE/>
        <w:autoSpaceDN/>
        <w:bidi w:val="0"/>
        <w:adjustRightInd/>
        <w:snapToGrid w:val="0"/>
        <w:spacing w:line="578" w:lineRule="exact"/>
        <w:ind w:left="0" w:leftChars="0" w:firstLine="1600" w:firstLineChars="500"/>
        <w:textAlignment w:val="auto"/>
        <w:outlineLvl w:val="9"/>
        <w:rPr>
          <w:rFonts w:hint="default" w:ascii="Times New Roman" w:hAnsi="Times New Roman" w:eastAsia="仿宋_GB2312" w:cs="Times New Roman"/>
          <w:color w:val="000000"/>
          <w:kern w:val="0"/>
          <w:sz w:val="32"/>
          <w:szCs w:val="32"/>
          <w:highlight w:val="none"/>
          <w:shd w:val="clear" w:color="auto" w:fill="FFFFFF"/>
          <w:lang w:val="en-US" w:eastAsia="zh-CN"/>
        </w:rPr>
      </w:pPr>
      <w:r>
        <w:rPr>
          <w:rFonts w:hint="eastAsia" w:ascii="Times New Roman" w:hAnsi="Times New Roman" w:eastAsia="仿宋_GB2312" w:cs="Times New Roman"/>
          <w:color w:val="000000"/>
          <w:kern w:val="0"/>
          <w:sz w:val="32"/>
          <w:szCs w:val="32"/>
          <w:highlight w:val="none"/>
          <w:shd w:val="clear" w:color="auto" w:fill="FFFFFF"/>
          <w:lang w:val="en-US" w:eastAsia="zh-CN"/>
        </w:rPr>
        <w:t>2.专项预算项目绩效目标完成情况自评表</w:t>
      </w:r>
    </w:p>
    <w:p w14:paraId="6C922BAC">
      <w:pPr>
        <w:keepNext w:val="0"/>
        <w:keepLines w:val="0"/>
        <w:pageBreakBefore w:val="0"/>
        <w:kinsoku/>
        <w:wordWrap/>
        <w:overflowPunct/>
        <w:topLinePunct w:val="0"/>
        <w:autoSpaceDE/>
        <w:autoSpaceDN/>
        <w:bidi w:val="0"/>
        <w:adjustRightInd/>
        <w:snapToGrid w:val="0"/>
        <w:spacing w:line="578" w:lineRule="exact"/>
        <w:ind w:left="0" w:leftChars="0" w:firstLine="640" w:firstLineChars="200"/>
        <w:textAlignment w:val="auto"/>
        <w:outlineLvl w:val="9"/>
        <w:rPr>
          <w:rFonts w:hint="eastAsia" w:ascii="Times New Roman" w:hAnsi="Times New Roman" w:eastAsia="仿宋_GB2312" w:cs="Times New Roman"/>
          <w:color w:val="000000"/>
          <w:kern w:val="0"/>
          <w:sz w:val="32"/>
          <w:szCs w:val="32"/>
          <w:highlight w:val="none"/>
          <w:shd w:val="clear" w:color="auto" w:fill="FFFFFF"/>
          <w:lang w:val="zh-CN" w:eastAsia="zh-CN"/>
        </w:rPr>
      </w:pPr>
      <w:r>
        <w:rPr>
          <w:rFonts w:hint="eastAsia" w:ascii="Times New Roman" w:hAnsi="Times New Roman" w:eastAsia="仿宋_GB2312" w:cs="Times New Roman"/>
          <w:color w:val="000000"/>
          <w:kern w:val="0"/>
          <w:sz w:val="32"/>
          <w:szCs w:val="32"/>
          <w:highlight w:val="none"/>
          <w:shd w:val="clear" w:color="auto" w:fill="FFFFFF"/>
          <w:lang w:val="zh-CN" w:eastAsia="zh-CN"/>
        </w:rPr>
        <w:br w:type="page"/>
      </w:r>
    </w:p>
    <w:p w14:paraId="5B79D66A">
      <w:pPr>
        <w:keepNext w:val="0"/>
        <w:keepLines w:val="0"/>
        <w:pageBreakBefore w:val="0"/>
        <w:widowControl/>
        <w:numPr>
          <w:ilvl w:val="0"/>
          <w:numId w:val="0"/>
        </w:numPr>
        <w:kinsoku/>
        <w:wordWrap/>
        <w:overflowPunct/>
        <w:topLinePunct w:val="0"/>
        <w:autoSpaceDE/>
        <w:autoSpaceDN/>
        <w:bidi w:val="0"/>
        <w:adjustRightInd w:val="0"/>
        <w:snapToGrid w:val="0"/>
        <w:spacing w:line="578" w:lineRule="exact"/>
        <w:contextualSpacing/>
        <w:jc w:val="left"/>
        <w:textAlignment w:val="auto"/>
        <w:rPr>
          <w:rFonts w:hint="eastAsia" w:ascii="黑体" w:hAnsi="黑体" w:eastAsia="黑体" w:cs="黑体"/>
          <w:b w:val="0"/>
          <w:bCs w:val="0"/>
          <w:color w:val="auto"/>
          <w:kern w:val="0"/>
          <w:sz w:val="32"/>
          <w:szCs w:val="32"/>
          <w:highlight w:val="none"/>
          <w:u w:val="none"/>
          <w:shd w:val="clear" w:color="auto" w:fill="FFFFFF"/>
          <w:lang w:val="zh-CN" w:eastAsia="zh-CN"/>
        </w:rPr>
      </w:pPr>
      <w:r>
        <w:rPr>
          <w:rFonts w:hint="eastAsia" w:ascii="黑体" w:hAnsi="黑体" w:eastAsia="黑体" w:cs="黑体"/>
          <w:b w:val="0"/>
          <w:bCs w:val="0"/>
          <w:color w:val="auto"/>
          <w:kern w:val="0"/>
          <w:sz w:val="32"/>
          <w:szCs w:val="32"/>
          <w:highlight w:val="none"/>
          <w:u w:val="none"/>
          <w:shd w:val="clear" w:color="auto" w:fill="FFFFFF"/>
          <w:lang w:val="zh-CN" w:eastAsia="zh-CN"/>
        </w:rPr>
        <w:t>附表</w:t>
      </w:r>
      <w:r>
        <w:rPr>
          <w:rFonts w:hint="eastAsia" w:ascii="黑体" w:hAnsi="黑体" w:eastAsia="黑体" w:cs="黑体"/>
          <w:b w:val="0"/>
          <w:bCs w:val="0"/>
          <w:color w:val="auto"/>
          <w:kern w:val="0"/>
          <w:sz w:val="32"/>
          <w:szCs w:val="32"/>
          <w:highlight w:val="none"/>
          <w:u w:val="none"/>
          <w:shd w:val="clear" w:color="auto" w:fill="FFFFFF"/>
          <w:lang w:val="en-US" w:eastAsia="zh-CN"/>
        </w:rPr>
        <w:t>1</w:t>
      </w:r>
    </w:p>
    <w:p w14:paraId="7EEE024B">
      <w:pPr>
        <w:keepNext w:val="0"/>
        <w:keepLines w:val="0"/>
        <w:pageBreakBefore w:val="0"/>
        <w:kinsoku/>
        <w:wordWrap/>
        <w:overflowPunct/>
        <w:topLinePunct w:val="0"/>
        <w:autoSpaceDE/>
        <w:autoSpaceDN/>
        <w:bidi w:val="0"/>
        <w:spacing w:line="578" w:lineRule="exact"/>
        <w:ind w:left="0" w:leftChars="0"/>
        <w:jc w:val="center"/>
        <w:textAlignment w:val="auto"/>
        <w:rPr>
          <w:rFonts w:hint="eastAsia" w:ascii="方正小标宋_GBK" w:hAnsi="方正小标宋_GBK" w:eastAsia="方正小标宋_GBK" w:cs="方正小标宋_GBK"/>
          <w:b w:val="0"/>
          <w:bCs w:val="0"/>
          <w:color w:val="auto"/>
          <w:sz w:val="40"/>
          <w:szCs w:val="40"/>
          <w:highlight w:val="none"/>
          <w:u w:val="none"/>
          <w:lang w:val="en-US" w:eastAsia="zh-CN"/>
        </w:rPr>
      </w:pPr>
      <w:r>
        <w:rPr>
          <w:rFonts w:hint="eastAsia" w:ascii="方正小标宋_GBK" w:hAnsi="方正小标宋_GBK" w:eastAsia="方正小标宋_GBK" w:cs="方正小标宋_GBK"/>
          <w:b w:val="0"/>
          <w:bCs w:val="0"/>
          <w:color w:val="auto"/>
          <w:sz w:val="40"/>
          <w:szCs w:val="40"/>
          <w:highlight w:val="none"/>
          <w:u w:val="none"/>
          <w:lang w:val="en-US" w:eastAsia="zh-CN"/>
        </w:rPr>
        <w:t>项目资金分配涉及所有点位自评得分情况表</w:t>
      </w:r>
    </w:p>
    <w:tbl>
      <w:tblPr>
        <w:tblStyle w:val="21"/>
        <w:tblW w:w="88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23"/>
        <w:gridCol w:w="3843"/>
        <w:gridCol w:w="2861"/>
        <w:gridCol w:w="993"/>
      </w:tblGrid>
      <w:tr w14:paraId="3BDB25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2B692F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auto"/>
              <w:outlineLvl w:val="9"/>
              <w:rPr>
                <w:rFonts w:hint="eastAsia" w:ascii="黑体" w:hAnsi="黑体" w:eastAsia="黑体" w:cs="黑体"/>
                <w:b w:val="0"/>
                <w:bCs w:val="0"/>
                <w:color w:val="auto"/>
                <w:sz w:val="24"/>
                <w:szCs w:val="24"/>
                <w:highlight w:val="none"/>
                <w:u w:val="none"/>
                <w:vertAlign w:val="baseline"/>
                <w:lang w:val="en-US" w:eastAsia="zh-CN"/>
              </w:rPr>
            </w:pPr>
            <w:r>
              <w:rPr>
                <w:rFonts w:hint="eastAsia" w:ascii="黑体" w:hAnsi="黑体" w:eastAsia="黑体" w:cs="黑体"/>
                <w:b w:val="0"/>
                <w:bCs w:val="0"/>
                <w:color w:val="auto"/>
                <w:sz w:val="24"/>
                <w:szCs w:val="24"/>
                <w:highlight w:val="none"/>
                <w:u w:val="none"/>
                <w:vertAlign w:val="baseline"/>
                <w:lang w:val="en-US" w:eastAsia="zh-CN"/>
              </w:rPr>
              <w:t>序号</w:t>
            </w:r>
          </w:p>
        </w:tc>
        <w:tc>
          <w:tcPr>
            <w:tcW w:w="3843" w:type="dxa"/>
            <w:vAlign w:val="top"/>
          </w:tcPr>
          <w:p w14:paraId="44BEF4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auto"/>
              <w:outlineLvl w:val="9"/>
              <w:rPr>
                <w:rFonts w:hint="eastAsia" w:ascii="黑体" w:hAnsi="黑体" w:eastAsia="黑体" w:cs="黑体"/>
                <w:b w:val="0"/>
                <w:bCs w:val="0"/>
                <w:color w:val="auto"/>
                <w:sz w:val="24"/>
                <w:szCs w:val="24"/>
                <w:highlight w:val="none"/>
                <w:u w:val="none"/>
                <w:vertAlign w:val="baseline"/>
                <w:lang w:val="en" w:eastAsia="zh-CN"/>
              </w:rPr>
            </w:pPr>
            <w:r>
              <w:rPr>
                <w:rFonts w:hint="eastAsia" w:ascii="黑体" w:hAnsi="黑体" w:eastAsia="黑体" w:cs="黑体"/>
                <w:b w:val="0"/>
                <w:bCs w:val="0"/>
                <w:color w:val="auto"/>
                <w:sz w:val="24"/>
                <w:szCs w:val="24"/>
                <w:highlight w:val="none"/>
                <w:u w:val="none"/>
                <w:vertAlign w:val="baseline"/>
                <w:lang w:val="en-US" w:eastAsia="zh-CN"/>
              </w:rPr>
              <w:t>项目资金末端分配点位</w:t>
            </w:r>
          </w:p>
        </w:tc>
        <w:tc>
          <w:tcPr>
            <w:tcW w:w="2861" w:type="dxa"/>
            <w:vAlign w:val="top"/>
          </w:tcPr>
          <w:p w14:paraId="11B7B7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auto"/>
              <w:outlineLvl w:val="9"/>
              <w:rPr>
                <w:rFonts w:hint="eastAsia" w:ascii="黑体" w:hAnsi="黑体" w:eastAsia="黑体" w:cs="黑体"/>
                <w:b w:val="0"/>
                <w:bCs w:val="0"/>
                <w:color w:val="auto"/>
                <w:sz w:val="24"/>
                <w:szCs w:val="24"/>
                <w:highlight w:val="none"/>
                <w:u w:val="none"/>
                <w:vertAlign w:val="baseline"/>
                <w:lang w:val="en-US" w:eastAsia="zh-CN"/>
              </w:rPr>
            </w:pPr>
            <w:r>
              <w:rPr>
                <w:rFonts w:hint="eastAsia" w:ascii="黑体" w:hAnsi="黑体" w:eastAsia="黑体" w:cs="黑体"/>
                <w:b w:val="0"/>
                <w:bCs w:val="0"/>
                <w:color w:val="auto"/>
                <w:sz w:val="24"/>
                <w:szCs w:val="24"/>
                <w:highlight w:val="none"/>
                <w:u w:val="none"/>
                <w:vertAlign w:val="baseline"/>
                <w:lang w:val="en" w:eastAsia="zh-CN"/>
              </w:rPr>
              <w:t>自评得分（百分制）</w:t>
            </w:r>
          </w:p>
        </w:tc>
        <w:tc>
          <w:tcPr>
            <w:tcW w:w="993" w:type="dxa"/>
            <w:vAlign w:val="top"/>
          </w:tcPr>
          <w:p w14:paraId="15F9F9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auto"/>
              <w:outlineLvl w:val="9"/>
              <w:rPr>
                <w:rFonts w:hint="eastAsia" w:ascii="黑体" w:hAnsi="黑体" w:eastAsia="黑体" w:cs="黑体"/>
                <w:b w:val="0"/>
                <w:bCs w:val="0"/>
                <w:color w:val="auto"/>
                <w:sz w:val="24"/>
                <w:szCs w:val="24"/>
                <w:highlight w:val="none"/>
                <w:u w:val="none"/>
                <w:vertAlign w:val="baseline"/>
                <w:lang w:val="en-US" w:eastAsia="zh-CN"/>
              </w:rPr>
            </w:pPr>
            <w:r>
              <w:rPr>
                <w:rFonts w:hint="eastAsia" w:ascii="黑体" w:hAnsi="黑体" w:eastAsia="黑体" w:cs="黑体"/>
                <w:b w:val="0"/>
                <w:bCs w:val="0"/>
                <w:color w:val="auto"/>
                <w:sz w:val="24"/>
                <w:szCs w:val="24"/>
                <w:highlight w:val="none"/>
                <w:u w:val="none"/>
                <w:vertAlign w:val="baseline"/>
                <w:lang w:val="en-US" w:eastAsia="zh-CN"/>
              </w:rPr>
              <w:t>备注</w:t>
            </w:r>
          </w:p>
        </w:tc>
      </w:tr>
      <w:tr w14:paraId="42BDF7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4487BD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auto"/>
              <w:outlineLvl w:val="9"/>
              <w:rPr>
                <w:rFonts w:hint="eastAsia" w:ascii="宋体" w:hAnsi="宋体" w:eastAsia="宋体" w:cs="宋体"/>
                <w:b w:val="0"/>
                <w:bCs w:val="0"/>
                <w:color w:val="auto"/>
                <w:sz w:val="24"/>
                <w:szCs w:val="24"/>
                <w:highlight w:val="none"/>
                <w:u w:val="none"/>
                <w:lang w:val="en-US" w:eastAsia="zh-CN"/>
              </w:rPr>
            </w:pPr>
            <w:r>
              <w:rPr>
                <w:rFonts w:hint="eastAsia" w:ascii="宋体" w:hAnsi="宋体" w:eastAsia="宋体" w:cs="宋体"/>
                <w:b w:val="0"/>
                <w:bCs w:val="0"/>
                <w:color w:val="auto"/>
                <w:sz w:val="24"/>
                <w:szCs w:val="24"/>
                <w:highlight w:val="none"/>
                <w:u w:val="none"/>
                <w:lang w:val="en-US" w:eastAsia="zh-CN"/>
              </w:rPr>
              <w:t>1</w:t>
            </w:r>
          </w:p>
        </w:tc>
        <w:tc>
          <w:tcPr>
            <w:tcW w:w="3843" w:type="dxa"/>
            <w:vAlign w:val="top"/>
          </w:tcPr>
          <w:p w14:paraId="462750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textAlignment w:val="auto"/>
              <w:outlineLvl w:val="9"/>
              <w:rPr>
                <w:rFonts w:hint="eastAsia" w:ascii="宋体" w:hAnsi="宋体" w:eastAsia="仿宋_GB2312" w:cs="宋体"/>
                <w:color w:val="auto"/>
                <w:sz w:val="24"/>
                <w:szCs w:val="24"/>
                <w:highlight w:val="none"/>
                <w:u w:val="none"/>
                <w:vertAlign w:val="baseline"/>
                <w:lang w:val="en" w:eastAsia="zh-CN"/>
              </w:rPr>
            </w:pPr>
          </w:p>
        </w:tc>
        <w:tc>
          <w:tcPr>
            <w:tcW w:w="2861" w:type="dxa"/>
            <w:vAlign w:val="top"/>
          </w:tcPr>
          <w:p w14:paraId="658349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textAlignment w:val="auto"/>
              <w:outlineLvl w:val="9"/>
              <w:rPr>
                <w:rFonts w:hint="eastAsia" w:ascii="宋体" w:hAnsi="宋体" w:eastAsia="仿宋_GB2312" w:cs="宋体"/>
                <w:color w:val="auto"/>
                <w:sz w:val="24"/>
                <w:szCs w:val="24"/>
                <w:highlight w:val="none"/>
                <w:u w:val="none"/>
                <w:vertAlign w:val="baseline"/>
                <w:lang w:val="en" w:eastAsia="zh-CN"/>
              </w:rPr>
            </w:pPr>
          </w:p>
        </w:tc>
        <w:tc>
          <w:tcPr>
            <w:tcW w:w="993" w:type="dxa"/>
            <w:vAlign w:val="top"/>
          </w:tcPr>
          <w:p w14:paraId="6A33F0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textAlignment w:val="auto"/>
              <w:outlineLvl w:val="9"/>
              <w:rPr>
                <w:rFonts w:hint="eastAsia" w:ascii="宋体" w:hAnsi="宋体" w:eastAsia="仿宋_GB2312" w:cs="宋体"/>
                <w:color w:val="auto"/>
                <w:sz w:val="24"/>
                <w:szCs w:val="24"/>
                <w:highlight w:val="none"/>
                <w:u w:val="none"/>
                <w:vertAlign w:val="baseline"/>
                <w:lang w:val="en-US" w:eastAsia="zh-CN"/>
              </w:rPr>
            </w:pPr>
          </w:p>
        </w:tc>
      </w:tr>
      <w:tr w14:paraId="506E1E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244DBD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auto"/>
              <w:outlineLvl w:val="9"/>
              <w:rPr>
                <w:rFonts w:hint="eastAsia" w:ascii="宋体" w:hAnsi="宋体" w:eastAsia="宋体" w:cs="宋体"/>
                <w:b w:val="0"/>
                <w:bCs w:val="0"/>
                <w:color w:val="auto"/>
                <w:sz w:val="24"/>
                <w:szCs w:val="24"/>
                <w:highlight w:val="none"/>
                <w:u w:val="none"/>
                <w:lang w:val="en-US" w:eastAsia="zh-CN"/>
              </w:rPr>
            </w:pPr>
            <w:r>
              <w:rPr>
                <w:rFonts w:hint="eastAsia" w:ascii="宋体" w:hAnsi="宋体" w:eastAsia="宋体" w:cs="宋体"/>
                <w:b w:val="0"/>
                <w:bCs w:val="0"/>
                <w:color w:val="auto"/>
                <w:sz w:val="24"/>
                <w:szCs w:val="24"/>
                <w:highlight w:val="none"/>
                <w:u w:val="none"/>
                <w:lang w:val="en-US" w:eastAsia="zh-CN"/>
              </w:rPr>
              <w:t>2</w:t>
            </w:r>
          </w:p>
        </w:tc>
        <w:tc>
          <w:tcPr>
            <w:tcW w:w="3843" w:type="dxa"/>
            <w:vAlign w:val="top"/>
          </w:tcPr>
          <w:p w14:paraId="3FE755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textAlignment w:val="auto"/>
              <w:outlineLvl w:val="9"/>
              <w:rPr>
                <w:rFonts w:hint="eastAsia" w:ascii="宋体" w:hAnsi="宋体" w:eastAsia="仿宋_GB2312" w:cs="宋体"/>
                <w:color w:val="auto"/>
                <w:sz w:val="24"/>
                <w:szCs w:val="24"/>
                <w:highlight w:val="none"/>
                <w:u w:val="none"/>
                <w:vertAlign w:val="baseline"/>
                <w:lang w:val="en" w:eastAsia="zh-CN"/>
              </w:rPr>
            </w:pPr>
          </w:p>
        </w:tc>
        <w:tc>
          <w:tcPr>
            <w:tcW w:w="2861" w:type="dxa"/>
            <w:vAlign w:val="top"/>
          </w:tcPr>
          <w:p w14:paraId="278977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textAlignment w:val="auto"/>
              <w:outlineLvl w:val="9"/>
              <w:rPr>
                <w:rFonts w:hint="eastAsia" w:ascii="宋体" w:hAnsi="宋体" w:eastAsia="仿宋_GB2312" w:cs="宋体"/>
                <w:color w:val="auto"/>
                <w:sz w:val="24"/>
                <w:szCs w:val="24"/>
                <w:highlight w:val="none"/>
                <w:u w:val="none"/>
                <w:vertAlign w:val="baseline"/>
                <w:lang w:val="en" w:eastAsia="zh-CN"/>
              </w:rPr>
            </w:pPr>
          </w:p>
        </w:tc>
        <w:tc>
          <w:tcPr>
            <w:tcW w:w="993" w:type="dxa"/>
            <w:vAlign w:val="top"/>
          </w:tcPr>
          <w:p w14:paraId="3A5908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textAlignment w:val="auto"/>
              <w:outlineLvl w:val="9"/>
              <w:rPr>
                <w:rFonts w:hint="eastAsia" w:ascii="宋体" w:hAnsi="宋体" w:eastAsia="仿宋_GB2312" w:cs="宋体"/>
                <w:color w:val="auto"/>
                <w:sz w:val="24"/>
                <w:szCs w:val="24"/>
                <w:highlight w:val="none"/>
                <w:u w:val="none"/>
                <w:vertAlign w:val="baseline"/>
                <w:lang w:val="en-US" w:eastAsia="zh-CN"/>
              </w:rPr>
            </w:pPr>
          </w:p>
        </w:tc>
      </w:tr>
      <w:tr w14:paraId="3E10CC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628D9B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auto"/>
              <w:outlineLvl w:val="9"/>
              <w:rPr>
                <w:rFonts w:hint="eastAsia" w:ascii="宋体" w:hAnsi="宋体" w:eastAsia="宋体" w:cs="宋体"/>
                <w:b w:val="0"/>
                <w:bCs w:val="0"/>
                <w:color w:val="auto"/>
                <w:sz w:val="24"/>
                <w:szCs w:val="24"/>
                <w:highlight w:val="none"/>
                <w:u w:val="none"/>
                <w:lang w:val="en-US" w:eastAsia="zh-CN"/>
              </w:rPr>
            </w:pPr>
            <w:r>
              <w:rPr>
                <w:rFonts w:hint="eastAsia" w:ascii="宋体" w:hAnsi="宋体" w:eastAsia="宋体" w:cs="宋体"/>
                <w:b w:val="0"/>
                <w:bCs w:val="0"/>
                <w:color w:val="auto"/>
                <w:sz w:val="24"/>
                <w:szCs w:val="24"/>
                <w:highlight w:val="none"/>
                <w:u w:val="none"/>
                <w:lang w:val="en-US" w:eastAsia="zh-CN"/>
              </w:rPr>
              <w:t>3</w:t>
            </w:r>
          </w:p>
        </w:tc>
        <w:tc>
          <w:tcPr>
            <w:tcW w:w="3843" w:type="dxa"/>
            <w:vAlign w:val="top"/>
          </w:tcPr>
          <w:p w14:paraId="6B6F11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textAlignment w:val="auto"/>
              <w:outlineLvl w:val="9"/>
              <w:rPr>
                <w:rFonts w:hint="eastAsia" w:ascii="宋体" w:hAnsi="宋体" w:eastAsia="仿宋_GB2312" w:cs="宋体"/>
                <w:color w:val="auto"/>
                <w:sz w:val="24"/>
                <w:szCs w:val="24"/>
                <w:highlight w:val="none"/>
                <w:u w:val="none"/>
                <w:vertAlign w:val="baseline"/>
                <w:lang w:val="en" w:eastAsia="zh-CN"/>
              </w:rPr>
            </w:pPr>
          </w:p>
        </w:tc>
        <w:tc>
          <w:tcPr>
            <w:tcW w:w="2861" w:type="dxa"/>
            <w:vAlign w:val="top"/>
          </w:tcPr>
          <w:p w14:paraId="0967E5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textAlignment w:val="auto"/>
              <w:outlineLvl w:val="9"/>
              <w:rPr>
                <w:rFonts w:hint="eastAsia" w:ascii="宋体" w:hAnsi="宋体" w:eastAsia="仿宋_GB2312" w:cs="宋体"/>
                <w:color w:val="auto"/>
                <w:sz w:val="24"/>
                <w:szCs w:val="24"/>
                <w:highlight w:val="none"/>
                <w:u w:val="none"/>
                <w:vertAlign w:val="baseline"/>
                <w:lang w:val="en" w:eastAsia="zh-CN"/>
              </w:rPr>
            </w:pPr>
          </w:p>
        </w:tc>
        <w:tc>
          <w:tcPr>
            <w:tcW w:w="993" w:type="dxa"/>
            <w:vAlign w:val="top"/>
          </w:tcPr>
          <w:p w14:paraId="258DE8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textAlignment w:val="auto"/>
              <w:outlineLvl w:val="9"/>
              <w:rPr>
                <w:rFonts w:hint="eastAsia" w:ascii="宋体" w:hAnsi="宋体" w:eastAsia="仿宋_GB2312" w:cs="宋体"/>
                <w:color w:val="auto"/>
                <w:sz w:val="24"/>
                <w:szCs w:val="24"/>
                <w:highlight w:val="none"/>
                <w:u w:val="none"/>
                <w:vertAlign w:val="baseline"/>
                <w:lang w:val="en-US" w:eastAsia="zh-CN"/>
              </w:rPr>
            </w:pPr>
          </w:p>
        </w:tc>
      </w:tr>
      <w:tr w14:paraId="269D87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380F83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auto"/>
              <w:outlineLvl w:val="9"/>
              <w:rPr>
                <w:rFonts w:hint="eastAsia" w:ascii="宋体" w:hAnsi="宋体" w:eastAsia="宋体" w:cs="宋体"/>
                <w:b w:val="0"/>
                <w:bCs w:val="0"/>
                <w:color w:val="auto"/>
                <w:sz w:val="24"/>
                <w:szCs w:val="24"/>
                <w:highlight w:val="none"/>
                <w:u w:val="none"/>
                <w:lang w:val="en-US" w:eastAsia="zh-CN"/>
              </w:rPr>
            </w:pPr>
            <w:r>
              <w:rPr>
                <w:rFonts w:hint="eastAsia" w:ascii="宋体" w:hAnsi="宋体" w:eastAsia="宋体" w:cs="宋体"/>
                <w:b w:val="0"/>
                <w:bCs w:val="0"/>
                <w:color w:val="auto"/>
                <w:sz w:val="24"/>
                <w:szCs w:val="24"/>
                <w:highlight w:val="none"/>
                <w:u w:val="none"/>
                <w:lang w:val="en-US" w:eastAsia="zh-CN"/>
              </w:rPr>
              <w:t>4</w:t>
            </w:r>
          </w:p>
        </w:tc>
        <w:tc>
          <w:tcPr>
            <w:tcW w:w="3843" w:type="dxa"/>
            <w:vAlign w:val="top"/>
          </w:tcPr>
          <w:p w14:paraId="0EB4D9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textAlignment w:val="auto"/>
              <w:outlineLvl w:val="9"/>
              <w:rPr>
                <w:rFonts w:hint="eastAsia" w:ascii="宋体" w:hAnsi="宋体" w:eastAsia="仿宋_GB2312" w:cs="宋体"/>
                <w:color w:val="auto"/>
                <w:sz w:val="24"/>
                <w:szCs w:val="24"/>
                <w:highlight w:val="none"/>
                <w:u w:val="none"/>
                <w:vertAlign w:val="baseline"/>
                <w:lang w:val="en" w:eastAsia="zh-CN"/>
              </w:rPr>
            </w:pPr>
          </w:p>
        </w:tc>
        <w:tc>
          <w:tcPr>
            <w:tcW w:w="2861" w:type="dxa"/>
            <w:vAlign w:val="top"/>
          </w:tcPr>
          <w:p w14:paraId="46071B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textAlignment w:val="auto"/>
              <w:outlineLvl w:val="9"/>
              <w:rPr>
                <w:rFonts w:hint="eastAsia" w:ascii="宋体" w:hAnsi="宋体" w:eastAsia="仿宋_GB2312" w:cs="宋体"/>
                <w:color w:val="auto"/>
                <w:sz w:val="24"/>
                <w:szCs w:val="24"/>
                <w:highlight w:val="none"/>
                <w:u w:val="none"/>
                <w:vertAlign w:val="baseline"/>
                <w:lang w:val="en" w:eastAsia="zh-CN"/>
              </w:rPr>
            </w:pPr>
          </w:p>
        </w:tc>
        <w:tc>
          <w:tcPr>
            <w:tcW w:w="993" w:type="dxa"/>
            <w:vAlign w:val="top"/>
          </w:tcPr>
          <w:p w14:paraId="670633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textAlignment w:val="auto"/>
              <w:outlineLvl w:val="9"/>
              <w:rPr>
                <w:rFonts w:hint="eastAsia" w:ascii="宋体" w:hAnsi="宋体" w:eastAsia="仿宋_GB2312" w:cs="宋体"/>
                <w:color w:val="auto"/>
                <w:sz w:val="24"/>
                <w:szCs w:val="24"/>
                <w:highlight w:val="none"/>
                <w:u w:val="none"/>
                <w:vertAlign w:val="baseline"/>
                <w:lang w:val="en-US" w:eastAsia="zh-CN"/>
              </w:rPr>
            </w:pPr>
          </w:p>
        </w:tc>
      </w:tr>
      <w:tr w14:paraId="2A0AD8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1F4833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auto"/>
              <w:outlineLvl w:val="9"/>
              <w:rPr>
                <w:rFonts w:hint="eastAsia" w:ascii="宋体" w:hAnsi="宋体" w:eastAsia="宋体" w:cs="宋体"/>
                <w:b w:val="0"/>
                <w:bCs w:val="0"/>
                <w:color w:val="auto"/>
                <w:sz w:val="24"/>
                <w:szCs w:val="24"/>
                <w:highlight w:val="none"/>
                <w:u w:val="none"/>
                <w:lang w:val="en-US" w:eastAsia="zh-CN"/>
              </w:rPr>
            </w:pPr>
            <w:r>
              <w:rPr>
                <w:rFonts w:hint="eastAsia" w:ascii="宋体" w:hAnsi="宋体" w:eastAsia="宋体" w:cs="宋体"/>
                <w:b w:val="0"/>
                <w:bCs w:val="0"/>
                <w:color w:val="auto"/>
                <w:sz w:val="24"/>
                <w:szCs w:val="24"/>
                <w:highlight w:val="none"/>
                <w:u w:val="none"/>
                <w:lang w:val="en-US" w:eastAsia="zh-CN"/>
              </w:rPr>
              <w:t>5</w:t>
            </w:r>
          </w:p>
        </w:tc>
        <w:tc>
          <w:tcPr>
            <w:tcW w:w="3843" w:type="dxa"/>
            <w:vAlign w:val="top"/>
          </w:tcPr>
          <w:p w14:paraId="5293B7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textAlignment w:val="auto"/>
              <w:outlineLvl w:val="9"/>
              <w:rPr>
                <w:rFonts w:hint="eastAsia" w:ascii="宋体" w:hAnsi="宋体" w:eastAsia="仿宋_GB2312" w:cs="宋体"/>
                <w:color w:val="auto"/>
                <w:sz w:val="24"/>
                <w:szCs w:val="24"/>
                <w:highlight w:val="none"/>
                <w:u w:val="none"/>
                <w:vertAlign w:val="baseline"/>
                <w:lang w:val="en" w:eastAsia="zh-CN"/>
              </w:rPr>
            </w:pPr>
          </w:p>
        </w:tc>
        <w:tc>
          <w:tcPr>
            <w:tcW w:w="2861" w:type="dxa"/>
            <w:vAlign w:val="top"/>
          </w:tcPr>
          <w:p w14:paraId="7A9C53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textAlignment w:val="auto"/>
              <w:outlineLvl w:val="9"/>
              <w:rPr>
                <w:rFonts w:hint="eastAsia" w:ascii="宋体" w:hAnsi="宋体" w:eastAsia="仿宋_GB2312" w:cs="宋体"/>
                <w:color w:val="auto"/>
                <w:sz w:val="24"/>
                <w:szCs w:val="24"/>
                <w:highlight w:val="none"/>
                <w:u w:val="none"/>
                <w:vertAlign w:val="baseline"/>
                <w:lang w:val="en" w:eastAsia="zh-CN"/>
              </w:rPr>
            </w:pPr>
          </w:p>
        </w:tc>
        <w:tc>
          <w:tcPr>
            <w:tcW w:w="993" w:type="dxa"/>
            <w:vAlign w:val="top"/>
          </w:tcPr>
          <w:p w14:paraId="5AF9DE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textAlignment w:val="auto"/>
              <w:outlineLvl w:val="9"/>
              <w:rPr>
                <w:rFonts w:hint="eastAsia" w:ascii="宋体" w:hAnsi="宋体" w:eastAsia="仿宋_GB2312" w:cs="宋体"/>
                <w:color w:val="auto"/>
                <w:sz w:val="24"/>
                <w:szCs w:val="24"/>
                <w:highlight w:val="none"/>
                <w:u w:val="none"/>
                <w:vertAlign w:val="baseline"/>
                <w:lang w:val="en-US" w:eastAsia="zh-CN"/>
              </w:rPr>
            </w:pPr>
          </w:p>
        </w:tc>
      </w:tr>
      <w:tr w14:paraId="4AFDF7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656F5E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auto"/>
              <w:outlineLvl w:val="9"/>
              <w:rPr>
                <w:rFonts w:hint="eastAsia" w:ascii="宋体" w:hAnsi="宋体" w:eastAsia="宋体" w:cs="宋体"/>
                <w:b w:val="0"/>
                <w:bCs w:val="0"/>
                <w:color w:val="auto"/>
                <w:sz w:val="24"/>
                <w:szCs w:val="24"/>
                <w:highlight w:val="none"/>
                <w:u w:val="none"/>
                <w:lang w:val="en-US" w:eastAsia="zh-CN"/>
              </w:rPr>
            </w:pPr>
            <w:r>
              <w:rPr>
                <w:rFonts w:hint="eastAsia" w:ascii="宋体" w:hAnsi="宋体" w:eastAsia="宋体" w:cs="宋体"/>
                <w:b w:val="0"/>
                <w:bCs w:val="0"/>
                <w:color w:val="auto"/>
                <w:sz w:val="24"/>
                <w:szCs w:val="24"/>
                <w:highlight w:val="none"/>
                <w:u w:val="none"/>
                <w:lang w:val="en-US" w:eastAsia="zh-CN"/>
              </w:rPr>
              <w:t>6</w:t>
            </w:r>
          </w:p>
        </w:tc>
        <w:tc>
          <w:tcPr>
            <w:tcW w:w="3843" w:type="dxa"/>
            <w:vAlign w:val="top"/>
          </w:tcPr>
          <w:p w14:paraId="15DEBB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textAlignment w:val="auto"/>
              <w:outlineLvl w:val="9"/>
              <w:rPr>
                <w:rFonts w:hint="eastAsia" w:ascii="宋体" w:hAnsi="宋体" w:eastAsia="仿宋_GB2312" w:cs="宋体"/>
                <w:color w:val="auto"/>
                <w:sz w:val="24"/>
                <w:szCs w:val="24"/>
                <w:highlight w:val="none"/>
                <w:u w:val="none"/>
                <w:vertAlign w:val="baseline"/>
                <w:lang w:val="en" w:eastAsia="zh-CN"/>
              </w:rPr>
            </w:pPr>
          </w:p>
        </w:tc>
        <w:tc>
          <w:tcPr>
            <w:tcW w:w="2861" w:type="dxa"/>
            <w:vAlign w:val="top"/>
          </w:tcPr>
          <w:p w14:paraId="1B04F0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textAlignment w:val="auto"/>
              <w:outlineLvl w:val="9"/>
              <w:rPr>
                <w:rFonts w:hint="eastAsia" w:ascii="宋体" w:hAnsi="宋体" w:eastAsia="仿宋_GB2312" w:cs="宋体"/>
                <w:color w:val="auto"/>
                <w:sz w:val="24"/>
                <w:szCs w:val="24"/>
                <w:highlight w:val="none"/>
                <w:u w:val="none"/>
                <w:vertAlign w:val="baseline"/>
                <w:lang w:val="en" w:eastAsia="zh-CN"/>
              </w:rPr>
            </w:pPr>
          </w:p>
        </w:tc>
        <w:tc>
          <w:tcPr>
            <w:tcW w:w="993" w:type="dxa"/>
            <w:vAlign w:val="top"/>
          </w:tcPr>
          <w:p w14:paraId="56EE83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textAlignment w:val="auto"/>
              <w:outlineLvl w:val="9"/>
              <w:rPr>
                <w:rFonts w:hint="eastAsia" w:ascii="宋体" w:hAnsi="宋体" w:eastAsia="仿宋_GB2312" w:cs="宋体"/>
                <w:color w:val="auto"/>
                <w:sz w:val="24"/>
                <w:szCs w:val="24"/>
                <w:highlight w:val="none"/>
                <w:u w:val="none"/>
                <w:vertAlign w:val="baseline"/>
                <w:lang w:val="en-US" w:eastAsia="zh-CN"/>
              </w:rPr>
            </w:pPr>
          </w:p>
        </w:tc>
      </w:tr>
      <w:tr w14:paraId="558DB9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2DE405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auto"/>
              <w:outlineLvl w:val="9"/>
              <w:rPr>
                <w:rFonts w:hint="eastAsia" w:ascii="宋体" w:hAnsi="宋体" w:eastAsia="宋体" w:cs="宋体"/>
                <w:b w:val="0"/>
                <w:bCs w:val="0"/>
                <w:color w:val="auto"/>
                <w:sz w:val="24"/>
                <w:szCs w:val="24"/>
                <w:highlight w:val="none"/>
                <w:u w:val="none"/>
                <w:lang w:val="en-US" w:eastAsia="zh-CN"/>
              </w:rPr>
            </w:pPr>
            <w:r>
              <w:rPr>
                <w:rFonts w:hint="eastAsia" w:ascii="宋体" w:hAnsi="宋体" w:eastAsia="宋体" w:cs="宋体"/>
                <w:b w:val="0"/>
                <w:bCs w:val="0"/>
                <w:color w:val="auto"/>
                <w:sz w:val="24"/>
                <w:szCs w:val="24"/>
                <w:highlight w:val="none"/>
                <w:u w:val="none"/>
                <w:lang w:val="en-US" w:eastAsia="zh-CN"/>
              </w:rPr>
              <w:t>7</w:t>
            </w:r>
          </w:p>
        </w:tc>
        <w:tc>
          <w:tcPr>
            <w:tcW w:w="3843" w:type="dxa"/>
            <w:vAlign w:val="top"/>
          </w:tcPr>
          <w:p w14:paraId="7D1780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textAlignment w:val="auto"/>
              <w:outlineLvl w:val="9"/>
              <w:rPr>
                <w:rFonts w:hint="eastAsia" w:ascii="宋体" w:hAnsi="宋体" w:eastAsia="仿宋_GB2312" w:cs="宋体"/>
                <w:color w:val="auto"/>
                <w:sz w:val="24"/>
                <w:szCs w:val="24"/>
                <w:highlight w:val="none"/>
                <w:u w:val="none"/>
                <w:vertAlign w:val="baseline"/>
                <w:lang w:val="en" w:eastAsia="zh-CN"/>
              </w:rPr>
            </w:pPr>
          </w:p>
        </w:tc>
        <w:tc>
          <w:tcPr>
            <w:tcW w:w="2861" w:type="dxa"/>
            <w:vAlign w:val="top"/>
          </w:tcPr>
          <w:p w14:paraId="211D37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textAlignment w:val="auto"/>
              <w:outlineLvl w:val="9"/>
              <w:rPr>
                <w:rFonts w:hint="eastAsia" w:ascii="宋体" w:hAnsi="宋体" w:eastAsia="仿宋_GB2312" w:cs="宋体"/>
                <w:color w:val="auto"/>
                <w:sz w:val="24"/>
                <w:szCs w:val="24"/>
                <w:highlight w:val="none"/>
                <w:u w:val="none"/>
                <w:vertAlign w:val="baseline"/>
                <w:lang w:val="en" w:eastAsia="zh-CN"/>
              </w:rPr>
            </w:pPr>
          </w:p>
        </w:tc>
        <w:tc>
          <w:tcPr>
            <w:tcW w:w="993" w:type="dxa"/>
            <w:vAlign w:val="top"/>
          </w:tcPr>
          <w:p w14:paraId="1F83B2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textAlignment w:val="auto"/>
              <w:outlineLvl w:val="9"/>
              <w:rPr>
                <w:rFonts w:hint="eastAsia" w:ascii="宋体" w:hAnsi="宋体" w:eastAsia="仿宋_GB2312" w:cs="宋体"/>
                <w:color w:val="auto"/>
                <w:sz w:val="24"/>
                <w:szCs w:val="24"/>
                <w:highlight w:val="none"/>
                <w:u w:val="none"/>
                <w:vertAlign w:val="baseline"/>
                <w:lang w:val="en-US" w:eastAsia="zh-CN"/>
              </w:rPr>
            </w:pPr>
          </w:p>
        </w:tc>
      </w:tr>
      <w:tr w14:paraId="348956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35BC93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auto"/>
              <w:outlineLvl w:val="9"/>
              <w:rPr>
                <w:rFonts w:hint="eastAsia" w:ascii="宋体" w:hAnsi="宋体" w:eastAsia="宋体" w:cs="宋体"/>
                <w:b w:val="0"/>
                <w:bCs w:val="0"/>
                <w:color w:val="auto"/>
                <w:sz w:val="24"/>
                <w:szCs w:val="24"/>
                <w:highlight w:val="none"/>
                <w:u w:val="none"/>
                <w:lang w:val="en-US" w:eastAsia="zh-CN"/>
              </w:rPr>
            </w:pPr>
            <w:r>
              <w:rPr>
                <w:rFonts w:hint="eastAsia" w:ascii="宋体" w:hAnsi="宋体" w:eastAsia="宋体" w:cs="宋体"/>
                <w:b w:val="0"/>
                <w:bCs w:val="0"/>
                <w:color w:val="auto"/>
                <w:sz w:val="24"/>
                <w:szCs w:val="24"/>
                <w:highlight w:val="none"/>
                <w:u w:val="none"/>
                <w:lang w:val="en-US" w:eastAsia="zh-CN"/>
              </w:rPr>
              <w:t>8</w:t>
            </w:r>
          </w:p>
        </w:tc>
        <w:tc>
          <w:tcPr>
            <w:tcW w:w="3843" w:type="dxa"/>
            <w:vAlign w:val="top"/>
          </w:tcPr>
          <w:p w14:paraId="105017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textAlignment w:val="auto"/>
              <w:outlineLvl w:val="9"/>
              <w:rPr>
                <w:rFonts w:hint="eastAsia" w:ascii="宋体" w:hAnsi="宋体" w:eastAsia="仿宋_GB2312" w:cs="宋体"/>
                <w:color w:val="auto"/>
                <w:sz w:val="24"/>
                <w:szCs w:val="24"/>
                <w:highlight w:val="none"/>
                <w:u w:val="none"/>
                <w:vertAlign w:val="baseline"/>
                <w:lang w:val="en" w:eastAsia="zh-CN"/>
              </w:rPr>
            </w:pPr>
          </w:p>
        </w:tc>
        <w:tc>
          <w:tcPr>
            <w:tcW w:w="2861" w:type="dxa"/>
            <w:vAlign w:val="top"/>
          </w:tcPr>
          <w:p w14:paraId="130008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textAlignment w:val="auto"/>
              <w:outlineLvl w:val="9"/>
              <w:rPr>
                <w:rFonts w:hint="eastAsia" w:ascii="宋体" w:hAnsi="宋体" w:eastAsia="仿宋_GB2312" w:cs="宋体"/>
                <w:color w:val="auto"/>
                <w:sz w:val="24"/>
                <w:szCs w:val="24"/>
                <w:highlight w:val="none"/>
                <w:u w:val="none"/>
                <w:vertAlign w:val="baseline"/>
                <w:lang w:val="en" w:eastAsia="zh-CN"/>
              </w:rPr>
            </w:pPr>
          </w:p>
        </w:tc>
        <w:tc>
          <w:tcPr>
            <w:tcW w:w="993" w:type="dxa"/>
            <w:vAlign w:val="top"/>
          </w:tcPr>
          <w:p w14:paraId="055853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textAlignment w:val="auto"/>
              <w:outlineLvl w:val="9"/>
              <w:rPr>
                <w:rFonts w:hint="eastAsia" w:ascii="宋体" w:hAnsi="宋体" w:eastAsia="仿宋_GB2312" w:cs="宋体"/>
                <w:color w:val="auto"/>
                <w:sz w:val="24"/>
                <w:szCs w:val="24"/>
                <w:highlight w:val="none"/>
                <w:u w:val="none"/>
                <w:vertAlign w:val="baseline"/>
                <w:lang w:val="en-US" w:eastAsia="zh-CN"/>
              </w:rPr>
            </w:pPr>
          </w:p>
        </w:tc>
      </w:tr>
      <w:tr w14:paraId="309B85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24E8C1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auto"/>
              <w:outlineLvl w:val="9"/>
              <w:rPr>
                <w:rFonts w:hint="eastAsia" w:ascii="宋体" w:hAnsi="宋体" w:eastAsia="宋体" w:cs="宋体"/>
                <w:color w:val="auto"/>
                <w:sz w:val="24"/>
                <w:szCs w:val="24"/>
                <w:highlight w:val="none"/>
                <w:u w:val="none"/>
                <w:lang w:val="en-US" w:eastAsia="zh-CN"/>
              </w:rPr>
            </w:pPr>
            <w:r>
              <w:rPr>
                <w:rFonts w:hint="eastAsia" w:ascii="宋体" w:hAnsi="宋体" w:eastAsia="宋体" w:cs="宋体"/>
                <w:color w:val="auto"/>
                <w:sz w:val="24"/>
                <w:szCs w:val="24"/>
                <w:highlight w:val="none"/>
                <w:u w:val="none"/>
                <w:lang w:val="en-US" w:eastAsia="zh-CN"/>
              </w:rPr>
              <w:t>……</w:t>
            </w:r>
          </w:p>
        </w:tc>
        <w:tc>
          <w:tcPr>
            <w:tcW w:w="3843" w:type="dxa"/>
            <w:vAlign w:val="top"/>
          </w:tcPr>
          <w:p w14:paraId="0ADF17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textAlignment w:val="auto"/>
              <w:outlineLvl w:val="9"/>
              <w:rPr>
                <w:rFonts w:hint="eastAsia" w:ascii="宋体" w:hAnsi="宋体" w:eastAsia="仿宋_GB2312" w:cs="宋体"/>
                <w:color w:val="auto"/>
                <w:sz w:val="24"/>
                <w:szCs w:val="24"/>
                <w:highlight w:val="none"/>
                <w:u w:val="none"/>
                <w:vertAlign w:val="baseline"/>
                <w:lang w:val="en" w:eastAsia="zh-CN"/>
              </w:rPr>
            </w:pPr>
          </w:p>
        </w:tc>
        <w:tc>
          <w:tcPr>
            <w:tcW w:w="2861" w:type="dxa"/>
            <w:vAlign w:val="top"/>
          </w:tcPr>
          <w:p w14:paraId="38583F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textAlignment w:val="auto"/>
              <w:outlineLvl w:val="9"/>
              <w:rPr>
                <w:rFonts w:hint="eastAsia" w:ascii="宋体" w:hAnsi="宋体" w:eastAsia="仿宋_GB2312" w:cs="宋体"/>
                <w:color w:val="auto"/>
                <w:sz w:val="24"/>
                <w:szCs w:val="24"/>
                <w:highlight w:val="none"/>
                <w:u w:val="none"/>
                <w:vertAlign w:val="baseline"/>
                <w:lang w:val="en" w:eastAsia="zh-CN"/>
              </w:rPr>
            </w:pPr>
          </w:p>
        </w:tc>
        <w:tc>
          <w:tcPr>
            <w:tcW w:w="993" w:type="dxa"/>
            <w:vAlign w:val="top"/>
          </w:tcPr>
          <w:p w14:paraId="113EEC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00" w:lineRule="exact"/>
              <w:ind w:left="0" w:leftChars="0" w:right="0"/>
              <w:textAlignment w:val="auto"/>
              <w:outlineLvl w:val="9"/>
              <w:rPr>
                <w:rFonts w:hint="eastAsia" w:ascii="宋体" w:hAnsi="宋体" w:eastAsia="仿宋_GB2312" w:cs="宋体"/>
                <w:color w:val="auto"/>
                <w:sz w:val="24"/>
                <w:szCs w:val="24"/>
                <w:highlight w:val="none"/>
                <w:u w:val="none"/>
                <w:vertAlign w:val="baseline"/>
                <w:lang w:val="en-US" w:eastAsia="zh-CN"/>
              </w:rPr>
            </w:pPr>
          </w:p>
        </w:tc>
      </w:tr>
    </w:tbl>
    <w:p w14:paraId="0F74774B">
      <w:pPr>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left"/>
        <w:textAlignment w:val="auto"/>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备注：1.项目资金末端分配点位包括市本级、县（区）、市级部门下属单位及一次性单位等。</w:t>
      </w:r>
    </w:p>
    <w:p w14:paraId="0B975A8B">
      <w:pPr>
        <w:keepNext w:val="0"/>
        <w:keepLines w:val="0"/>
        <w:pageBreakBefore w:val="0"/>
        <w:widowControl w:val="0"/>
        <w:numPr>
          <w:ilvl w:val="0"/>
          <w:numId w:val="0"/>
        </w:numPr>
        <w:kinsoku/>
        <w:wordWrap/>
        <w:overflowPunct/>
        <w:topLinePunct w:val="0"/>
        <w:autoSpaceDE/>
        <w:autoSpaceDN/>
        <w:bidi w:val="0"/>
        <w:adjustRightInd/>
        <w:snapToGrid/>
        <w:spacing w:line="400" w:lineRule="exact"/>
        <w:ind w:left="0" w:leftChars="0" w:firstLine="630" w:firstLineChars="300"/>
        <w:jc w:val="left"/>
        <w:textAlignment w:val="auto"/>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2.自评得分（百分制）从高到低划分为优、良、中、差四个档次，各个档次数量占比分别为20%、20%、55%、5%，且不同档次间得分分值应体现差异化，同档次得分分值相同的比例不超过该档次总数量的10%。</w:t>
      </w:r>
    </w:p>
    <w:p w14:paraId="62861296">
      <w:pPr>
        <w:rPr>
          <w:rFonts w:hint="eastAsia" w:ascii="Times New Roman" w:hAnsi="Times New Roman" w:eastAsia="仿宋_GB2312" w:cs="Times New Roman"/>
          <w:kern w:val="2"/>
          <w:sz w:val="32"/>
          <w:szCs w:val="24"/>
          <w:highlight w:val="none"/>
          <w:lang w:val="en-US" w:eastAsia="zh-CN" w:bidi="ar-SA"/>
        </w:rPr>
      </w:pPr>
      <w:r>
        <w:rPr>
          <w:rFonts w:hint="eastAsia" w:ascii="Times New Roman" w:hAnsi="Times New Roman" w:eastAsia="仿宋_GB2312" w:cs="Times New Roman"/>
          <w:kern w:val="2"/>
          <w:sz w:val="32"/>
          <w:szCs w:val="24"/>
          <w:highlight w:val="none"/>
          <w:lang w:val="en-US" w:eastAsia="zh-CN" w:bidi="ar-SA"/>
        </w:rPr>
        <w:br w:type="page"/>
      </w:r>
    </w:p>
    <w:p w14:paraId="4A7E1E75">
      <w:pPr>
        <w:keepNext w:val="0"/>
        <w:keepLines w:val="0"/>
        <w:pageBreakBefore w:val="0"/>
        <w:widowControl w:val="0"/>
        <w:kinsoku/>
        <w:wordWrap/>
        <w:overflowPunct/>
        <w:topLinePunct w:val="0"/>
        <w:autoSpaceDE/>
        <w:autoSpaceDN/>
        <w:bidi w:val="0"/>
        <w:spacing w:after="0" w:line="578" w:lineRule="exact"/>
        <w:ind w:left="0" w:leftChars="0" w:firstLine="0" w:firstLineChars="0"/>
        <w:jc w:val="both"/>
        <w:rPr>
          <w:rFonts w:hint="default" w:ascii="Times New Roman" w:hAnsi="Times New Roman" w:eastAsia="黑体" w:cs="Times New Roman"/>
          <w:kern w:val="2"/>
          <w:sz w:val="32"/>
          <w:szCs w:val="24"/>
          <w:highlight w:val="none"/>
          <w:lang w:val="en-US" w:eastAsia="zh-CN" w:bidi="ar-SA"/>
        </w:rPr>
      </w:pPr>
      <w:r>
        <w:rPr>
          <w:rFonts w:hint="default" w:ascii="Times New Roman" w:hAnsi="Times New Roman" w:eastAsia="黑体" w:cs="Times New Roman"/>
          <w:kern w:val="2"/>
          <w:sz w:val="32"/>
          <w:szCs w:val="24"/>
          <w:highlight w:val="none"/>
          <w:lang w:val="en-US" w:eastAsia="zh-CN" w:bidi="ar-SA"/>
        </w:rPr>
        <w:t>附表2</w:t>
      </w:r>
    </w:p>
    <w:tbl>
      <w:tblPr>
        <w:tblStyle w:val="20"/>
        <w:tblW w:w="10233"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
      <w:tblGrid>
        <w:gridCol w:w="652"/>
        <w:gridCol w:w="1081"/>
        <w:gridCol w:w="1250"/>
        <w:gridCol w:w="1312"/>
        <w:gridCol w:w="1127"/>
        <w:gridCol w:w="971"/>
        <w:gridCol w:w="1061"/>
        <w:gridCol w:w="938"/>
        <w:gridCol w:w="1841"/>
      </w:tblGrid>
      <w:tr w14:paraId="1F3DB48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576" w:hRule="atLeast"/>
          <w:jc w:val="center"/>
        </w:trPr>
        <w:tc>
          <w:tcPr>
            <w:tcW w:w="10233" w:type="dxa"/>
            <w:gridSpan w:val="9"/>
            <w:shd w:val="clear" w:color="auto" w:fill="auto"/>
            <w:vAlign w:val="center"/>
          </w:tcPr>
          <w:p w14:paraId="122716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600" w:lineRule="exact"/>
              <w:ind w:left="0" w:leftChars="0" w:right="0"/>
              <w:jc w:val="center"/>
              <w:textAlignment w:val="center"/>
              <w:rPr>
                <w:rFonts w:hint="default" w:ascii="黑体" w:hAnsi="宋体" w:eastAsia="黑体" w:cs="黑体"/>
                <w:i w:val="0"/>
                <w:color w:val="000000"/>
                <w:sz w:val="30"/>
                <w:szCs w:val="30"/>
                <w:u w:val="none"/>
              </w:rPr>
            </w:pPr>
            <w:r>
              <w:rPr>
                <w:rFonts w:hint="eastAsia" w:ascii="方正小标宋简体" w:hAnsi="方正小标宋简体" w:eastAsia="方正小标宋简体" w:cs="方正小标宋简体"/>
                <w:i w:val="0"/>
                <w:color w:val="000000"/>
                <w:kern w:val="0"/>
                <w:sz w:val="40"/>
                <w:szCs w:val="40"/>
                <w:u w:val="none"/>
                <w:lang w:val="en-US" w:eastAsia="zh-CN" w:bidi="ar"/>
              </w:rPr>
              <w:t>专项预算项目绩效目标完成情况自评表</w:t>
            </w:r>
          </w:p>
        </w:tc>
      </w:tr>
      <w:tr w14:paraId="1C9D27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4295"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49E78A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left"/>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项目名称</w:t>
            </w:r>
          </w:p>
        </w:tc>
        <w:tc>
          <w:tcPr>
            <w:tcW w:w="593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0F43D9AE">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rPr>
                <w:rFonts w:hint="eastAsia" w:ascii="宋体" w:hAnsi="宋体" w:eastAsia="宋体" w:cs="宋体"/>
                <w:i w:val="0"/>
                <w:color w:val="000000"/>
                <w:sz w:val="24"/>
                <w:szCs w:val="24"/>
                <w:u w:val="none"/>
              </w:rPr>
            </w:pPr>
            <w:r>
              <w:rPr>
                <w:rFonts w:hint="eastAsia" w:ascii="宋体" w:hAnsi="宋体" w:eastAsia="宋体" w:cs="宋体"/>
                <w:i w:val="0"/>
                <w:color w:val="000000"/>
                <w:sz w:val="24"/>
                <w:szCs w:val="24"/>
                <w:u w:val="none"/>
              </w:rPr>
              <w:t>2023年粮食质量安全检验监测能力提升项目</w:t>
            </w:r>
          </w:p>
        </w:tc>
      </w:tr>
      <w:tr w14:paraId="3ACA4D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4295"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1BC432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left"/>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预算单位</w:t>
            </w:r>
          </w:p>
        </w:tc>
        <w:tc>
          <w:tcPr>
            <w:tcW w:w="593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5E7CBF5">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rPr>
                <w:rFonts w:hint="default" w:ascii="宋体" w:hAnsi="宋体" w:eastAsia="宋体" w:cs="宋体"/>
                <w:i w:val="0"/>
                <w:color w:val="000000"/>
                <w:sz w:val="24"/>
                <w:szCs w:val="24"/>
                <w:u w:val="none"/>
                <w:lang w:val="en-US" w:eastAsia="zh-CN"/>
              </w:rPr>
            </w:pPr>
            <w:r>
              <w:rPr>
                <w:rFonts w:hint="eastAsia" w:ascii="宋体" w:hAnsi="宋体" w:eastAsia="宋体" w:cs="宋体"/>
                <w:i w:val="0"/>
                <w:color w:val="000000"/>
                <w:sz w:val="24"/>
                <w:szCs w:val="24"/>
                <w:u w:val="none"/>
                <w:lang w:val="en-US" w:eastAsia="zh-CN"/>
              </w:rPr>
              <w:t>广元市粮油质量监测站</w:t>
            </w:r>
          </w:p>
        </w:tc>
      </w:tr>
      <w:tr w14:paraId="0EA1B8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4295"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088097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left"/>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项目类型</w:t>
            </w:r>
          </w:p>
        </w:tc>
        <w:tc>
          <w:tcPr>
            <w:tcW w:w="593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F6A23FE">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left"/>
              <w:rPr>
                <w:rFonts w:hint="eastAsia" w:ascii="宋体" w:hAnsi="宋体" w:eastAsia="宋体" w:cs="宋体"/>
                <w:i w:val="0"/>
                <w:color w:val="000000"/>
                <w:sz w:val="24"/>
                <w:szCs w:val="24"/>
                <w:u w:val="none"/>
              </w:rPr>
            </w:pPr>
            <w:r>
              <w:rPr>
                <w:rFonts w:hint="eastAsia" w:ascii="宋体" w:hAnsi="宋体" w:eastAsia="宋体" w:cs="宋体"/>
                <w:color w:val="000000"/>
                <w:sz w:val="24"/>
                <w:szCs w:val="24"/>
                <w:lang w:eastAsia="zh-CN"/>
              </w:rPr>
              <w:t>一次性项目</w:t>
            </w:r>
          </w:p>
        </w:tc>
      </w:tr>
      <w:tr w14:paraId="14C312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65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D5291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项目 概况</w:t>
            </w:r>
          </w:p>
        </w:tc>
        <w:tc>
          <w:tcPr>
            <w:tcW w:w="364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04021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left"/>
              <w:textAlignment w:val="center"/>
              <w:rPr>
                <w:rFonts w:hint="default" w:ascii="宋体" w:hAnsi="宋体" w:eastAsia="宋体" w:cs="宋体"/>
                <w:i w:val="0"/>
                <w:color w:val="000000"/>
                <w:kern w:val="0"/>
                <w:sz w:val="24"/>
                <w:szCs w:val="24"/>
                <w:u w:val="none"/>
                <w:lang w:val="en-US" w:eastAsia="zh-CN" w:bidi="ar"/>
              </w:rPr>
            </w:pPr>
            <w:r>
              <w:rPr>
                <w:rFonts w:hint="default" w:ascii="宋体" w:hAnsi="宋体" w:eastAsia="宋体" w:cs="宋体"/>
                <w:i w:val="0"/>
                <w:color w:val="000000"/>
                <w:kern w:val="0"/>
                <w:sz w:val="24"/>
                <w:szCs w:val="24"/>
                <w:u w:val="none"/>
                <w:lang w:val="en-US" w:eastAsia="zh-CN" w:bidi="ar"/>
              </w:rPr>
              <w:t>中长期规划（名称、文号，仅指</w:t>
            </w:r>
          </w:p>
          <w:p w14:paraId="7AF0D6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left"/>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常年项目）</w:t>
            </w:r>
          </w:p>
        </w:tc>
        <w:tc>
          <w:tcPr>
            <w:tcW w:w="593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9A88A30">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left"/>
              <w:rPr>
                <w:rFonts w:hint="eastAsia" w:ascii="宋体" w:hAnsi="宋体" w:eastAsia="宋体" w:cs="宋体"/>
                <w:i w:val="0"/>
                <w:color w:val="000000"/>
                <w:sz w:val="24"/>
                <w:szCs w:val="24"/>
                <w:u w:val="none"/>
              </w:rPr>
            </w:pPr>
          </w:p>
        </w:tc>
      </w:tr>
      <w:tr w14:paraId="2BDDC8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63998D">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rPr>
                <w:rFonts w:hint="eastAsia" w:ascii="宋体" w:hAnsi="宋体" w:eastAsia="宋体" w:cs="宋体"/>
                <w:i w:val="0"/>
                <w:color w:val="000000"/>
                <w:sz w:val="24"/>
                <w:szCs w:val="24"/>
                <w:u w:val="none"/>
              </w:rPr>
            </w:pPr>
          </w:p>
        </w:tc>
        <w:tc>
          <w:tcPr>
            <w:tcW w:w="364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11B00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left"/>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资金管理办法（名称、文号）</w:t>
            </w:r>
          </w:p>
        </w:tc>
        <w:tc>
          <w:tcPr>
            <w:tcW w:w="593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12D31D16">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left"/>
              <w:rPr>
                <w:rFonts w:hint="eastAsia" w:ascii="宋体" w:hAnsi="宋体" w:eastAsia="宋体" w:cs="宋体"/>
                <w:i w:val="0"/>
                <w:color w:val="000000"/>
                <w:sz w:val="24"/>
                <w:szCs w:val="24"/>
                <w:u w:val="none"/>
              </w:rPr>
            </w:pPr>
          </w:p>
        </w:tc>
      </w:tr>
      <w:tr w14:paraId="426C2F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32DF80">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rPr>
                <w:rFonts w:hint="eastAsia" w:ascii="宋体" w:hAnsi="宋体" w:eastAsia="宋体" w:cs="宋体"/>
                <w:i w:val="0"/>
                <w:color w:val="000000"/>
                <w:sz w:val="24"/>
                <w:szCs w:val="24"/>
                <w:u w:val="none"/>
              </w:rPr>
            </w:pPr>
          </w:p>
        </w:tc>
        <w:tc>
          <w:tcPr>
            <w:tcW w:w="364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D7FEC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left"/>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绩效分配方式</w:t>
            </w:r>
          </w:p>
        </w:tc>
        <w:tc>
          <w:tcPr>
            <w:tcW w:w="11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8B16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left"/>
              <w:textAlignment w:val="center"/>
              <w:rPr>
                <w:rFonts w:hint="default" w:ascii="Wingdings 2" w:hAnsi="Wingdings 2" w:eastAsia="Wingdings 2" w:cs="Wingdings 2"/>
                <w:i w:val="0"/>
                <w:color w:val="000000"/>
                <w:sz w:val="24"/>
                <w:szCs w:val="24"/>
                <w:u w:val="none"/>
              </w:rPr>
            </w:pPr>
            <w:r>
              <w:rPr>
                <w:rFonts w:hint="default" w:ascii="Wingdings 2" w:hAnsi="Wingdings 2" w:eastAsia="Wingdings 2" w:cs="Wingdings 2"/>
                <w:i w:val="0"/>
                <w:color w:val="000000"/>
                <w:kern w:val="0"/>
                <w:sz w:val="24"/>
                <w:szCs w:val="24"/>
                <w:u w:val="none"/>
                <w:lang w:val="en-US" w:eastAsia="zh-CN" w:bidi="ar"/>
              </w:rPr>
              <w:t>£</w:t>
            </w:r>
            <w:r>
              <w:rPr>
                <w:rFonts w:hint="default" w:ascii="宋体" w:hAnsi="宋体" w:eastAsia="宋体" w:cs="宋体"/>
                <w:i w:val="0"/>
                <w:color w:val="000000"/>
                <w:kern w:val="0"/>
                <w:sz w:val="24"/>
                <w:szCs w:val="24"/>
                <w:u w:val="none"/>
                <w:lang w:val="en-US" w:eastAsia="zh-CN" w:bidi="ar"/>
              </w:rPr>
              <w:t>因素法</w:t>
            </w:r>
          </w:p>
        </w:tc>
        <w:tc>
          <w:tcPr>
            <w:tcW w:w="20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49631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Wingdings 2" w:hAnsi="Wingdings 2" w:eastAsia="Wingdings 2" w:cs="Wingdings 2"/>
                <w:i w:val="0"/>
                <w:color w:val="000000"/>
                <w:sz w:val="24"/>
                <w:szCs w:val="24"/>
                <w:u w:val="none"/>
              </w:rPr>
            </w:pPr>
            <w:r>
              <w:rPr>
                <w:rFonts w:hint="default" w:ascii="Wingdings 2" w:hAnsi="Wingdings 2" w:eastAsia="Wingdings 2" w:cs="Wingdings 2"/>
                <w:i w:val="0"/>
                <w:color w:val="000000"/>
                <w:kern w:val="0"/>
                <w:sz w:val="24"/>
                <w:szCs w:val="24"/>
                <w:u w:val="none"/>
                <w:lang w:val="en-US" w:eastAsia="zh-CN" w:bidi="ar"/>
              </w:rPr>
              <w:t>£项目法</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244B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Wingdings 2" w:hAnsi="Wingdings 2" w:eastAsia="Wingdings 2" w:cs="Wingdings 2"/>
                <w:i w:val="0"/>
                <w:color w:val="000000"/>
                <w:sz w:val="24"/>
                <w:szCs w:val="24"/>
                <w:u w:val="none"/>
              </w:rPr>
            </w:pPr>
            <w:r>
              <w:rPr>
                <w:rFonts w:hint="default" w:ascii="Wingdings 2" w:hAnsi="Wingdings 2" w:eastAsia="Wingdings 2" w:cs="Wingdings 2"/>
                <w:i w:val="0"/>
                <w:color w:val="000000"/>
                <w:kern w:val="0"/>
                <w:sz w:val="24"/>
                <w:szCs w:val="24"/>
                <w:u w:val="none"/>
                <w:lang w:val="en-US" w:eastAsia="zh-CN" w:bidi="ar"/>
              </w:rPr>
              <w:t>£</w:t>
            </w:r>
            <w:r>
              <w:rPr>
                <w:rFonts w:hint="default" w:ascii="宋体" w:hAnsi="宋体" w:eastAsia="宋体" w:cs="宋体"/>
                <w:i w:val="0"/>
                <w:color w:val="000000"/>
                <w:kern w:val="0"/>
                <w:sz w:val="24"/>
                <w:szCs w:val="24"/>
                <w:u w:val="none"/>
                <w:lang w:val="en-US" w:eastAsia="zh-CN" w:bidi="ar"/>
              </w:rPr>
              <w:t>据实据效</w:t>
            </w:r>
          </w:p>
        </w:tc>
        <w:tc>
          <w:tcPr>
            <w:tcW w:w="18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DAE6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Wingdings 2" w:hAnsi="Wingdings 2" w:eastAsia="Wingdings 2" w:cs="Wingdings 2"/>
                <w:i w:val="0"/>
                <w:color w:val="000000"/>
                <w:sz w:val="24"/>
                <w:szCs w:val="24"/>
                <w:u w:val="none"/>
              </w:rPr>
            </w:pPr>
            <w:r>
              <w:rPr>
                <w:rFonts w:hint="default" w:ascii="Wingdings 2" w:hAnsi="Wingdings 2" w:eastAsia="Wingdings 2" w:cs="Wingdings 2"/>
                <w:i w:val="0"/>
                <w:color w:val="000000"/>
                <w:kern w:val="0"/>
                <w:sz w:val="24"/>
                <w:szCs w:val="24"/>
                <w:u w:val="none"/>
                <w:lang w:val="en-US" w:eastAsia="zh-CN" w:bidi="ar"/>
              </w:rPr>
              <w:t>£</w:t>
            </w:r>
            <w:r>
              <w:rPr>
                <w:rFonts w:hint="default" w:ascii="宋体" w:hAnsi="宋体" w:eastAsia="宋体" w:cs="宋体"/>
                <w:i w:val="0"/>
                <w:color w:val="000000"/>
                <w:kern w:val="0"/>
                <w:sz w:val="24"/>
                <w:szCs w:val="24"/>
                <w:u w:val="none"/>
                <w:lang w:val="en-US" w:eastAsia="zh-CN" w:bidi="ar"/>
              </w:rPr>
              <w:t>因素法与项目法相结合</w:t>
            </w:r>
          </w:p>
        </w:tc>
      </w:tr>
      <w:tr w14:paraId="36BA15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A33EF7">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rPr>
                <w:rFonts w:hint="eastAsia" w:ascii="宋体" w:hAnsi="宋体" w:eastAsia="宋体" w:cs="宋体"/>
                <w:i w:val="0"/>
                <w:color w:val="000000"/>
                <w:sz w:val="24"/>
                <w:szCs w:val="24"/>
                <w:u w:val="none"/>
              </w:rPr>
            </w:pPr>
          </w:p>
        </w:tc>
        <w:tc>
          <w:tcPr>
            <w:tcW w:w="364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A8AE3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left"/>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立项依据</w:t>
            </w:r>
          </w:p>
        </w:tc>
        <w:tc>
          <w:tcPr>
            <w:tcW w:w="593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ACFC63A">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left"/>
              <w:rPr>
                <w:rFonts w:hint="eastAsia" w:ascii="宋体" w:hAnsi="宋体" w:eastAsia="宋体" w:cs="宋体"/>
                <w:i w:val="0"/>
                <w:color w:val="000000"/>
                <w:sz w:val="24"/>
                <w:szCs w:val="24"/>
                <w:u w:val="none"/>
                <w:lang w:val="en-US" w:eastAsia="zh-CN"/>
              </w:rPr>
            </w:pPr>
            <w:r>
              <w:rPr>
                <w:rFonts w:hint="eastAsia" w:ascii="宋体" w:hAnsi="宋体" w:eastAsia="宋体" w:cs="宋体"/>
                <w:i w:val="0"/>
                <w:color w:val="000000"/>
                <w:sz w:val="24"/>
                <w:szCs w:val="24"/>
                <w:u w:val="none"/>
                <w:lang w:val="en-US" w:eastAsia="zh-CN"/>
              </w:rPr>
              <w:t>无</w:t>
            </w:r>
          </w:p>
        </w:tc>
      </w:tr>
      <w:tr w14:paraId="60AB08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664469">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rPr>
                <w:rFonts w:hint="eastAsia" w:ascii="宋体" w:hAnsi="宋体" w:eastAsia="宋体" w:cs="宋体"/>
                <w:i w:val="0"/>
                <w:color w:val="000000"/>
                <w:sz w:val="24"/>
                <w:szCs w:val="24"/>
                <w:u w:val="none"/>
              </w:rPr>
            </w:pPr>
          </w:p>
        </w:tc>
        <w:tc>
          <w:tcPr>
            <w:tcW w:w="364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BA08C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left"/>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使用范围</w:t>
            </w:r>
          </w:p>
        </w:tc>
        <w:tc>
          <w:tcPr>
            <w:tcW w:w="593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0E5246AB">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left"/>
              <w:rPr>
                <w:rFonts w:hint="eastAsia" w:ascii="宋体" w:hAnsi="宋体" w:eastAsia="宋体" w:cs="宋体"/>
                <w:i w:val="0"/>
                <w:color w:val="000000"/>
                <w:sz w:val="24"/>
                <w:szCs w:val="24"/>
                <w:u w:val="none"/>
              </w:rPr>
            </w:pPr>
          </w:p>
        </w:tc>
      </w:tr>
      <w:tr w14:paraId="6A6EC9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23519B">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rPr>
                <w:rFonts w:hint="eastAsia" w:ascii="宋体" w:hAnsi="宋体" w:eastAsia="宋体" w:cs="宋体"/>
                <w:i w:val="0"/>
                <w:color w:val="000000"/>
                <w:sz w:val="24"/>
                <w:szCs w:val="24"/>
                <w:u w:val="none"/>
              </w:rPr>
            </w:pPr>
          </w:p>
        </w:tc>
        <w:tc>
          <w:tcPr>
            <w:tcW w:w="364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FCF08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left"/>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申报（补助）条件</w:t>
            </w:r>
          </w:p>
        </w:tc>
        <w:tc>
          <w:tcPr>
            <w:tcW w:w="593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41BD0CD">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left"/>
              <w:rPr>
                <w:rFonts w:hint="eastAsia" w:ascii="宋体" w:hAnsi="宋体" w:eastAsia="宋体" w:cs="宋体"/>
                <w:i w:val="0"/>
                <w:color w:val="000000"/>
                <w:sz w:val="24"/>
                <w:szCs w:val="24"/>
                <w:u w:val="none"/>
              </w:rPr>
            </w:pPr>
          </w:p>
        </w:tc>
      </w:tr>
      <w:tr w14:paraId="375E94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13F516">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rPr>
                <w:rFonts w:hint="eastAsia" w:ascii="宋体" w:hAnsi="宋体" w:eastAsia="宋体" w:cs="宋体"/>
                <w:i w:val="0"/>
                <w:color w:val="000000"/>
                <w:sz w:val="24"/>
                <w:szCs w:val="24"/>
                <w:u w:val="none"/>
              </w:rPr>
            </w:pPr>
          </w:p>
        </w:tc>
        <w:tc>
          <w:tcPr>
            <w:tcW w:w="364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11BE3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left"/>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项目起止年限</w:t>
            </w:r>
          </w:p>
        </w:tc>
        <w:tc>
          <w:tcPr>
            <w:tcW w:w="593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52965B07">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rPr>
                <w:rFonts w:hint="eastAsia" w:ascii="宋体" w:hAnsi="宋体" w:eastAsia="宋体" w:cs="宋体"/>
                <w:i w:val="0"/>
                <w:color w:val="000000"/>
                <w:sz w:val="24"/>
                <w:szCs w:val="24"/>
                <w:u w:val="none"/>
              </w:rPr>
            </w:pPr>
            <w:r>
              <w:rPr>
                <w:rFonts w:hint="eastAsia" w:ascii="宋体" w:hAnsi="宋体" w:eastAsia="宋体" w:cs="宋体"/>
                <w:color w:val="000000"/>
                <w:sz w:val="24"/>
                <w:szCs w:val="24"/>
              </w:rPr>
              <w:t>2023年</w:t>
            </w:r>
            <w:r>
              <w:rPr>
                <w:rFonts w:hint="eastAsia" w:ascii="宋体" w:hAnsi="宋体" w:eastAsia="宋体" w:cs="宋体"/>
                <w:color w:val="000000"/>
                <w:sz w:val="24"/>
                <w:szCs w:val="24"/>
                <w:lang w:val="en-US" w:eastAsia="zh-CN"/>
              </w:rPr>
              <w:t>2</w:t>
            </w:r>
            <w:r>
              <w:rPr>
                <w:rFonts w:hint="eastAsia" w:ascii="宋体" w:hAnsi="宋体" w:eastAsia="宋体" w:cs="宋体"/>
                <w:color w:val="000000"/>
                <w:sz w:val="24"/>
                <w:szCs w:val="24"/>
              </w:rPr>
              <w:t>月—2023年12月</w:t>
            </w:r>
          </w:p>
        </w:tc>
      </w:tr>
      <w:tr w14:paraId="1F3420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1733" w:type="dxa"/>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3E841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宋体" w:hAnsi="宋体" w:eastAsia="宋体" w:cs="宋体"/>
                <w:i w:val="0"/>
                <w:color w:val="000000"/>
                <w:kern w:val="0"/>
                <w:sz w:val="24"/>
                <w:szCs w:val="24"/>
                <w:u w:val="none"/>
                <w:lang w:val="en-US" w:eastAsia="zh-CN" w:bidi="ar"/>
              </w:rPr>
            </w:pPr>
            <w:r>
              <w:rPr>
                <w:rFonts w:hint="default" w:ascii="宋体" w:hAnsi="宋体" w:eastAsia="宋体" w:cs="宋体"/>
                <w:i w:val="0"/>
                <w:color w:val="000000"/>
                <w:kern w:val="0"/>
                <w:sz w:val="24"/>
                <w:szCs w:val="24"/>
                <w:u w:val="none"/>
                <w:lang w:val="en-US" w:eastAsia="zh-CN" w:bidi="ar"/>
              </w:rPr>
              <w:t>项目资金</w:t>
            </w:r>
          </w:p>
          <w:p w14:paraId="0FAF25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（万元）</w:t>
            </w:r>
          </w:p>
        </w:tc>
        <w:tc>
          <w:tcPr>
            <w:tcW w:w="256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B1042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left"/>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 xml:space="preserve">  年度资金总额：</w:t>
            </w:r>
          </w:p>
        </w:tc>
        <w:tc>
          <w:tcPr>
            <w:tcW w:w="593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4300485">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right"/>
              <w:rPr>
                <w:rFonts w:hint="default" w:ascii="宋体" w:hAnsi="宋体" w:eastAsia="宋体" w:cs="宋体"/>
                <w:i w:val="0"/>
                <w:color w:val="000000"/>
                <w:sz w:val="24"/>
                <w:szCs w:val="24"/>
                <w:u w:val="none"/>
                <w:lang w:val="en-US" w:eastAsia="zh-CN"/>
              </w:rPr>
            </w:pPr>
            <w:r>
              <w:rPr>
                <w:rFonts w:hint="eastAsia" w:ascii="宋体" w:hAnsi="宋体" w:eastAsia="宋体" w:cs="宋体"/>
                <w:i w:val="0"/>
                <w:color w:val="000000"/>
                <w:sz w:val="24"/>
                <w:szCs w:val="24"/>
                <w:u w:val="none"/>
                <w:lang w:val="en-US" w:eastAsia="zh-CN"/>
              </w:rPr>
              <w:t>150</w:t>
            </w:r>
          </w:p>
        </w:tc>
      </w:tr>
      <w:tr w14:paraId="2B576A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1733"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63ADEE">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rPr>
                <w:rFonts w:hint="eastAsia" w:ascii="宋体" w:hAnsi="宋体" w:eastAsia="宋体" w:cs="宋体"/>
                <w:i w:val="0"/>
                <w:color w:val="000000"/>
                <w:sz w:val="24"/>
                <w:szCs w:val="24"/>
                <w:u w:val="none"/>
              </w:rPr>
            </w:pPr>
          </w:p>
        </w:tc>
        <w:tc>
          <w:tcPr>
            <w:tcW w:w="256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622F8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left"/>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 xml:space="preserve">     </w:t>
            </w:r>
            <w:r>
              <w:rPr>
                <w:rFonts w:hint="eastAsia" w:ascii="宋体" w:hAnsi="宋体" w:eastAsia="宋体" w:cs="宋体"/>
                <w:i w:val="0"/>
                <w:color w:val="000000"/>
                <w:kern w:val="0"/>
                <w:sz w:val="24"/>
                <w:szCs w:val="24"/>
                <w:u w:val="none"/>
                <w:lang w:val="en-US" w:eastAsia="zh-CN" w:bidi="ar"/>
              </w:rPr>
              <w:t xml:space="preserve"> </w:t>
            </w:r>
            <w:r>
              <w:rPr>
                <w:rFonts w:hint="default" w:ascii="宋体" w:hAnsi="宋体" w:eastAsia="宋体" w:cs="宋体"/>
                <w:i w:val="0"/>
                <w:color w:val="000000"/>
                <w:kern w:val="0"/>
                <w:sz w:val="24"/>
                <w:szCs w:val="24"/>
                <w:u w:val="none"/>
                <w:lang w:val="en-US" w:eastAsia="zh-CN" w:bidi="ar"/>
              </w:rPr>
              <w:t>其中：财政拨款</w:t>
            </w:r>
          </w:p>
        </w:tc>
        <w:tc>
          <w:tcPr>
            <w:tcW w:w="593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1769A6A4">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right"/>
              <w:rPr>
                <w:rFonts w:hint="default" w:ascii="宋体" w:hAnsi="宋体" w:eastAsia="宋体" w:cs="宋体"/>
                <w:i w:val="0"/>
                <w:color w:val="000000"/>
                <w:sz w:val="24"/>
                <w:szCs w:val="24"/>
                <w:u w:val="none"/>
                <w:lang w:val="en-US" w:eastAsia="zh-CN"/>
              </w:rPr>
            </w:pPr>
            <w:r>
              <w:rPr>
                <w:rFonts w:hint="eastAsia" w:ascii="宋体" w:hAnsi="宋体" w:eastAsia="宋体" w:cs="宋体"/>
                <w:i w:val="0"/>
                <w:color w:val="000000"/>
                <w:sz w:val="24"/>
                <w:szCs w:val="24"/>
                <w:u w:val="none"/>
                <w:lang w:val="en-US" w:eastAsia="zh-CN"/>
              </w:rPr>
              <w:t>150</w:t>
            </w:r>
          </w:p>
        </w:tc>
      </w:tr>
      <w:tr w14:paraId="1FFB23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1733"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804CAEF">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rPr>
                <w:rFonts w:hint="eastAsia" w:ascii="宋体" w:hAnsi="宋体" w:eastAsia="宋体" w:cs="宋体"/>
                <w:i w:val="0"/>
                <w:color w:val="000000"/>
                <w:sz w:val="24"/>
                <w:szCs w:val="24"/>
                <w:u w:val="none"/>
              </w:rPr>
            </w:pPr>
          </w:p>
        </w:tc>
        <w:tc>
          <w:tcPr>
            <w:tcW w:w="256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23589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left"/>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 xml:space="preserve">            其他资金</w:t>
            </w:r>
          </w:p>
        </w:tc>
        <w:tc>
          <w:tcPr>
            <w:tcW w:w="593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267D0997">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right"/>
              <w:rPr>
                <w:rFonts w:hint="eastAsia" w:ascii="宋体" w:hAnsi="宋体" w:eastAsia="宋体" w:cs="宋体"/>
                <w:i w:val="0"/>
                <w:color w:val="000000"/>
                <w:sz w:val="24"/>
                <w:szCs w:val="24"/>
                <w:u w:val="none"/>
                <w:lang w:val="en-US" w:eastAsia="zh-CN"/>
              </w:rPr>
            </w:pPr>
            <w:r>
              <w:rPr>
                <w:rFonts w:hint="eastAsia" w:ascii="宋体" w:hAnsi="宋体" w:eastAsia="宋体" w:cs="宋体"/>
                <w:i w:val="0"/>
                <w:color w:val="000000"/>
                <w:sz w:val="24"/>
                <w:szCs w:val="24"/>
                <w:u w:val="none"/>
                <w:lang w:val="en-US" w:eastAsia="zh-CN"/>
              </w:rPr>
              <w:t>0</w:t>
            </w:r>
          </w:p>
        </w:tc>
      </w:tr>
      <w:tr w14:paraId="336311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65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58CD6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总体 目标</w:t>
            </w:r>
          </w:p>
        </w:tc>
        <w:tc>
          <w:tcPr>
            <w:tcW w:w="9581"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6A2A27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年度目标</w:t>
            </w:r>
          </w:p>
        </w:tc>
      </w:tr>
      <w:tr w14:paraId="0221E0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25F5D5">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rPr>
                <w:rFonts w:hint="eastAsia" w:ascii="宋体" w:hAnsi="宋体" w:eastAsia="宋体" w:cs="宋体"/>
                <w:i w:val="0"/>
                <w:color w:val="000000"/>
                <w:sz w:val="24"/>
                <w:szCs w:val="24"/>
                <w:u w:val="none"/>
              </w:rPr>
            </w:pPr>
          </w:p>
        </w:tc>
        <w:tc>
          <w:tcPr>
            <w:tcW w:w="9581"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70746CAB">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rPr>
                <w:rFonts w:hint="eastAsia" w:ascii="宋体" w:hAnsi="宋体" w:eastAsia="宋体" w:cs="宋体"/>
                <w:i w:val="0"/>
                <w:color w:val="000000"/>
                <w:sz w:val="24"/>
                <w:szCs w:val="24"/>
                <w:u w:val="none"/>
              </w:rPr>
            </w:pPr>
          </w:p>
        </w:tc>
      </w:tr>
      <w:tr w14:paraId="4EDCA4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652" w:type="dxa"/>
            <w:vMerge w:val="restart"/>
            <w:tcBorders>
              <w:top w:val="single" w:color="000000" w:sz="4" w:space="0"/>
              <w:left w:val="single" w:color="000000" w:sz="4" w:space="0"/>
              <w:bottom w:val="single" w:color="000000" w:sz="4" w:space="0"/>
            </w:tcBorders>
            <w:shd w:val="clear" w:color="auto" w:fill="auto"/>
            <w:vAlign w:val="center"/>
          </w:tcPr>
          <w:p w14:paraId="754BCE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绩效 指标</w:t>
            </w:r>
          </w:p>
        </w:tc>
        <w:tc>
          <w:tcPr>
            <w:tcW w:w="10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66B8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一级指标</w:t>
            </w:r>
          </w:p>
        </w:tc>
        <w:tc>
          <w:tcPr>
            <w:tcW w:w="12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9EF6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二级指标</w:t>
            </w:r>
          </w:p>
        </w:tc>
        <w:tc>
          <w:tcPr>
            <w:tcW w:w="13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44ED6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三级指标</w:t>
            </w:r>
          </w:p>
        </w:tc>
        <w:tc>
          <w:tcPr>
            <w:tcW w:w="11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E463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指标性质</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2AA2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指标值</w:t>
            </w:r>
          </w:p>
        </w:tc>
        <w:tc>
          <w:tcPr>
            <w:tcW w:w="10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139D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度量单位</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A7D2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权重</w:t>
            </w:r>
          </w:p>
        </w:tc>
        <w:tc>
          <w:tcPr>
            <w:tcW w:w="18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8522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实际完成指标值</w:t>
            </w:r>
          </w:p>
        </w:tc>
      </w:tr>
      <w:tr w14:paraId="0A6B5C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13ED7603">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24"/>
                <w:szCs w:val="24"/>
                <w:u w:val="none"/>
              </w:rPr>
            </w:pPr>
          </w:p>
        </w:tc>
        <w:tc>
          <w:tcPr>
            <w:tcW w:w="108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34DC6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产出指标</w:t>
            </w:r>
          </w:p>
        </w:tc>
        <w:tc>
          <w:tcPr>
            <w:tcW w:w="12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5BE8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数量指标</w:t>
            </w:r>
          </w:p>
        </w:tc>
        <w:tc>
          <w:tcPr>
            <w:tcW w:w="13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871769">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rPr>
                <w:rFonts w:hint="eastAsia" w:ascii="宋体" w:hAnsi="宋体" w:eastAsia="宋体" w:cs="宋体"/>
                <w:i w:val="0"/>
                <w:color w:val="000000"/>
                <w:sz w:val="18"/>
                <w:szCs w:val="18"/>
                <w:u w:val="none"/>
              </w:rPr>
            </w:pPr>
            <w:r>
              <w:rPr>
                <w:rFonts w:hint="eastAsia" w:ascii="宋体" w:hAnsi="宋体" w:eastAsia="宋体" w:cs="宋体"/>
                <w:i w:val="0"/>
                <w:color w:val="000000"/>
                <w:sz w:val="18"/>
                <w:szCs w:val="18"/>
                <w:u w:val="none"/>
              </w:rPr>
              <w:t>指标1：仪器设备</w:t>
            </w:r>
          </w:p>
        </w:tc>
        <w:tc>
          <w:tcPr>
            <w:tcW w:w="11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C113A3">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18"/>
                <w:szCs w:val="18"/>
                <w:u w:val="none"/>
              </w:rPr>
            </w:pPr>
            <w:r>
              <w:rPr>
                <w:rFonts w:hint="eastAsia" w:ascii="宋体" w:hAnsi="宋体" w:eastAsia="宋体" w:cs="宋体"/>
                <w:i w:val="0"/>
                <w:color w:val="000000"/>
                <w:sz w:val="18"/>
                <w:szCs w:val="18"/>
                <w:u w:val="none"/>
              </w:rPr>
              <w:t>≧</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B0B4B9">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default" w:ascii="宋体" w:hAnsi="宋体" w:eastAsia="宋体" w:cs="宋体"/>
                <w:i w:val="0"/>
                <w:color w:val="000000"/>
                <w:sz w:val="18"/>
                <w:szCs w:val="18"/>
                <w:u w:val="none"/>
                <w:lang w:val="en-US" w:eastAsia="zh-CN"/>
              </w:rPr>
            </w:pPr>
            <w:r>
              <w:rPr>
                <w:rFonts w:hint="eastAsia" w:ascii="宋体" w:hAnsi="宋体" w:eastAsia="宋体" w:cs="宋体"/>
                <w:i w:val="0"/>
                <w:color w:val="000000"/>
                <w:sz w:val="18"/>
                <w:szCs w:val="18"/>
                <w:u w:val="none"/>
                <w:lang w:val="en-US" w:eastAsia="zh-CN"/>
              </w:rPr>
              <w:t>13</w:t>
            </w:r>
          </w:p>
        </w:tc>
        <w:tc>
          <w:tcPr>
            <w:tcW w:w="10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CA79C1">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18"/>
                <w:szCs w:val="18"/>
                <w:u w:val="none"/>
                <w:lang w:val="en-US" w:eastAsia="zh-CN"/>
              </w:rPr>
            </w:pPr>
            <w:r>
              <w:rPr>
                <w:rFonts w:hint="eastAsia" w:ascii="宋体" w:hAnsi="宋体" w:eastAsia="宋体" w:cs="宋体"/>
                <w:i w:val="0"/>
                <w:color w:val="000000"/>
                <w:sz w:val="18"/>
                <w:szCs w:val="18"/>
                <w:u w:val="none"/>
                <w:lang w:val="en-US" w:eastAsia="zh-CN"/>
              </w:rPr>
              <w:t>台（套）</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967DC2">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default" w:ascii="宋体" w:hAnsi="宋体" w:eastAsia="宋体" w:cs="宋体"/>
                <w:i w:val="0"/>
                <w:color w:val="000000"/>
                <w:sz w:val="18"/>
                <w:szCs w:val="18"/>
                <w:u w:val="none"/>
                <w:lang w:val="en-US" w:eastAsia="zh-CN"/>
              </w:rPr>
            </w:pPr>
            <w:r>
              <w:rPr>
                <w:rFonts w:hint="eastAsia" w:ascii="宋体" w:hAnsi="宋体" w:eastAsia="宋体" w:cs="宋体"/>
                <w:i w:val="0"/>
                <w:color w:val="000000"/>
                <w:sz w:val="18"/>
                <w:szCs w:val="18"/>
                <w:u w:val="none"/>
                <w:lang w:val="en-US" w:eastAsia="zh-CN"/>
              </w:rPr>
              <w:t>10</w:t>
            </w:r>
          </w:p>
        </w:tc>
        <w:tc>
          <w:tcPr>
            <w:tcW w:w="18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9B0733">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default" w:ascii="宋体" w:hAnsi="宋体" w:eastAsia="宋体" w:cs="宋体"/>
                <w:i w:val="0"/>
                <w:color w:val="000000"/>
                <w:sz w:val="18"/>
                <w:szCs w:val="18"/>
                <w:u w:val="none"/>
                <w:lang w:val="en-US" w:eastAsia="zh-CN"/>
              </w:rPr>
            </w:pPr>
            <w:r>
              <w:rPr>
                <w:rFonts w:hint="eastAsia" w:ascii="宋体" w:hAnsi="宋体" w:eastAsia="宋体" w:cs="宋体"/>
                <w:i w:val="0"/>
                <w:color w:val="000000"/>
                <w:sz w:val="18"/>
                <w:szCs w:val="18"/>
                <w:u w:val="none"/>
                <w:lang w:val="en-US" w:eastAsia="zh-CN"/>
              </w:rPr>
              <w:t>10</w:t>
            </w:r>
          </w:p>
        </w:tc>
      </w:tr>
      <w:tr w14:paraId="1E2ED5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14747ED2">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24"/>
                <w:szCs w:val="24"/>
                <w:u w:val="none"/>
              </w:rPr>
            </w:pPr>
          </w:p>
        </w:tc>
        <w:tc>
          <w:tcPr>
            <w:tcW w:w="10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1EC277">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24"/>
                <w:szCs w:val="24"/>
                <w:u w:val="none"/>
              </w:rPr>
            </w:pPr>
          </w:p>
        </w:tc>
        <w:tc>
          <w:tcPr>
            <w:tcW w:w="125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ADEF5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质量指标</w:t>
            </w:r>
          </w:p>
        </w:tc>
        <w:tc>
          <w:tcPr>
            <w:tcW w:w="13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571A76">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rPr>
                <w:rFonts w:hint="eastAsia" w:ascii="宋体" w:hAnsi="宋体" w:eastAsia="宋体" w:cs="宋体"/>
                <w:i w:val="0"/>
                <w:color w:val="000000"/>
                <w:sz w:val="18"/>
                <w:szCs w:val="18"/>
                <w:u w:val="none"/>
              </w:rPr>
            </w:pPr>
            <w:r>
              <w:rPr>
                <w:rFonts w:hint="eastAsia" w:ascii="宋体" w:hAnsi="宋体" w:eastAsia="宋体" w:cs="宋体"/>
                <w:i w:val="0"/>
                <w:color w:val="000000"/>
                <w:sz w:val="18"/>
                <w:szCs w:val="18"/>
                <w:u w:val="none"/>
                <w:lang w:val="en-US" w:eastAsia="zh-CN"/>
              </w:rPr>
              <w:t>指标1；实验室能力提升</w:t>
            </w:r>
          </w:p>
        </w:tc>
        <w:tc>
          <w:tcPr>
            <w:tcW w:w="11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FDBD48">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18"/>
                <w:szCs w:val="18"/>
                <w:u w:val="none"/>
              </w:rPr>
            </w:pPr>
            <w:r>
              <w:rPr>
                <w:rFonts w:hint="eastAsia" w:ascii="宋体" w:hAnsi="宋体" w:eastAsia="宋体" w:cs="宋体"/>
                <w:i w:val="0"/>
                <w:color w:val="000000"/>
                <w:sz w:val="18"/>
                <w:szCs w:val="18"/>
                <w:u w:val="none"/>
              </w:rPr>
              <w:t>＝</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B553D2">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default" w:ascii="宋体" w:hAnsi="宋体" w:eastAsia="宋体" w:cs="宋体"/>
                <w:i w:val="0"/>
                <w:color w:val="000000"/>
                <w:sz w:val="18"/>
                <w:szCs w:val="18"/>
                <w:u w:val="none"/>
                <w:lang w:val="en-US" w:eastAsia="zh-CN"/>
              </w:rPr>
            </w:pPr>
            <w:r>
              <w:rPr>
                <w:rFonts w:hint="eastAsia" w:ascii="宋体" w:hAnsi="宋体" w:eastAsia="宋体" w:cs="宋体"/>
                <w:i w:val="0"/>
                <w:color w:val="000000"/>
                <w:sz w:val="18"/>
                <w:szCs w:val="18"/>
                <w:u w:val="none"/>
                <w:lang w:val="en-US" w:eastAsia="zh-CN"/>
              </w:rPr>
              <w:t>检验检测能力有提升</w:t>
            </w:r>
          </w:p>
        </w:tc>
        <w:tc>
          <w:tcPr>
            <w:tcW w:w="10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38DB87">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18"/>
                <w:szCs w:val="18"/>
                <w:u w:val="none"/>
                <w:lang w:val="en-US" w:eastAsia="zh-CN"/>
              </w:rPr>
            </w:pPr>
            <w:r>
              <w:rPr>
                <w:rFonts w:hint="eastAsia" w:ascii="宋体" w:hAnsi="宋体" w:eastAsia="宋体" w:cs="宋体"/>
                <w:i w:val="0"/>
                <w:color w:val="000000"/>
                <w:sz w:val="18"/>
                <w:szCs w:val="18"/>
                <w:u w:val="none"/>
                <w:lang w:val="en-US" w:eastAsia="zh-CN"/>
              </w:rPr>
              <w:t>%</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2D58F7">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default" w:ascii="宋体" w:hAnsi="宋体" w:eastAsia="宋体" w:cs="宋体"/>
                <w:i w:val="0"/>
                <w:color w:val="000000"/>
                <w:sz w:val="18"/>
                <w:szCs w:val="18"/>
                <w:u w:val="none"/>
                <w:lang w:val="en-US" w:eastAsia="zh-CN"/>
              </w:rPr>
            </w:pPr>
            <w:r>
              <w:rPr>
                <w:rFonts w:hint="eastAsia" w:ascii="宋体" w:hAnsi="宋体" w:eastAsia="宋体" w:cs="宋体"/>
                <w:i w:val="0"/>
                <w:color w:val="000000"/>
                <w:sz w:val="18"/>
                <w:szCs w:val="18"/>
                <w:u w:val="none"/>
                <w:lang w:val="en-US" w:eastAsia="zh-CN"/>
              </w:rPr>
              <w:t>10</w:t>
            </w:r>
          </w:p>
        </w:tc>
        <w:tc>
          <w:tcPr>
            <w:tcW w:w="18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F26D57">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default" w:ascii="宋体" w:hAnsi="宋体" w:eastAsia="宋体" w:cs="宋体"/>
                <w:i w:val="0"/>
                <w:color w:val="000000"/>
                <w:sz w:val="18"/>
                <w:szCs w:val="18"/>
                <w:u w:val="none"/>
                <w:lang w:val="en-US" w:eastAsia="zh-CN"/>
              </w:rPr>
            </w:pPr>
            <w:r>
              <w:rPr>
                <w:rFonts w:hint="eastAsia" w:ascii="宋体" w:hAnsi="宋体" w:eastAsia="宋体" w:cs="宋体"/>
                <w:i w:val="0"/>
                <w:color w:val="000000"/>
                <w:sz w:val="18"/>
                <w:szCs w:val="18"/>
                <w:u w:val="none"/>
                <w:lang w:val="en-US" w:eastAsia="zh-CN"/>
              </w:rPr>
              <w:t>10</w:t>
            </w:r>
          </w:p>
        </w:tc>
      </w:tr>
      <w:tr w14:paraId="01926E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5F129758">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24"/>
                <w:szCs w:val="24"/>
                <w:u w:val="none"/>
              </w:rPr>
            </w:pPr>
          </w:p>
        </w:tc>
        <w:tc>
          <w:tcPr>
            <w:tcW w:w="10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26B7F4">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24"/>
                <w:szCs w:val="24"/>
                <w:u w:val="none"/>
              </w:rPr>
            </w:pPr>
          </w:p>
        </w:tc>
        <w:tc>
          <w:tcPr>
            <w:tcW w:w="12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D266C6">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24"/>
                <w:szCs w:val="24"/>
                <w:u w:val="none"/>
              </w:rPr>
            </w:pPr>
          </w:p>
        </w:tc>
        <w:tc>
          <w:tcPr>
            <w:tcW w:w="13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0647DE">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rPr>
                <w:rFonts w:hint="eastAsia" w:ascii="宋体" w:hAnsi="宋体" w:eastAsia="宋体" w:cs="宋体"/>
                <w:i w:val="0"/>
                <w:color w:val="000000"/>
                <w:sz w:val="18"/>
                <w:szCs w:val="18"/>
                <w:u w:val="none"/>
              </w:rPr>
            </w:pPr>
            <w:r>
              <w:rPr>
                <w:rFonts w:hint="eastAsia" w:ascii="宋体" w:hAnsi="宋体" w:eastAsia="宋体" w:cs="宋体"/>
                <w:i w:val="0"/>
                <w:color w:val="000000"/>
                <w:sz w:val="18"/>
                <w:szCs w:val="18"/>
                <w:u w:val="none"/>
                <w:lang w:val="en-US" w:eastAsia="zh-CN"/>
              </w:rPr>
              <w:t>指标2：严格执行政府采购合格率</w:t>
            </w:r>
          </w:p>
        </w:tc>
        <w:tc>
          <w:tcPr>
            <w:tcW w:w="11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809F01">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18"/>
                <w:szCs w:val="18"/>
                <w:u w:val="none"/>
              </w:rPr>
            </w:pPr>
            <w:r>
              <w:rPr>
                <w:rFonts w:hint="eastAsia" w:ascii="宋体" w:hAnsi="宋体" w:eastAsia="宋体" w:cs="宋体"/>
                <w:i w:val="0"/>
                <w:color w:val="000000"/>
                <w:sz w:val="18"/>
                <w:szCs w:val="18"/>
                <w:u w:val="none"/>
              </w:rPr>
              <w:t>＝</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0D4F0D">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default" w:ascii="宋体" w:hAnsi="宋体" w:eastAsia="宋体" w:cs="宋体"/>
                <w:i w:val="0"/>
                <w:color w:val="000000"/>
                <w:sz w:val="18"/>
                <w:szCs w:val="18"/>
                <w:u w:val="none"/>
                <w:lang w:val="en-US" w:eastAsia="zh-CN"/>
              </w:rPr>
            </w:pPr>
            <w:r>
              <w:rPr>
                <w:rFonts w:hint="eastAsia" w:ascii="宋体" w:hAnsi="宋体" w:eastAsia="宋体" w:cs="宋体"/>
                <w:i w:val="0"/>
                <w:color w:val="000000"/>
                <w:sz w:val="18"/>
                <w:szCs w:val="18"/>
                <w:u w:val="none"/>
                <w:lang w:val="en-US" w:eastAsia="zh-CN"/>
              </w:rPr>
              <w:t>100</w:t>
            </w:r>
          </w:p>
        </w:tc>
        <w:tc>
          <w:tcPr>
            <w:tcW w:w="10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98ACC9">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default" w:ascii="宋体" w:hAnsi="宋体" w:eastAsia="宋体" w:cs="宋体"/>
                <w:i w:val="0"/>
                <w:color w:val="000000"/>
                <w:sz w:val="18"/>
                <w:szCs w:val="18"/>
                <w:u w:val="none"/>
                <w:lang w:val="en-US" w:eastAsia="zh-CN"/>
              </w:rPr>
            </w:pPr>
            <w:r>
              <w:rPr>
                <w:rFonts w:hint="eastAsia" w:ascii="宋体" w:hAnsi="宋体" w:eastAsia="宋体" w:cs="宋体"/>
                <w:i w:val="0"/>
                <w:color w:val="000000"/>
                <w:sz w:val="18"/>
                <w:szCs w:val="18"/>
                <w:u w:val="none"/>
                <w:lang w:val="en-US" w:eastAsia="zh-CN"/>
              </w:rPr>
              <w:t>%</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CC518C">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default" w:ascii="宋体" w:hAnsi="宋体" w:eastAsia="宋体" w:cs="宋体"/>
                <w:i w:val="0"/>
                <w:color w:val="000000"/>
                <w:sz w:val="18"/>
                <w:szCs w:val="18"/>
                <w:u w:val="none"/>
                <w:lang w:val="en-US" w:eastAsia="zh-CN"/>
              </w:rPr>
            </w:pPr>
            <w:r>
              <w:rPr>
                <w:rFonts w:hint="eastAsia" w:ascii="宋体" w:hAnsi="宋体" w:eastAsia="宋体" w:cs="宋体"/>
                <w:i w:val="0"/>
                <w:color w:val="000000"/>
                <w:sz w:val="18"/>
                <w:szCs w:val="18"/>
                <w:u w:val="none"/>
                <w:lang w:val="en-US" w:eastAsia="zh-CN"/>
              </w:rPr>
              <w:t>10</w:t>
            </w:r>
          </w:p>
        </w:tc>
        <w:tc>
          <w:tcPr>
            <w:tcW w:w="18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B21626">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default" w:ascii="宋体" w:hAnsi="宋体" w:eastAsia="宋体" w:cs="宋体"/>
                <w:i w:val="0"/>
                <w:color w:val="000000"/>
                <w:sz w:val="18"/>
                <w:szCs w:val="18"/>
                <w:u w:val="none"/>
                <w:lang w:val="en-US" w:eastAsia="zh-CN"/>
              </w:rPr>
            </w:pPr>
            <w:r>
              <w:rPr>
                <w:rFonts w:hint="eastAsia" w:ascii="宋体" w:hAnsi="宋体" w:eastAsia="宋体" w:cs="宋体"/>
                <w:i w:val="0"/>
                <w:color w:val="000000"/>
                <w:sz w:val="18"/>
                <w:szCs w:val="18"/>
                <w:u w:val="none"/>
                <w:lang w:val="en-US" w:eastAsia="zh-CN"/>
              </w:rPr>
              <w:t>10</w:t>
            </w:r>
          </w:p>
        </w:tc>
      </w:tr>
      <w:tr w14:paraId="57511B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6992F673">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24"/>
                <w:szCs w:val="24"/>
                <w:u w:val="none"/>
              </w:rPr>
            </w:pPr>
          </w:p>
        </w:tc>
        <w:tc>
          <w:tcPr>
            <w:tcW w:w="10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64800B">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24"/>
                <w:szCs w:val="24"/>
                <w:u w:val="none"/>
              </w:rPr>
            </w:pPr>
          </w:p>
        </w:tc>
        <w:tc>
          <w:tcPr>
            <w:tcW w:w="12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4482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时效指标</w:t>
            </w:r>
          </w:p>
        </w:tc>
        <w:tc>
          <w:tcPr>
            <w:tcW w:w="13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428ECA">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iCs w:val="0"/>
                <w:color w:val="000000"/>
                <w:kern w:val="0"/>
                <w:sz w:val="18"/>
                <w:szCs w:val="18"/>
                <w:u w:val="none"/>
                <w:lang w:val="en-US" w:eastAsia="zh-CN" w:bidi="ar"/>
              </w:rPr>
              <w:t>指标1：完成时间</w:t>
            </w:r>
          </w:p>
        </w:tc>
        <w:tc>
          <w:tcPr>
            <w:tcW w:w="11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F5CCC2">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18"/>
                <w:szCs w:val="18"/>
                <w:u w:val="none"/>
              </w:rPr>
            </w:pPr>
            <w:r>
              <w:rPr>
                <w:rFonts w:hint="eastAsia" w:ascii="宋体" w:hAnsi="宋体" w:eastAsia="宋体" w:cs="宋体"/>
                <w:i w:val="0"/>
                <w:color w:val="000000"/>
                <w:sz w:val="18"/>
                <w:szCs w:val="18"/>
                <w:u w:val="none"/>
              </w:rPr>
              <w:t>≦</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3B6F73">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default" w:ascii="宋体" w:hAnsi="宋体" w:eastAsia="宋体" w:cs="宋体"/>
                <w:i w:val="0"/>
                <w:color w:val="000000"/>
                <w:sz w:val="18"/>
                <w:szCs w:val="18"/>
                <w:u w:val="none"/>
                <w:lang w:val="en-US" w:eastAsia="zh-CN"/>
              </w:rPr>
            </w:pPr>
            <w:r>
              <w:rPr>
                <w:rFonts w:hint="eastAsia" w:ascii="宋体" w:hAnsi="宋体" w:eastAsia="宋体" w:cs="宋体"/>
                <w:i w:val="0"/>
                <w:color w:val="000000"/>
                <w:sz w:val="18"/>
                <w:szCs w:val="18"/>
                <w:u w:val="none"/>
                <w:lang w:val="en-US" w:eastAsia="zh-CN"/>
              </w:rPr>
              <w:t xml:space="preserve">2023年12月 </w:t>
            </w:r>
          </w:p>
        </w:tc>
        <w:tc>
          <w:tcPr>
            <w:tcW w:w="10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3F3F8E">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18"/>
                <w:szCs w:val="18"/>
                <w:u w:val="none"/>
                <w:lang w:val="en-US" w:eastAsia="zh-CN"/>
              </w:rPr>
            </w:pPr>
            <w:r>
              <w:rPr>
                <w:rFonts w:hint="eastAsia" w:ascii="宋体" w:hAnsi="宋体" w:eastAsia="宋体" w:cs="宋体"/>
                <w:i w:val="0"/>
                <w:color w:val="000000"/>
                <w:sz w:val="18"/>
                <w:szCs w:val="18"/>
                <w:u w:val="none"/>
                <w:lang w:val="en-US" w:eastAsia="zh-CN"/>
              </w:rPr>
              <w:t>月</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79EBD9">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default" w:ascii="宋体" w:hAnsi="宋体" w:eastAsia="宋体" w:cs="宋体"/>
                <w:i w:val="0"/>
                <w:color w:val="000000"/>
                <w:sz w:val="18"/>
                <w:szCs w:val="18"/>
                <w:u w:val="none"/>
                <w:lang w:val="en-US" w:eastAsia="zh-CN"/>
              </w:rPr>
            </w:pPr>
            <w:r>
              <w:rPr>
                <w:rFonts w:hint="eastAsia" w:ascii="宋体" w:hAnsi="宋体" w:eastAsia="宋体" w:cs="宋体"/>
                <w:i w:val="0"/>
                <w:color w:val="000000"/>
                <w:sz w:val="18"/>
                <w:szCs w:val="18"/>
                <w:u w:val="none"/>
                <w:lang w:val="en-US" w:eastAsia="zh-CN"/>
              </w:rPr>
              <w:t>10</w:t>
            </w:r>
          </w:p>
        </w:tc>
        <w:tc>
          <w:tcPr>
            <w:tcW w:w="18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8BD95D">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default" w:ascii="宋体" w:hAnsi="宋体" w:eastAsia="宋体" w:cs="宋体"/>
                <w:i w:val="0"/>
                <w:color w:val="000000"/>
                <w:sz w:val="18"/>
                <w:szCs w:val="18"/>
                <w:u w:val="none"/>
                <w:lang w:val="en-US" w:eastAsia="zh-CN"/>
              </w:rPr>
            </w:pPr>
            <w:r>
              <w:rPr>
                <w:rFonts w:hint="eastAsia" w:ascii="宋体" w:hAnsi="宋体" w:eastAsia="宋体" w:cs="宋体"/>
                <w:i w:val="0"/>
                <w:color w:val="000000"/>
                <w:sz w:val="18"/>
                <w:szCs w:val="18"/>
                <w:u w:val="none"/>
                <w:lang w:val="en-US" w:eastAsia="zh-CN"/>
              </w:rPr>
              <w:t>10</w:t>
            </w:r>
          </w:p>
        </w:tc>
      </w:tr>
      <w:tr w14:paraId="11BAAC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580"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6AAB98E9">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24"/>
                <w:szCs w:val="24"/>
                <w:u w:val="none"/>
              </w:rPr>
            </w:pPr>
          </w:p>
        </w:tc>
        <w:tc>
          <w:tcPr>
            <w:tcW w:w="108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86557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效益指标</w:t>
            </w:r>
          </w:p>
        </w:tc>
        <w:tc>
          <w:tcPr>
            <w:tcW w:w="12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C968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宋体" w:hAnsi="宋体" w:eastAsia="宋体" w:cs="宋体"/>
                <w:i w:val="0"/>
                <w:color w:val="000000"/>
                <w:kern w:val="0"/>
                <w:sz w:val="24"/>
                <w:szCs w:val="24"/>
                <w:u w:val="none"/>
                <w:lang w:val="en-US" w:eastAsia="zh-CN" w:bidi="ar"/>
              </w:rPr>
            </w:pPr>
            <w:r>
              <w:rPr>
                <w:rFonts w:hint="default" w:ascii="宋体" w:hAnsi="宋体" w:eastAsia="宋体" w:cs="宋体"/>
                <w:i w:val="0"/>
                <w:color w:val="000000"/>
                <w:kern w:val="0"/>
                <w:sz w:val="24"/>
                <w:szCs w:val="24"/>
                <w:u w:val="none"/>
                <w:lang w:val="en-US" w:eastAsia="zh-CN" w:bidi="ar"/>
              </w:rPr>
              <w:t>经济效益</w:t>
            </w:r>
          </w:p>
          <w:p w14:paraId="55F0EB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指标</w:t>
            </w:r>
          </w:p>
        </w:tc>
        <w:tc>
          <w:tcPr>
            <w:tcW w:w="1312" w:type="dxa"/>
            <w:tcBorders>
              <w:top w:val="single" w:color="000000" w:sz="4" w:space="0"/>
              <w:left w:val="single" w:color="000000" w:sz="4" w:space="0"/>
              <w:right w:val="single" w:color="000000" w:sz="4" w:space="0"/>
            </w:tcBorders>
            <w:shd w:val="clear" w:color="auto" w:fill="auto"/>
            <w:vAlign w:val="center"/>
          </w:tcPr>
          <w:p w14:paraId="52EA4676">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rPr>
                <w:rFonts w:hint="eastAsia" w:ascii="宋体" w:hAnsi="宋体" w:eastAsia="宋体" w:cs="宋体"/>
                <w:i w:val="0"/>
                <w:color w:val="000000"/>
                <w:sz w:val="18"/>
                <w:szCs w:val="18"/>
                <w:u w:val="none"/>
              </w:rPr>
            </w:pPr>
            <w:r>
              <w:rPr>
                <w:rFonts w:hint="eastAsia" w:ascii="宋体" w:hAnsi="宋体" w:eastAsia="宋体" w:cs="宋体"/>
                <w:i w:val="0"/>
                <w:color w:val="000000"/>
                <w:sz w:val="18"/>
                <w:szCs w:val="18"/>
                <w:u w:val="none"/>
              </w:rPr>
              <w:t>指标1：推动粮食经济高质量发展</w:t>
            </w:r>
          </w:p>
        </w:tc>
        <w:tc>
          <w:tcPr>
            <w:tcW w:w="1127" w:type="dxa"/>
            <w:tcBorders>
              <w:top w:val="single" w:color="000000" w:sz="4" w:space="0"/>
              <w:left w:val="single" w:color="000000" w:sz="4" w:space="0"/>
              <w:right w:val="single" w:color="000000" w:sz="4" w:space="0"/>
            </w:tcBorders>
            <w:shd w:val="clear" w:color="auto" w:fill="auto"/>
            <w:vAlign w:val="center"/>
          </w:tcPr>
          <w:p w14:paraId="3B2F5EB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kern w:val="2"/>
                <w:sz w:val="18"/>
                <w:szCs w:val="18"/>
                <w:u w:val="none"/>
                <w:lang w:val="en-US" w:eastAsia="zh-CN" w:bidi="ar-SA"/>
              </w:rPr>
            </w:pPr>
            <w:r>
              <w:rPr>
                <w:rFonts w:hint="default" w:ascii="宋体" w:hAnsi="宋体" w:eastAsia="宋体" w:cs="宋体"/>
                <w:i w:val="0"/>
                <w:iCs w:val="0"/>
                <w:color w:val="000000"/>
                <w:kern w:val="0"/>
                <w:sz w:val="18"/>
                <w:szCs w:val="18"/>
                <w:u w:val="none"/>
                <w:lang w:val="en-US" w:eastAsia="zh-CN" w:bidi="ar"/>
              </w:rPr>
              <w:t>定性</w:t>
            </w:r>
          </w:p>
        </w:tc>
        <w:tc>
          <w:tcPr>
            <w:tcW w:w="971" w:type="dxa"/>
            <w:tcBorders>
              <w:top w:val="single" w:color="000000" w:sz="4" w:space="0"/>
              <w:left w:val="single" w:color="000000" w:sz="4" w:space="0"/>
              <w:right w:val="single" w:color="000000" w:sz="4" w:space="0"/>
            </w:tcBorders>
            <w:shd w:val="clear" w:color="auto" w:fill="auto"/>
            <w:vAlign w:val="center"/>
          </w:tcPr>
          <w:p w14:paraId="43F8E129">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调整种植结构，促进优质品种和特色品种向优势产区集中</w:t>
            </w:r>
          </w:p>
        </w:tc>
        <w:tc>
          <w:tcPr>
            <w:tcW w:w="1061" w:type="dxa"/>
            <w:tcBorders>
              <w:top w:val="single" w:color="000000" w:sz="4" w:space="0"/>
              <w:left w:val="single" w:color="000000" w:sz="4" w:space="0"/>
              <w:right w:val="single" w:color="000000" w:sz="4" w:space="0"/>
            </w:tcBorders>
            <w:shd w:val="clear" w:color="auto" w:fill="auto"/>
            <w:vAlign w:val="center"/>
          </w:tcPr>
          <w:p w14:paraId="7B9B1981">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18"/>
                <w:szCs w:val="18"/>
                <w:u w:val="none"/>
              </w:rPr>
            </w:pPr>
          </w:p>
        </w:tc>
        <w:tc>
          <w:tcPr>
            <w:tcW w:w="938" w:type="dxa"/>
            <w:tcBorders>
              <w:top w:val="single" w:color="000000" w:sz="4" w:space="0"/>
              <w:left w:val="single" w:color="000000" w:sz="4" w:space="0"/>
              <w:right w:val="single" w:color="000000" w:sz="4" w:space="0"/>
            </w:tcBorders>
            <w:shd w:val="clear" w:color="auto" w:fill="auto"/>
            <w:vAlign w:val="center"/>
          </w:tcPr>
          <w:p w14:paraId="70930B5F">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default" w:ascii="宋体" w:hAnsi="宋体" w:eastAsia="宋体" w:cs="宋体"/>
                <w:i w:val="0"/>
                <w:color w:val="000000"/>
                <w:sz w:val="18"/>
                <w:szCs w:val="18"/>
                <w:u w:val="none"/>
                <w:lang w:val="en-US" w:eastAsia="zh-CN"/>
              </w:rPr>
            </w:pPr>
            <w:r>
              <w:rPr>
                <w:rFonts w:hint="eastAsia" w:ascii="宋体" w:hAnsi="宋体" w:eastAsia="宋体" w:cs="宋体"/>
                <w:i w:val="0"/>
                <w:color w:val="000000"/>
                <w:sz w:val="18"/>
                <w:szCs w:val="18"/>
                <w:u w:val="none"/>
                <w:lang w:val="en-US" w:eastAsia="zh-CN"/>
              </w:rPr>
              <w:t>10</w:t>
            </w:r>
          </w:p>
        </w:tc>
        <w:tc>
          <w:tcPr>
            <w:tcW w:w="18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714EE8">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default" w:ascii="宋体" w:hAnsi="宋体" w:eastAsia="宋体" w:cs="宋体"/>
                <w:i w:val="0"/>
                <w:color w:val="000000"/>
                <w:sz w:val="18"/>
                <w:szCs w:val="18"/>
                <w:u w:val="none"/>
                <w:lang w:val="en-US" w:eastAsia="zh-CN"/>
              </w:rPr>
            </w:pPr>
            <w:r>
              <w:rPr>
                <w:rFonts w:hint="eastAsia" w:ascii="宋体" w:hAnsi="宋体" w:eastAsia="宋体" w:cs="宋体"/>
                <w:i w:val="0"/>
                <w:color w:val="000000"/>
                <w:sz w:val="18"/>
                <w:szCs w:val="18"/>
                <w:u w:val="none"/>
                <w:lang w:val="en-US" w:eastAsia="zh-CN"/>
              </w:rPr>
              <w:t>10</w:t>
            </w:r>
          </w:p>
        </w:tc>
      </w:tr>
      <w:tr w14:paraId="1EA7B0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2F827638">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24"/>
                <w:szCs w:val="24"/>
                <w:u w:val="none"/>
              </w:rPr>
            </w:pPr>
          </w:p>
        </w:tc>
        <w:tc>
          <w:tcPr>
            <w:tcW w:w="10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C3385B">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24"/>
                <w:szCs w:val="24"/>
                <w:u w:val="none"/>
              </w:rPr>
            </w:pPr>
          </w:p>
        </w:tc>
        <w:tc>
          <w:tcPr>
            <w:tcW w:w="1250" w:type="dxa"/>
            <w:vMerge w:val="restart"/>
            <w:tcBorders>
              <w:top w:val="single" w:color="000000" w:sz="4" w:space="0"/>
              <w:left w:val="single" w:color="000000" w:sz="4" w:space="0"/>
              <w:right w:val="single" w:color="000000" w:sz="4" w:space="0"/>
            </w:tcBorders>
            <w:shd w:val="clear" w:color="auto" w:fill="auto"/>
            <w:vAlign w:val="center"/>
          </w:tcPr>
          <w:p w14:paraId="75AD73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宋体" w:hAnsi="宋体" w:eastAsia="宋体" w:cs="宋体"/>
                <w:i w:val="0"/>
                <w:color w:val="000000"/>
                <w:kern w:val="0"/>
                <w:sz w:val="24"/>
                <w:szCs w:val="24"/>
                <w:u w:val="none"/>
                <w:lang w:val="en-US" w:eastAsia="zh-CN" w:bidi="ar"/>
              </w:rPr>
            </w:pPr>
            <w:r>
              <w:rPr>
                <w:rFonts w:hint="default" w:ascii="宋体" w:hAnsi="宋体" w:eastAsia="宋体" w:cs="宋体"/>
                <w:i w:val="0"/>
                <w:color w:val="000000"/>
                <w:kern w:val="0"/>
                <w:sz w:val="24"/>
                <w:szCs w:val="24"/>
                <w:u w:val="none"/>
                <w:lang w:val="en-US" w:eastAsia="zh-CN" w:bidi="ar"/>
              </w:rPr>
              <w:t>社会效益</w:t>
            </w:r>
          </w:p>
          <w:p w14:paraId="7C86C2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指标</w:t>
            </w:r>
          </w:p>
        </w:tc>
        <w:tc>
          <w:tcPr>
            <w:tcW w:w="13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1EA321">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rPr>
                <w:rFonts w:hint="eastAsia" w:ascii="宋体" w:hAnsi="宋体" w:eastAsia="宋体" w:cs="宋体"/>
                <w:i w:val="0"/>
                <w:color w:val="000000"/>
                <w:sz w:val="18"/>
                <w:szCs w:val="18"/>
                <w:u w:val="none"/>
              </w:rPr>
            </w:pPr>
            <w:r>
              <w:rPr>
                <w:rFonts w:hint="eastAsia" w:ascii="宋体" w:hAnsi="宋体" w:eastAsia="宋体" w:cs="宋体"/>
                <w:i w:val="0"/>
                <w:color w:val="000000"/>
                <w:sz w:val="18"/>
                <w:szCs w:val="18"/>
                <w:u w:val="none"/>
              </w:rPr>
              <w:t>指标1：为粮食生产绿色发展提供技术支持</w:t>
            </w:r>
          </w:p>
        </w:tc>
        <w:tc>
          <w:tcPr>
            <w:tcW w:w="11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5DBC1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kern w:val="2"/>
                <w:sz w:val="18"/>
                <w:szCs w:val="18"/>
                <w:u w:val="none"/>
                <w:lang w:val="en-US" w:eastAsia="zh-CN" w:bidi="ar-SA"/>
              </w:rPr>
            </w:pPr>
            <w:r>
              <w:rPr>
                <w:rFonts w:hint="default" w:ascii="宋体" w:hAnsi="宋体" w:eastAsia="宋体" w:cs="宋体"/>
                <w:i w:val="0"/>
                <w:iCs w:val="0"/>
                <w:color w:val="000000"/>
                <w:kern w:val="0"/>
                <w:sz w:val="18"/>
                <w:szCs w:val="18"/>
                <w:u w:val="none"/>
                <w:lang w:val="en-US" w:eastAsia="zh-CN" w:bidi="ar"/>
              </w:rPr>
              <w:t>定性</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9D24F3">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加强全市范围内产新粮食质量安全监测，强化源头污染防控，确保粮食质量安全。</w:t>
            </w:r>
          </w:p>
        </w:tc>
        <w:tc>
          <w:tcPr>
            <w:tcW w:w="10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B9ADA9">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18"/>
                <w:szCs w:val="18"/>
                <w:u w:val="none"/>
              </w:rPr>
            </w:pP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BA6FE2">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default" w:ascii="宋体" w:hAnsi="宋体" w:eastAsia="宋体" w:cs="宋体"/>
                <w:i w:val="0"/>
                <w:color w:val="000000"/>
                <w:sz w:val="18"/>
                <w:szCs w:val="18"/>
                <w:u w:val="none"/>
                <w:lang w:val="en-US" w:eastAsia="zh-CN"/>
              </w:rPr>
            </w:pPr>
            <w:r>
              <w:rPr>
                <w:rFonts w:hint="eastAsia" w:ascii="宋体" w:hAnsi="宋体" w:eastAsia="宋体" w:cs="宋体"/>
                <w:i w:val="0"/>
                <w:color w:val="000000"/>
                <w:sz w:val="18"/>
                <w:szCs w:val="18"/>
                <w:u w:val="none"/>
                <w:lang w:val="en-US" w:eastAsia="zh-CN"/>
              </w:rPr>
              <w:t>10</w:t>
            </w:r>
          </w:p>
        </w:tc>
        <w:tc>
          <w:tcPr>
            <w:tcW w:w="18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082BA9">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default" w:ascii="宋体" w:hAnsi="宋体" w:eastAsia="宋体" w:cs="宋体"/>
                <w:i w:val="0"/>
                <w:color w:val="000000"/>
                <w:sz w:val="18"/>
                <w:szCs w:val="18"/>
                <w:u w:val="none"/>
                <w:lang w:val="en-US" w:eastAsia="zh-CN"/>
              </w:rPr>
            </w:pPr>
            <w:r>
              <w:rPr>
                <w:rFonts w:hint="eastAsia" w:ascii="宋体" w:hAnsi="宋体" w:eastAsia="宋体" w:cs="宋体"/>
                <w:i w:val="0"/>
                <w:color w:val="000000"/>
                <w:sz w:val="18"/>
                <w:szCs w:val="18"/>
                <w:u w:val="none"/>
                <w:lang w:val="en-US" w:eastAsia="zh-CN"/>
              </w:rPr>
              <w:t>10</w:t>
            </w:r>
          </w:p>
        </w:tc>
      </w:tr>
      <w:tr w14:paraId="2F2E04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4B7AB754">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24"/>
                <w:szCs w:val="24"/>
                <w:u w:val="none"/>
              </w:rPr>
            </w:pPr>
          </w:p>
        </w:tc>
        <w:tc>
          <w:tcPr>
            <w:tcW w:w="10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737783">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24"/>
                <w:szCs w:val="24"/>
                <w:u w:val="none"/>
              </w:rPr>
            </w:pPr>
          </w:p>
        </w:tc>
        <w:tc>
          <w:tcPr>
            <w:tcW w:w="1250" w:type="dxa"/>
            <w:vMerge w:val="continue"/>
            <w:tcBorders>
              <w:top w:val="single" w:color="000000" w:sz="4" w:space="0"/>
              <w:left w:val="single" w:color="000000" w:sz="4" w:space="0"/>
              <w:right w:val="single" w:color="000000" w:sz="4" w:space="0"/>
            </w:tcBorders>
            <w:shd w:val="clear" w:color="auto" w:fill="auto"/>
            <w:vAlign w:val="center"/>
          </w:tcPr>
          <w:p w14:paraId="00C2F66F">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24"/>
                <w:szCs w:val="24"/>
                <w:u w:val="none"/>
              </w:rPr>
            </w:pPr>
          </w:p>
        </w:tc>
        <w:tc>
          <w:tcPr>
            <w:tcW w:w="13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02898C">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rPr>
                <w:rFonts w:hint="eastAsia" w:ascii="宋体" w:hAnsi="宋体" w:eastAsia="宋体" w:cs="宋体"/>
                <w:i w:val="0"/>
                <w:color w:val="000000"/>
                <w:sz w:val="18"/>
                <w:szCs w:val="18"/>
                <w:u w:val="none"/>
              </w:rPr>
            </w:pPr>
            <w:r>
              <w:rPr>
                <w:rFonts w:hint="eastAsia" w:ascii="宋体" w:hAnsi="宋体" w:eastAsia="宋体" w:cs="宋体"/>
                <w:i w:val="0"/>
                <w:color w:val="000000"/>
                <w:sz w:val="18"/>
                <w:szCs w:val="18"/>
                <w:u w:val="none"/>
              </w:rPr>
              <w:t>指标2：粮油质量安全检验检测能力</w:t>
            </w:r>
          </w:p>
        </w:tc>
        <w:tc>
          <w:tcPr>
            <w:tcW w:w="11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A3D55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kern w:val="2"/>
                <w:sz w:val="18"/>
                <w:szCs w:val="18"/>
                <w:u w:val="none"/>
                <w:lang w:val="en-US" w:eastAsia="zh-CN" w:bidi="ar-SA"/>
              </w:rPr>
            </w:pPr>
            <w:r>
              <w:rPr>
                <w:rFonts w:hint="default" w:ascii="宋体" w:hAnsi="宋体" w:eastAsia="宋体" w:cs="宋体"/>
                <w:i w:val="0"/>
                <w:iCs w:val="0"/>
                <w:color w:val="000000"/>
                <w:kern w:val="0"/>
                <w:sz w:val="18"/>
                <w:szCs w:val="18"/>
                <w:u w:val="none"/>
                <w:lang w:val="en-US" w:eastAsia="zh-CN" w:bidi="ar"/>
              </w:rPr>
              <w:t>定性</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55B903">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明显提高</w:t>
            </w:r>
          </w:p>
        </w:tc>
        <w:tc>
          <w:tcPr>
            <w:tcW w:w="10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688367">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18"/>
                <w:szCs w:val="18"/>
                <w:u w:val="none"/>
              </w:rPr>
            </w:pP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49C069">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default" w:ascii="宋体" w:hAnsi="宋体" w:eastAsia="宋体" w:cs="宋体"/>
                <w:i w:val="0"/>
                <w:color w:val="000000"/>
                <w:sz w:val="18"/>
                <w:szCs w:val="18"/>
                <w:u w:val="none"/>
                <w:lang w:val="en-US" w:eastAsia="zh-CN"/>
              </w:rPr>
            </w:pPr>
            <w:r>
              <w:rPr>
                <w:rFonts w:hint="eastAsia" w:ascii="宋体" w:hAnsi="宋体" w:eastAsia="宋体" w:cs="宋体"/>
                <w:i w:val="0"/>
                <w:color w:val="000000"/>
                <w:sz w:val="18"/>
                <w:szCs w:val="18"/>
                <w:u w:val="none"/>
                <w:lang w:val="en-US" w:eastAsia="zh-CN"/>
              </w:rPr>
              <w:t>10</w:t>
            </w:r>
          </w:p>
        </w:tc>
        <w:tc>
          <w:tcPr>
            <w:tcW w:w="18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6C6133">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default" w:ascii="宋体" w:hAnsi="宋体" w:eastAsia="宋体" w:cs="宋体"/>
                <w:i w:val="0"/>
                <w:color w:val="000000"/>
                <w:sz w:val="18"/>
                <w:szCs w:val="18"/>
                <w:u w:val="none"/>
                <w:lang w:val="en-US" w:eastAsia="zh-CN"/>
              </w:rPr>
            </w:pPr>
            <w:r>
              <w:rPr>
                <w:rFonts w:hint="eastAsia" w:ascii="宋体" w:hAnsi="宋体" w:eastAsia="宋体" w:cs="宋体"/>
                <w:i w:val="0"/>
                <w:color w:val="000000"/>
                <w:sz w:val="18"/>
                <w:szCs w:val="18"/>
                <w:u w:val="none"/>
                <w:lang w:val="en-US" w:eastAsia="zh-CN"/>
              </w:rPr>
              <w:t>10</w:t>
            </w:r>
          </w:p>
        </w:tc>
      </w:tr>
      <w:tr w14:paraId="413D90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2F603A28">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24"/>
                <w:szCs w:val="24"/>
                <w:u w:val="none"/>
              </w:rPr>
            </w:pPr>
          </w:p>
        </w:tc>
        <w:tc>
          <w:tcPr>
            <w:tcW w:w="10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652268">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24"/>
                <w:szCs w:val="24"/>
                <w:u w:val="none"/>
              </w:rPr>
            </w:pPr>
          </w:p>
        </w:tc>
        <w:tc>
          <w:tcPr>
            <w:tcW w:w="12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B128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宋体" w:hAnsi="宋体" w:eastAsia="宋体" w:cs="宋体"/>
                <w:i w:val="0"/>
                <w:color w:val="000000"/>
                <w:sz w:val="24"/>
                <w:szCs w:val="24"/>
                <w:u w:val="none"/>
                <w:lang w:val="en-US"/>
              </w:rPr>
            </w:pPr>
            <w:r>
              <w:rPr>
                <w:rFonts w:hint="eastAsia" w:ascii="宋体" w:hAnsi="宋体" w:eastAsia="宋体" w:cs="宋体"/>
                <w:i w:val="0"/>
                <w:color w:val="000000"/>
                <w:kern w:val="0"/>
                <w:sz w:val="24"/>
                <w:szCs w:val="24"/>
                <w:u w:val="none"/>
                <w:lang w:val="en-US" w:eastAsia="zh-CN" w:bidi="ar"/>
              </w:rPr>
              <w:t>可持续影响指标</w:t>
            </w:r>
          </w:p>
        </w:tc>
        <w:tc>
          <w:tcPr>
            <w:tcW w:w="13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2107B3">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rPr>
                <w:rFonts w:hint="eastAsia" w:ascii="宋体" w:hAnsi="宋体" w:eastAsia="宋体" w:cs="宋体"/>
                <w:i w:val="0"/>
                <w:color w:val="000000"/>
                <w:sz w:val="18"/>
                <w:szCs w:val="18"/>
                <w:u w:val="none"/>
              </w:rPr>
            </w:pPr>
            <w:r>
              <w:rPr>
                <w:rFonts w:hint="eastAsia" w:ascii="宋体" w:hAnsi="宋体" w:eastAsia="宋体" w:cs="宋体"/>
                <w:i w:val="0"/>
                <w:color w:val="000000"/>
                <w:sz w:val="18"/>
                <w:szCs w:val="18"/>
                <w:u w:val="none"/>
              </w:rPr>
              <w:t>指标1：对全市粮食安全方面的影响</w:t>
            </w:r>
          </w:p>
        </w:tc>
        <w:tc>
          <w:tcPr>
            <w:tcW w:w="11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A08EB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kern w:val="2"/>
                <w:sz w:val="18"/>
                <w:szCs w:val="18"/>
                <w:u w:val="none"/>
                <w:lang w:val="en-US" w:eastAsia="zh-CN" w:bidi="ar-SA"/>
              </w:rPr>
            </w:pPr>
            <w:r>
              <w:rPr>
                <w:rFonts w:hint="default" w:ascii="宋体" w:hAnsi="宋体" w:eastAsia="宋体" w:cs="宋体"/>
                <w:i w:val="0"/>
                <w:iCs w:val="0"/>
                <w:color w:val="000000"/>
                <w:kern w:val="0"/>
                <w:sz w:val="18"/>
                <w:szCs w:val="18"/>
                <w:u w:val="none"/>
                <w:lang w:val="en-US" w:eastAsia="zh-CN" w:bidi="ar"/>
              </w:rPr>
              <w:t>定性</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7D2634">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加强广元川北粮食检验监测中心和国家标准化粮油质检示范站建设</w:t>
            </w:r>
          </w:p>
        </w:tc>
        <w:tc>
          <w:tcPr>
            <w:tcW w:w="10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07D11A">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18"/>
                <w:szCs w:val="18"/>
                <w:u w:val="none"/>
              </w:rPr>
            </w:pP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4B3E25">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default" w:ascii="宋体" w:hAnsi="宋体" w:eastAsia="宋体" w:cs="宋体"/>
                <w:i w:val="0"/>
                <w:color w:val="000000"/>
                <w:sz w:val="18"/>
                <w:szCs w:val="18"/>
                <w:u w:val="none"/>
                <w:lang w:val="en-US" w:eastAsia="zh-CN"/>
              </w:rPr>
            </w:pPr>
            <w:r>
              <w:rPr>
                <w:rFonts w:hint="eastAsia" w:ascii="宋体" w:hAnsi="宋体" w:eastAsia="宋体" w:cs="宋体"/>
                <w:i w:val="0"/>
                <w:color w:val="000000"/>
                <w:sz w:val="18"/>
                <w:szCs w:val="18"/>
                <w:u w:val="none"/>
                <w:lang w:val="en-US" w:eastAsia="zh-CN"/>
              </w:rPr>
              <w:t>10</w:t>
            </w:r>
          </w:p>
        </w:tc>
        <w:tc>
          <w:tcPr>
            <w:tcW w:w="18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951330">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default" w:ascii="宋体" w:hAnsi="宋体" w:eastAsia="宋体" w:cs="宋体"/>
                <w:i w:val="0"/>
                <w:color w:val="000000"/>
                <w:sz w:val="18"/>
                <w:szCs w:val="18"/>
                <w:u w:val="none"/>
                <w:lang w:val="en-US" w:eastAsia="zh-CN"/>
              </w:rPr>
            </w:pPr>
            <w:r>
              <w:rPr>
                <w:rFonts w:hint="eastAsia" w:ascii="宋体" w:hAnsi="宋体" w:eastAsia="宋体" w:cs="宋体"/>
                <w:i w:val="0"/>
                <w:color w:val="000000"/>
                <w:sz w:val="18"/>
                <w:szCs w:val="18"/>
                <w:u w:val="none"/>
                <w:lang w:val="en-US" w:eastAsia="zh-CN"/>
              </w:rPr>
              <w:t>10</w:t>
            </w:r>
          </w:p>
        </w:tc>
      </w:tr>
      <w:tr w14:paraId="088B1E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723A0749">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24"/>
                <w:szCs w:val="24"/>
                <w:u w:val="none"/>
              </w:rPr>
            </w:pPr>
          </w:p>
        </w:tc>
        <w:tc>
          <w:tcPr>
            <w:tcW w:w="1081" w:type="dxa"/>
            <w:tcBorders>
              <w:top w:val="single" w:color="000000" w:sz="4" w:space="0"/>
              <w:left w:val="single" w:color="000000" w:sz="4" w:space="0"/>
              <w:right w:val="single" w:color="000000" w:sz="4" w:space="0"/>
            </w:tcBorders>
            <w:shd w:val="clear" w:color="auto" w:fill="auto"/>
            <w:vAlign w:val="center"/>
          </w:tcPr>
          <w:p w14:paraId="4EB792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宋体" w:hAnsi="宋体" w:eastAsia="宋体" w:cs="宋体"/>
                <w:i w:val="0"/>
                <w:color w:val="000000"/>
                <w:kern w:val="0"/>
                <w:sz w:val="24"/>
                <w:szCs w:val="24"/>
                <w:u w:val="none"/>
                <w:lang w:val="en-US" w:eastAsia="zh-CN" w:bidi="ar"/>
              </w:rPr>
            </w:pPr>
            <w:r>
              <w:rPr>
                <w:rFonts w:hint="default" w:ascii="宋体" w:hAnsi="宋体" w:eastAsia="宋体" w:cs="宋体"/>
                <w:i w:val="0"/>
                <w:color w:val="000000"/>
                <w:kern w:val="0"/>
                <w:sz w:val="24"/>
                <w:szCs w:val="24"/>
                <w:u w:val="none"/>
                <w:lang w:val="en-US" w:eastAsia="zh-CN" w:bidi="ar"/>
              </w:rPr>
              <w:t>满意度</w:t>
            </w:r>
          </w:p>
          <w:p w14:paraId="69DBC8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指标</w:t>
            </w:r>
          </w:p>
        </w:tc>
        <w:tc>
          <w:tcPr>
            <w:tcW w:w="1250" w:type="dxa"/>
            <w:tcBorders>
              <w:top w:val="single" w:color="000000" w:sz="4" w:space="0"/>
              <w:left w:val="single" w:color="000000" w:sz="4" w:space="0"/>
              <w:right w:val="single" w:color="000000" w:sz="4" w:space="0"/>
            </w:tcBorders>
            <w:shd w:val="clear" w:color="auto" w:fill="auto"/>
            <w:vAlign w:val="center"/>
          </w:tcPr>
          <w:p w14:paraId="2A3AAC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宋体" w:hAnsi="宋体" w:eastAsia="宋体" w:cs="宋体"/>
                <w:i w:val="0"/>
                <w:color w:val="000000"/>
                <w:kern w:val="0"/>
                <w:sz w:val="24"/>
                <w:szCs w:val="24"/>
                <w:u w:val="none"/>
                <w:lang w:val="en-US" w:eastAsia="zh-CN" w:bidi="ar"/>
              </w:rPr>
            </w:pPr>
            <w:r>
              <w:rPr>
                <w:rFonts w:hint="default" w:ascii="宋体" w:hAnsi="宋体" w:eastAsia="宋体" w:cs="宋体"/>
                <w:i w:val="0"/>
                <w:color w:val="000000"/>
                <w:kern w:val="0"/>
                <w:sz w:val="24"/>
                <w:szCs w:val="24"/>
                <w:u w:val="none"/>
                <w:lang w:val="en-US" w:eastAsia="zh-CN" w:bidi="ar"/>
              </w:rPr>
              <w:t>服务对象</w:t>
            </w:r>
          </w:p>
          <w:p w14:paraId="61AF58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满意度指标</w:t>
            </w:r>
          </w:p>
        </w:tc>
        <w:tc>
          <w:tcPr>
            <w:tcW w:w="13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66A06E">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firstLine="537" w:firstLineChars="0"/>
              <w:rPr>
                <w:rFonts w:hint="eastAsia" w:ascii="宋体" w:hAnsi="宋体" w:eastAsia="宋体" w:cs="宋体"/>
                <w:i w:val="0"/>
                <w:color w:val="000000"/>
                <w:sz w:val="18"/>
                <w:szCs w:val="18"/>
                <w:u w:val="none"/>
              </w:rPr>
            </w:pPr>
            <w:r>
              <w:rPr>
                <w:rFonts w:hint="eastAsia" w:ascii="宋体" w:hAnsi="宋体" w:eastAsia="宋体" w:cs="宋体"/>
                <w:i w:val="0"/>
                <w:color w:val="000000"/>
                <w:sz w:val="18"/>
                <w:szCs w:val="18"/>
                <w:u w:val="none"/>
              </w:rPr>
              <w:t>粮食企业及农户服务对象满意度</w:t>
            </w:r>
          </w:p>
        </w:tc>
        <w:tc>
          <w:tcPr>
            <w:tcW w:w="11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5E12B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kern w:val="2"/>
                <w:sz w:val="18"/>
                <w:szCs w:val="18"/>
                <w:u w:val="none"/>
                <w:lang w:val="en-US" w:eastAsia="zh-CN" w:bidi="ar-SA"/>
              </w:rPr>
            </w:pPr>
            <w:r>
              <w:rPr>
                <w:rFonts w:hint="eastAsia" w:ascii="宋体" w:hAnsi="宋体" w:eastAsia="宋体" w:cs="宋体"/>
                <w:i w:val="0"/>
                <w:color w:val="000000"/>
                <w:sz w:val="18"/>
                <w:szCs w:val="18"/>
                <w:u w:val="none"/>
              </w:rPr>
              <w:t>≧</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A1AFD0">
            <w:pPr>
              <w:keepNext w:val="0"/>
              <w:keepLines w:val="0"/>
              <w:suppressLineNumbers w:val="0"/>
              <w:spacing w:before="0" w:beforeAutospacing="0" w:after="0" w:afterAutospacing="0"/>
              <w:ind w:left="0" w:right="0"/>
              <w:jc w:val="center"/>
              <w:rPr>
                <w:rFonts w:hint="default" w:ascii="宋体" w:hAnsi="宋体" w:eastAsia="宋体" w:cs="宋体"/>
                <w:i w:val="0"/>
                <w:color w:val="000000"/>
                <w:sz w:val="18"/>
                <w:szCs w:val="18"/>
                <w:u w:val="none"/>
                <w:lang w:val="en-US" w:eastAsia="zh-CN"/>
              </w:rPr>
            </w:pPr>
            <w:r>
              <w:rPr>
                <w:rFonts w:hint="eastAsia" w:ascii="Times New Roman" w:hAnsi="Times New Roman" w:eastAsia="宋体" w:cs="Times New Roman"/>
                <w:color w:val="000000"/>
                <w:sz w:val="18"/>
                <w:szCs w:val="18"/>
                <w:lang w:val="en-US" w:eastAsia="zh-CN"/>
              </w:rPr>
              <w:t>95</w:t>
            </w:r>
          </w:p>
        </w:tc>
        <w:tc>
          <w:tcPr>
            <w:tcW w:w="10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8D6D21">
            <w:pPr>
              <w:keepNext w:val="0"/>
              <w:keepLines w:val="0"/>
              <w:suppressLineNumbers w:val="0"/>
              <w:spacing w:before="0" w:beforeAutospacing="0" w:after="0" w:afterAutospacing="0"/>
              <w:ind w:left="0" w:right="0"/>
              <w:jc w:val="center"/>
              <w:rPr>
                <w:rFonts w:hint="eastAsia" w:ascii="宋体" w:hAnsi="宋体" w:eastAsia="宋体" w:cs="宋体"/>
                <w:i w:val="0"/>
                <w:color w:val="000000"/>
                <w:sz w:val="18"/>
                <w:szCs w:val="18"/>
                <w:u w:val="none"/>
              </w:rPr>
            </w:pPr>
            <w:r>
              <w:rPr>
                <w:rFonts w:hint="eastAsia" w:ascii="Times New Roman" w:hAnsi="Times New Roman" w:eastAsia="仿宋_GB2312" w:cs="Times New Roman"/>
                <w:color w:val="000000"/>
                <w:sz w:val="18"/>
                <w:szCs w:val="18"/>
              </w:rPr>
              <w:t>%</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D0AE3C">
            <w:pPr>
              <w:keepNext w:val="0"/>
              <w:keepLines w:val="0"/>
              <w:suppressLineNumbers w:val="0"/>
              <w:spacing w:before="0" w:beforeAutospacing="0" w:after="0" w:afterAutospacing="0"/>
              <w:ind w:left="0" w:right="0"/>
              <w:jc w:val="center"/>
              <w:rPr>
                <w:rFonts w:hint="eastAsia" w:ascii="宋体" w:hAnsi="宋体" w:eastAsia="宋体" w:cs="宋体"/>
                <w:i w:val="0"/>
                <w:color w:val="000000"/>
                <w:sz w:val="18"/>
                <w:szCs w:val="18"/>
                <w:u w:val="none"/>
              </w:rPr>
            </w:pPr>
            <w:r>
              <w:rPr>
                <w:rFonts w:hint="eastAsia" w:ascii="Times New Roman" w:hAnsi="Times New Roman" w:eastAsia="仿宋_GB2312" w:cs="Times New Roman"/>
                <w:color w:val="000000"/>
                <w:sz w:val="18"/>
                <w:szCs w:val="18"/>
              </w:rPr>
              <w:t>10</w:t>
            </w:r>
          </w:p>
        </w:tc>
        <w:tc>
          <w:tcPr>
            <w:tcW w:w="18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87E912">
            <w:pPr>
              <w:keepNext w:val="0"/>
              <w:keepLines w:val="0"/>
              <w:suppressLineNumbers w:val="0"/>
              <w:spacing w:before="0" w:beforeAutospacing="0" w:after="0" w:afterAutospacing="0"/>
              <w:ind w:left="0" w:right="0"/>
              <w:jc w:val="center"/>
              <w:rPr>
                <w:rFonts w:hint="eastAsia" w:ascii="宋体" w:hAnsi="宋体" w:eastAsia="宋体" w:cs="宋体"/>
                <w:i w:val="0"/>
                <w:color w:val="000000"/>
                <w:sz w:val="18"/>
                <w:szCs w:val="18"/>
                <w:u w:val="none"/>
              </w:rPr>
            </w:pPr>
            <w:r>
              <w:rPr>
                <w:rFonts w:hint="eastAsia" w:ascii="Times New Roman" w:hAnsi="Times New Roman" w:eastAsia="仿宋_GB2312" w:cs="Times New Roman"/>
                <w:color w:val="000000"/>
                <w:sz w:val="18"/>
                <w:szCs w:val="18"/>
              </w:rPr>
              <w:t>10</w:t>
            </w:r>
          </w:p>
        </w:tc>
      </w:tr>
      <w:tr w14:paraId="557EAE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6EC39B71">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color w:val="000000"/>
                <w:sz w:val="24"/>
                <w:szCs w:val="24"/>
                <w:u w:val="none"/>
              </w:rPr>
            </w:pPr>
          </w:p>
        </w:tc>
        <w:tc>
          <w:tcPr>
            <w:tcW w:w="10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DC94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成本指标</w:t>
            </w:r>
          </w:p>
        </w:tc>
        <w:tc>
          <w:tcPr>
            <w:tcW w:w="12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5DFA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宋体" w:hAnsi="宋体" w:eastAsia="宋体" w:cs="宋体"/>
                <w:i w:val="0"/>
                <w:color w:val="000000"/>
                <w:kern w:val="0"/>
                <w:sz w:val="24"/>
                <w:szCs w:val="24"/>
                <w:u w:val="none"/>
                <w:lang w:val="en-US" w:eastAsia="zh-CN" w:bidi="ar"/>
              </w:rPr>
            </w:pPr>
            <w:r>
              <w:rPr>
                <w:rFonts w:hint="default" w:ascii="宋体" w:hAnsi="宋体" w:eastAsia="宋体" w:cs="宋体"/>
                <w:i w:val="0"/>
                <w:color w:val="000000"/>
                <w:kern w:val="0"/>
                <w:sz w:val="24"/>
                <w:szCs w:val="24"/>
                <w:u w:val="none"/>
                <w:lang w:val="en-US" w:eastAsia="zh-CN" w:bidi="ar"/>
              </w:rPr>
              <w:t>经济成本</w:t>
            </w:r>
          </w:p>
          <w:p w14:paraId="70FE63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指标</w:t>
            </w:r>
          </w:p>
        </w:tc>
        <w:tc>
          <w:tcPr>
            <w:tcW w:w="1312" w:type="dxa"/>
            <w:tcBorders>
              <w:top w:val="single" w:color="000000" w:sz="4" w:space="0"/>
              <w:bottom w:val="single" w:color="000000" w:sz="4" w:space="0"/>
              <w:right w:val="single" w:color="000000" w:sz="4" w:space="0"/>
            </w:tcBorders>
            <w:shd w:val="clear" w:color="auto" w:fill="auto"/>
            <w:vAlign w:val="center"/>
          </w:tcPr>
          <w:p w14:paraId="0D2C1468">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指标1：仪器设备采购</w:t>
            </w:r>
          </w:p>
        </w:tc>
        <w:tc>
          <w:tcPr>
            <w:tcW w:w="11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F85599">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E02D72">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150</w:t>
            </w:r>
          </w:p>
        </w:tc>
        <w:tc>
          <w:tcPr>
            <w:tcW w:w="10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154EFC">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万元</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9B0FA7">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default"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10</w:t>
            </w:r>
          </w:p>
        </w:tc>
        <w:tc>
          <w:tcPr>
            <w:tcW w:w="18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4F8679">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00" w:lineRule="exact"/>
              <w:ind w:left="0" w:leftChars="0" w:right="0"/>
              <w:jc w:val="center"/>
              <w:rPr>
                <w:rFonts w:hint="default" w:ascii="宋体" w:hAnsi="宋体" w:eastAsia="宋体" w:cs="宋体"/>
                <w:i w:val="0"/>
                <w:color w:val="000000"/>
                <w:sz w:val="18"/>
                <w:szCs w:val="18"/>
                <w:u w:val="none"/>
                <w:lang w:val="en-US"/>
              </w:rPr>
            </w:pPr>
            <w:r>
              <w:rPr>
                <w:rFonts w:hint="eastAsia" w:ascii="宋体" w:hAnsi="宋体" w:eastAsia="宋体" w:cs="宋体"/>
                <w:i w:val="0"/>
                <w:color w:val="000000"/>
                <w:sz w:val="18"/>
                <w:szCs w:val="18"/>
                <w:u w:val="none"/>
                <w:lang w:val="en-US" w:eastAsia="zh-CN"/>
              </w:rPr>
              <w:t>10</w:t>
            </w:r>
          </w:p>
        </w:tc>
      </w:tr>
    </w:tbl>
    <w:p w14:paraId="553D9191">
      <w:pPr>
        <w:keepNext w:val="0"/>
        <w:keepLines w:val="0"/>
        <w:pageBreakBefore w:val="0"/>
        <w:widowControl w:val="0"/>
        <w:kinsoku/>
        <w:wordWrap/>
        <w:overflowPunct/>
        <w:topLinePunct w:val="0"/>
        <w:autoSpaceDE/>
        <w:autoSpaceDN/>
        <w:bidi w:val="0"/>
        <w:spacing w:after="0" w:line="578" w:lineRule="exact"/>
        <w:ind w:left="0" w:leftChars="0" w:firstLine="480" w:firstLineChars="200"/>
        <w:jc w:val="both"/>
        <w:rPr>
          <w:rFonts w:hint="default" w:ascii="黑体" w:hAnsi="黑体" w:eastAsia="黑体" w:cs="黑体"/>
          <w:kern w:val="2"/>
          <w:sz w:val="24"/>
          <w:szCs w:val="24"/>
          <w:highlight w:val="none"/>
          <w:lang w:val="en-US" w:eastAsia="zh-CN" w:bidi="ar-SA"/>
        </w:rPr>
      </w:pPr>
    </w:p>
    <w:p w14:paraId="546CDB74">
      <w:pPr>
        <w:widowControl w:val="0"/>
        <w:spacing w:line="578" w:lineRule="exact"/>
        <w:jc w:val="center"/>
        <w:rPr>
          <w:rFonts w:ascii="方正小标宋简体" w:hAnsi="方正小标宋简体" w:eastAsia="方正小标宋简体" w:cs="方正小标宋简体"/>
          <w:color w:val="auto"/>
          <w:kern w:val="2"/>
          <w:sz w:val="44"/>
          <w:szCs w:val="44"/>
          <w:lang w:val="en-US" w:eastAsia="zh-CN" w:bidi="ar-SA"/>
        </w:rPr>
      </w:pPr>
      <w:r>
        <w:rPr>
          <w:rFonts w:hint="eastAsia" w:ascii="方正小标宋简体" w:hAnsi="方正小标宋简体" w:eastAsia="方正小标宋简体" w:cs="方正小标宋简体"/>
          <w:color w:val="auto"/>
          <w:kern w:val="2"/>
          <w:sz w:val="44"/>
          <w:szCs w:val="44"/>
          <w:lang w:val="en-US" w:eastAsia="zh-CN" w:bidi="ar-SA"/>
        </w:rPr>
        <w:t>广元市现代物流产业培育和对外推荐活动经费专项预算项目绩效评价报告</w:t>
      </w:r>
    </w:p>
    <w:p w14:paraId="22B9D33F">
      <w:pPr>
        <w:widowControl w:val="0"/>
        <w:spacing w:line="578" w:lineRule="exact"/>
        <w:ind w:firstLine="640"/>
        <w:jc w:val="center"/>
        <w:rPr>
          <w:rFonts w:ascii="宋体" w:hAnsi="宋体" w:eastAsia="宋体" w:cs="Times New Roman"/>
          <w:color w:val="auto"/>
          <w:kern w:val="2"/>
          <w:sz w:val="32"/>
          <w:szCs w:val="32"/>
          <w:lang w:val="zh-CN" w:eastAsia="zh-CN" w:bidi="ar-SA"/>
        </w:rPr>
      </w:pPr>
    </w:p>
    <w:p w14:paraId="2E6B05FB">
      <w:pPr>
        <w:adjustRightInd w:val="0"/>
        <w:snapToGrid w:val="0"/>
        <w:spacing w:line="578" w:lineRule="exact"/>
        <w:ind w:firstLine="640" w:firstLineChars="200"/>
        <w:rPr>
          <w:rFonts w:ascii="黑体" w:hAnsi="宋体" w:eastAsia="黑体" w:cs="Times New Roman"/>
          <w:sz w:val="32"/>
          <w:szCs w:val="32"/>
          <w:lang w:val="zh-CN"/>
        </w:rPr>
      </w:pPr>
      <w:r>
        <w:rPr>
          <w:rFonts w:hint="eastAsia" w:ascii="黑体" w:hAnsi="宋体" w:eastAsia="黑体" w:cs="Times New Roman"/>
          <w:sz w:val="32"/>
          <w:szCs w:val="32"/>
        </w:rPr>
        <w:t>一、</w:t>
      </w:r>
      <w:r>
        <w:rPr>
          <w:rFonts w:hint="eastAsia" w:ascii="黑体" w:hAnsi="宋体" w:eastAsia="黑体" w:cs="Times New Roman"/>
          <w:sz w:val="32"/>
          <w:szCs w:val="32"/>
          <w:lang w:val="zh-CN"/>
        </w:rPr>
        <w:t>项目概况</w:t>
      </w:r>
    </w:p>
    <w:p w14:paraId="000106CA">
      <w:pPr>
        <w:topLinePunct/>
        <w:autoSpaceDN w:val="0"/>
        <w:adjustRightInd w:val="0"/>
        <w:snapToGrid w:val="0"/>
        <w:spacing w:line="576" w:lineRule="exact"/>
        <w:ind w:firstLine="643" w:firstLineChars="200"/>
        <w:rPr>
          <w:rFonts w:ascii="仿宋_GB2312" w:hAnsi="仿宋_GB2312" w:eastAsia="仿宋_GB2312" w:cs="仿宋_GB2312"/>
          <w:color w:val="FF0000"/>
          <w:kern w:val="0"/>
          <w:sz w:val="32"/>
          <w:szCs w:val="32"/>
          <w:shd w:val="clear" w:color="auto" w:fill="FFFFFF"/>
          <w:lang w:val="zh-CN"/>
        </w:rPr>
      </w:pPr>
      <w:r>
        <w:rPr>
          <w:rFonts w:hint="eastAsia" w:ascii="楷体_GB2312" w:hAnsi="宋体" w:eastAsia="楷体_GB2312" w:cs="Times New Roman"/>
          <w:b/>
          <w:sz w:val="32"/>
          <w:szCs w:val="32"/>
          <w:lang w:val="zh-CN"/>
        </w:rPr>
        <w:t>（一）设立背景及基本情况。</w:t>
      </w:r>
    </w:p>
    <w:p w14:paraId="603E1289">
      <w:pPr>
        <w:topLinePunct/>
        <w:autoSpaceDN w:val="0"/>
        <w:adjustRightInd w:val="0"/>
        <w:snapToGrid w:val="0"/>
        <w:spacing w:line="576" w:lineRule="exact"/>
        <w:ind w:firstLine="640" w:firstLineChars="200"/>
        <w:rPr>
          <w:rFonts w:ascii="仿宋_GB2312" w:hAnsi="仿宋_GB2312" w:eastAsia="仿宋_GB2312" w:cs="仿宋_GB2312"/>
          <w:kern w:val="0"/>
          <w:sz w:val="32"/>
          <w:szCs w:val="32"/>
          <w:shd w:val="clear" w:color="auto" w:fill="FFFFFF"/>
        </w:rPr>
      </w:pPr>
      <w:r>
        <w:rPr>
          <w:rFonts w:hint="eastAsia" w:ascii="仿宋_GB2312" w:hAnsi="仿宋_GB2312" w:eastAsia="仿宋_GB2312" w:cs="仿宋_GB2312"/>
          <w:kern w:val="0"/>
          <w:sz w:val="32"/>
          <w:szCs w:val="32"/>
          <w:shd w:val="clear" w:color="auto" w:fill="FFFFFF"/>
        </w:rPr>
        <w:t>2023年10月19日至20日，广元市人民政府和中国物流与采购联合会共同举办的2023 中国（广元）物流产业发展大会在我市成功召开，会议以“链接现代物流大枢纽 赋能实体经济新发展”为主题。大会期间，我市与中国物流与采购联合会、中铁快运股份有限公司、中国再生资源开发集团有限公司、广东省物流行业协会等龙头企业、协会签订了战略合作协议；中煤广元煤炭储备基地、四川港投川陕甘（广元）物流基地等物流行业龙头企业功能性平台授牌落地；一批物流产业及关联项目“组团”落地广元。中国物流与采购联合会授予广元“全国物流发展创新城市”称号。我市依托本次大会召开，扎实开展物流产业培育和对外推荐活动，取得预期效果，得到社会各界广泛好评，极大提升了广元知名度和影响力，为我市加快发展现代物流产业、加速推进通道优势向经济优势转变搭建了平台、营造了氛围</w:t>
      </w:r>
      <w:r>
        <w:rPr>
          <w:rFonts w:hint="eastAsia" w:ascii="Times New Roman" w:hAnsi="Times New Roman" w:eastAsia="仿宋_GB2312" w:cs="Times New Roman"/>
          <w:sz w:val="32"/>
          <w:szCs w:val="32"/>
        </w:rPr>
        <w:t>。</w:t>
      </w:r>
    </w:p>
    <w:p w14:paraId="1E4AC726">
      <w:pPr>
        <w:adjustRightInd w:val="0"/>
        <w:snapToGrid w:val="0"/>
        <w:spacing w:line="578" w:lineRule="exact"/>
        <w:ind w:firstLine="643" w:firstLineChars="200"/>
        <w:rPr>
          <w:rFonts w:ascii="楷体_GB2312" w:hAnsi="宋体" w:eastAsia="楷体_GB2312" w:cs="Times New Roman"/>
          <w:b/>
          <w:color w:val="FF0000"/>
          <w:sz w:val="32"/>
          <w:szCs w:val="32"/>
          <w:lang w:val="zh-CN"/>
        </w:rPr>
      </w:pPr>
      <w:r>
        <w:rPr>
          <w:rFonts w:hint="eastAsia" w:ascii="楷体_GB2312" w:hAnsi="宋体" w:eastAsia="楷体_GB2312" w:cs="Times New Roman"/>
          <w:b/>
          <w:sz w:val="32"/>
          <w:szCs w:val="32"/>
          <w:lang w:val="zh-CN"/>
        </w:rPr>
        <w:t>（二）</w:t>
      </w:r>
      <w:r>
        <w:rPr>
          <w:rFonts w:ascii="楷体_GB2312" w:hAnsi="宋体" w:eastAsia="楷体_GB2312" w:cs="Times New Roman"/>
          <w:b/>
          <w:sz w:val="32"/>
          <w:szCs w:val="32"/>
        </w:rPr>
        <w:t>实施目的及支持方向</w:t>
      </w:r>
      <w:r>
        <w:rPr>
          <w:rFonts w:hint="eastAsia" w:ascii="楷体_GB2312" w:hAnsi="宋体" w:eastAsia="楷体_GB2312" w:cs="Times New Roman"/>
          <w:b/>
          <w:sz w:val="32"/>
          <w:szCs w:val="32"/>
        </w:rPr>
        <w:t>。</w:t>
      </w:r>
    </w:p>
    <w:p w14:paraId="125A1481">
      <w:pPr>
        <w:adjustRightInd w:val="0"/>
        <w:snapToGrid w:val="0"/>
        <w:spacing w:line="578" w:lineRule="exact"/>
        <w:ind w:firstLine="640" w:firstLineChars="200"/>
        <w:rPr>
          <w:rFonts w:ascii="仿宋_GB2312" w:hAnsi="仿宋_GB2312" w:eastAsia="仿宋_GB2312" w:cs="仿宋_GB2312"/>
          <w:kern w:val="0"/>
          <w:sz w:val="32"/>
          <w:szCs w:val="32"/>
          <w:shd w:val="clear" w:color="auto" w:fill="FFFFFF"/>
        </w:rPr>
      </w:pPr>
      <w:r>
        <w:rPr>
          <w:rFonts w:hint="eastAsia" w:ascii="仿宋_GB2312" w:hAnsi="仿宋_GB2312" w:eastAsia="仿宋_GB2312" w:cs="仿宋_GB2312"/>
          <w:kern w:val="0"/>
          <w:sz w:val="32"/>
          <w:szCs w:val="32"/>
          <w:shd w:val="clear" w:color="auto" w:fill="FFFFFF"/>
        </w:rPr>
        <w:t>为深入贯彻落实习近平新时代中国特色社会主义思想和习近平总书记来川来广视察重要指示精神，认真落实党的二十大和党中央、国务院工作部署，加速推进通道优势向经济优势转变，特举办 2023 中国（广元）物流产业发展大会，积极开展我市物流产业培育和对外推荐活动。一是搭建交流合作平台，邀请现代物流头部企业及部分生产、贸易龙头企业领导，相关行业协会领导，知名专家，分享物流产业发展的高效管理模式和先进运营经验，推动合作共赢，引领促进全国物流产业高质量发展。二是聚焦枢纽产业集聚融合与物流园区运营管理、多式联运跨界协作与实体经济降本增效、高铁快运探索创新与适配产业培育发展方面分享成功经验，创新发展思路，探索困难问题解决对策和方案。三是借助中国物流与采购联合会社会影响力，集聚一批从事生产、贸易和物流的企业、协会到广元考察参会，促成一批企业签约布局广元、投资广元，推进通道优势向经济优势加速转变，助力广元创建国家物流枢纽承载城市，并通过主流权威媒体和专业媒体宣传报道，提升广元知名度和美誉度。</w:t>
      </w:r>
    </w:p>
    <w:p w14:paraId="28570092">
      <w:pPr>
        <w:adjustRightInd w:val="0"/>
        <w:snapToGrid w:val="0"/>
        <w:spacing w:line="576" w:lineRule="exact"/>
        <w:ind w:firstLine="720"/>
        <w:rPr>
          <w:rFonts w:ascii="仿宋_GB2312" w:hAnsi="仿宋_GB2312" w:eastAsia="仿宋_GB2312" w:cs="仿宋_GB2312"/>
          <w:color w:val="FF0000"/>
          <w:kern w:val="0"/>
          <w:sz w:val="32"/>
          <w:szCs w:val="32"/>
          <w:shd w:val="clear" w:color="auto" w:fill="FFFFFF"/>
        </w:rPr>
      </w:pPr>
      <w:r>
        <w:rPr>
          <w:rFonts w:hint="eastAsia" w:ascii="楷体_GB2312" w:hAnsi="宋体" w:eastAsia="楷体_GB2312" w:cs="Times New Roman"/>
          <w:b/>
          <w:sz w:val="32"/>
          <w:szCs w:val="32"/>
          <w:lang w:val="zh-CN"/>
        </w:rPr>
        <w:t>（三）</w:t>
      </w:r>
      <w:r>
        <w:rPr>
          <w:rFonts w:ascii="楷体_GB2312" w:hAnsi="宋体" w:eastAsia="楷体_GB2312" w:cs="Times New Roman"/>
          <w:b/>
          <w:sz w:val="32"/>
          <w:szCs w:val="32"/>
        </w:rPr>
        <w:t>预算安排及分配管理</w:t>
      </w:r>
      <w:r>
        <w:rPr>
          <w:rFonts w:hint="eastAsia" w:ascii="楷体_GB2312" w:hAnsi="宋体" w:eastAsia="楷体_GB2312" w:cs="Times New Roman"/>
          <w:b/>
          <w:sz w:val="32"/>
          <w:szCs w:val="32"/>
          <w:lang w:val="zh-CN"/>
        </w:rPr>
        <w:t>。</w:t>
      </w:r>
    </w:p>
    <w:p w14:paraId="34484E89">
      <w:pPr>
        <w:adjustRightInd w:val="0"/>
        <w:snapToGrid w:val="0"/>
        <w:spacing w:line="576" w:lineRule="exact"/>
        <w:ind w:firstLine="720"/>
        <w:rPr>
          <w:rFonts w:ascii="仿宋_GB2312" w:hAnsi="Times New Roman" w:eastAsia="仿宋_GB2312" w:cs="仿宋_GB2312"/>
          <w:sz w:val="32"/>
          <w:szCs w:val="32"/>
        </w:rPr>
      </w:pPr>
      <w:r>
        <w:rPr>
          <w:rFonts w:hint="eastAsia" w:ascii="仿宋_GB2312" w:hAnsi="Times New Roman" w:eastAsia="仿宋_GB2312" w:cs="仿宋_GB2312"/>
          <w:sz w:val="32"/>
          <w:szCs w:val="32"/>
        </w:rPr>
        <w:t>为高质量筹办物流产业发展大会，</w:t>
      </w:r>
      <w:r>
        <w:rPr>
          <w:rFonts w:hint="eastAsia" w:ascii="Times New Roman" w:hAnsi="Times New Roman" w:eastAsia="仿宋_GB2312" w:cs="Times New Roman"/>
          <w:sz w:val="32"/>
          <w:szCs w:val="32"/>
        </w:rPr>
        <w:t>有序开展我市物流产业培育和对外推荐活动。</w:t>
      </w:r>
      <w:r>
        <w:rPr>
          <w:rFonts w:hint="eastAsia" w:ascii="仿宋_GB2312" w:hAnsi="Times New Roman" w:eastAsia="仿宋_GB2312" w:cs="仿宋_GB2312"/>
          <w:sz w:val="32"/>
          <w:szCs w:val="32"/>
        </w:rPr>
        <w:t>我市成立了2023中国（广元）物流产业发展大会筹备工作领导小组，下设“一办六组”：办公室、现场推进组、招商攻坚组、会务工作组、宣传报道组、后勤保障组、安保维稳组，其中市发展改革委牵头负责办公室、会务工作组、后勤保障组有关工作，并在物流产业培育和对外推荐活动中产生费用271688.6元，分别为伴手礼98000元、大会致辞推介PPT设计制作80000元、广告费、劳务费63205元、物流产业发展大会领导小组办公室文印费25683.6元、市政府办文印室打印费4800元。以上费用支出已报市财局审核，市财政局审核意见已经市政府主要领导、分管领导审批同意。截止2023年12月完成271688.6元费用支付。</w:t>
      </w:r>
    </w:p>
    <w:p w14:paraId="4F46160B">
      <w:pPr>
        <w:adjustRightInd w:val="0"/>
        <w:snapToGrid w:val="0"/>
        <w:spacing w:line="578" w:lineRule="exact"/>
        <w:ind w:firstLine="643" w:firstLineChars="200"/>
        <w:rPr>
          <w:rFonts w:ascii="仿宋_GB2312" w:hAnsi="仿宋_GB2312" w:eastAsia="仿宋_GB2312" w:cs="仿宋_GB2312"/>
          <w:kern w:val="0"/>
          <w:sz w:val="32"/>
          <w:szCs w:val="32"/>
          <w:shd w:val="clear" w:color="auto" w:fill="FFFFFF"/>
          <w:lang w:val="zh-CN"/>
        </w:rPr>
      </w:pPr>
      <w:r>
        <w:rPr>
          <w:rFonts w:hint="eastAsia" w:ascii="楷体_GB2312" w:hAnsi="宋体" w:eastAsia="楷体_GB2312" w:cs="Times New Roman"/>
          <w:b/>
          <w:sz w:val="32"/>
          <w:szCs w:val="32"/>
          <w:lang w:val="zh-CN"/>
        </w:rPr>
        <w:t>（四）项目绩效目标设置。</w:t>
      </w:r>
    </w:p>
    <w:p w14:paraId="3A1C9109">
      <w:pPr>
        <w:adjustRightInd w:val="0"/>
        <w:snapToGrid w:val="0"/>
        <w:spacing w:line="578" w:lineRule="exact"/>
        <w:ind w:firstLine="640" w:firstLineChars="200"/>
        <w:rPr>
          <w:rFonts w:ascii="仿宋_GB2312" w:hAnsi="仿宋_GB2312" w:eastAsia="仿宋_GB2312" w:cs="仿宋_GB2312"/>
          <w:kern w:val="0"/>
          <w:sz w:val="32"/>
          <w:szCs w:val="32"/>
          <w:shd w:val="clear" w:color="auto" w:fill="FFFFFF"/>
          <w:lang w:val="zh-CN"/>
        </w:rPr>
      </w:pPr>
      <w:r>
        <w:rPr>
          <w:rFonts w:hint="eastAsia" w:ascii="仿宋_GB2312" w:hAnsi="仿宋_GB2312" w:eastAsia="仿宋_GB2312" w:cs="仿宋_GB2312"/>
          <w:kern w:val="0"/>
          <w:sz w:val="32"/>
          <w:szCs w:val="32"/>
          <w:shd w:val="clear" w:color="auto" w:fill="FFFFFF"/>
          <w:lang w:val="zh-CN"/>
        </w:rPr>
        <w:t>从数量、质量、时效、效益、满意度和成本方面共设置</w:t>
      </w:r>
      <w:r>
        <w:rPr>
          <w:rFonts w:hint="eastAsia" w:ascii="仿宋_GB2312" w:hAnsi="仿宋_GB2312" w:eastAsia="仿宋_GB2312" w:cs="仿宋_GB2312"/>
          <w:kern w:val="0"/>
          <w:sz w:val="32"/>
          <w:szCs w:val="32"/>
          <w:shd w:val="clear" w:color="auto" w:fill="FFFFFF"/>
        </w:rPr>
        <w:t>12个三级指标</w:t>
      </w:r>
      <w:r>
        <w:rPr>
          <w:rFonts w:hint="eastAsia" w:ascii="仿宋_GB2312" w:hAnsi="仿宋_GB2312" w:eastAsia="仿宋_GB2312" w:cs="仿宋_GB2312"/>
          <w:kern w:val="0"/>
          <w:sz w:val="32"/>
          <w:szCs w:val="32"/>
          <w:shd w:val="clear" w:color="auto" w:fill="FFFFFF"/>
          <w:lang w:val="zh-CN"/>
        </w:rPr>
        <w:t>，包含合作平台授牌、召开2023中国（广元）物流产业发展大会、签约战略合作协议、组织分会场、参会人数、会议规格、规定时限、项目投资签约、完善基础设施、宣传报道、与会嘉宾对大会召开效果满意度、项目总额预算控制数。阶段性调度通报大会筹备、物流产业培育和对外推荐等重点工作，对大会筹备和活动开展情况进行总结。</w:t>
      </w:r>
    </w:p>
    <w:p w14:paraId="511339E2">
      <w:pPr>
        <w:adjustRightInd w:val="0"/>
        <w:snapToGrid w:val="0"/>
        <w:spacing w:line="578" w:lineRule="exact"/>
        <w:ind w:firstLine="640" w:firstLineChars="200"/>
        <w:rPr>
          <w:rFonts w:ascii="黑体" w:hAnsi="宋体" w:eastAsia="黑体" w:cs="Times New Roman"/>
          <w:sz w:val="32"/>
          <w:szCs w:val="32"/>
        </w:rPr>
      </w:pPr>
      <w:r>
        <w:rPr>
          <w:rFonts w:hint="eastAsia" w:ascii="黑体" w:hAnsi="宋体" w:eastAsia="黑体" w:cs="Times New Roman"/>
          <w:sz w:val="32"/>
          <w:szCs w:val="32"/>
        </w:rPr>
        <w:t>二、评价实施</w:t>
      </w:r>
    </w:p>
    <w:p w14:paraId="552F792F">
      <w:pPr>
        <w:snapToGrid w:val="0"/>
        <w:spacing w:line="600" w:lineRule="exact"/>
        <w:ind w:firstLine="643" w:firstLineChars="200"/>
        <w:jc w:val="left"/>
        <w:rPr>
          <w:rFonts w:ascii="Times New Roman" w:hAnsi="Times New Roman" w:eastAsia="仿宋_GB2312" w:cs="Times New Roman"/>
          <w:sz w:val="32"/>
          <w:szCs w:val="32"/>
        </w:rPr>
      </w:pPr>
      <w:r>
        <w:rPr>
          <w:rFonts w:hint="eastAsia" w:ascii="楷体_GB2312" w:hAnsi="宋体" w:eastAsia="楷体_GB2312" w:cs="Times New Roman"/>
          <w:b/>
          <w:sz w:val="32"/>
          <w:szCs w:val="32"/>
          <w:lang w:val="zh-CN"/>
        </w:rPr>
        <w:t>（一）评价目的。</w:t>
      </w:r>
    </w:p>
    <w:p w14:paraId="52295ABE">
      <w:pPr>
        <w:snapToGrid w:val="0"/>
        <w:spacing w:line="600" w:lineRule="exact"/>
        <w:ind w:firstLine="640" w:firstLineChars="200"/>
        <w:jc w:val="left"/>
        <w:rPr>
          <w:rFonts w:ascii="Times New Roman" w:hAnsi="Times New Roman" w:eastAsia="仿宋_GB2312" w:cs="Times New Roman"/>
          <w:sz w:val="32"/>
          <w:szCs w:val="32"/>
        </w:rPr>
      </w:pPr>
      <w:r>
        <w:rPr>
          <w:rFonts w:hint="eastAsia" w:ascii="仿宋_GB2312" w:hAnsi="仿宋_GB2312" w:eastAsia="仿宋_GB2312" w:cs="仿宋_GB2312"/>
          <w:sz w:val="32"/>
          <w:szCs w:val="32"/>
        </w:rPr>
        <w:t>为项目设立和预算安排提供重要参考依据，提高预算编制科学性、合理性，优化财政支出结构，从源头上防控财政资源配置的低效无效，提高财政资源配置效率和财政资金使用效益。</w:t>
      </w:r>
    </w:p>
    <w:p w14:paraId="3060DB60">
      <w:pPr>
        <w:adjustRightInd w:val="0"/>
        <w:snapToGrid w:val="0"/>
        <w:spacing w:line="578" w:lineRule="exact"/>
        <w:ind w:firstLine="643" w:firstLineChars="200"/>
        <w:rPr>
          <w:rFonts w:ascii="仿宋" w:hAnsi="仿宋" w:eastAsia="仿宋" w:cs="Times New Roman"/>
          <w:color w:val="FF0000"/>
          <w:sz w:val="32"/>
          <w:szCs w:val="32"/>
        </w:rPr>
      </w:pPr>
      <w:r>
        <w:rPr>
          <w:rFonts w:hint="eastAsia" w:ascii="楷体_GB2312" w:hAnsi="宋体" w:eastAsia="楷体_GB2312" w:cs="Times New Roman"/>
          <w:b/>
          <w:sz w:val="32"/>
          <w:szCs w:val="32"/>
          <w:lang w:val="zh-CN"/>
        </w:rPr>
        <w:t>（二）预设问题及评价重点。</w:t>
      </w:r>
    </w:p>
    <w:p w14:paraId="29B6A6C8">
      <w:pPr>
        <w:adjustRightInd w:val="0"/>
        <w:snapToGrid w:val="0"/>
        <w:spacing w:line="578" w:lineRule="exact"/>
        <w:ind w:firstLine="640" w:firstLineChars="200"/>
        <w:rPr>
          <w:rFonts w:ascii="Times New Roman" w:hAnsi="Times New Roman" w:eastAsia="仿宋_GB2312" w:cs="Times New Roman"/>
          <w:sz w:val="32"/>
          <w:szCs w:val="32"/>
        </w:rPr>
      </w:pPr>
      <w:r>
        <w:rPr>
          <w:rFonts w:hint="eastAsia" w:ascii="Times New Roman" w:hAnsi="Times New Roman" w:eastAsia="仿宋_GB2312" w:cs="Times New Roman"/>
          <w:sz w:val="32"/>
          <w:szCs w:val="32"/>
        </w:rPr>
        <w:t>按照绩效评价指标体系，对资金支出使用全过程及其实施效果进行综合评价和判断。</w:t>
      </w:r>
    </w:p>
    <w:p w14:paraId="1498E810">
      <w:pPr>
        <w:adjustRightInd w:val="0"/>
        <w:snapToGrid w:val="0"/>
        <w:spacing w:line="578" w:lineRule="exact"/>
        <w:ind w:firstLine="643" w:firstLineChars="200"/>
        <w:rPr>
          <w:rFonts w:ascii="Times New Roman" w:hAnsi="Times New Roman" w:eastAsia="仿宋_GB2312" w:cs="Times New Roman"/>
          <w:sz w:val="32"/>
          <w:szCs w:val="32"/>
          <w:lang w:val="zh-CN"/>
        </w:rPr>
      </w:pPr>
      <w:r>
        <w:rPr>
          <w:rFonts w:hint="eastAsia" w:ascii="楷体_GB2312" w:hAnsi="宋体" w:eastAsia="楷体_GB2312" w:cs="Times New Roman"/>
          <w:b/>
          <w:sz w:val="32"/>
          <w:szCs w:val="32"/>
          <w:lang w:val="zh-CN"/>
        </w:rPr>
        <w:t>（三）评价选点。</w:t>
      </w:r>
    </w:p>
    <w:p w14:paraId="70EAA302">
      <w:pPr>
        <w:adjustRightInd w:val="0"/>
        <w:snapToGrid w:val="0"/>
        <w:spacing w:line="578" w:lineRule="exact"/>
        <w:ind w:firstLine="640" w:firstLineChars="200"/>
        <w:rPr>
          <w:rFonts w:ascii="Times New Roman" w:hAnsi="Times New Roman" w:eastAsia="仿宋_GB2312" w:cs="Times New Roman"/>
          <w:sz w:val="32"/>
          <w:szCs w:val="32"/>
          <w:lang w:val="zh-CN"/>
        </w:rPr>
      </w:pPr>
      <w:r>
        <w:rPr>
          <w:rFonts w:hint="eastAsia" w:ascii="Times New Roman" w:hAnsi="Times New Roman" w:eastAsia="仿宋_GB2312" w:cs="Times New Roman"/>
          <w:sz w:val="32"/>
          <w:szCs w:val="32"/>
          <w:lang w:val="zh-CN"/>
        </w:rPr>
        <w:t>项目绩效自评所抽样点位情况。</w:t>
      </w:r>
    </w:p>
    <w:p w14:paraId="03CE35CC">
      <w:pPr>
        <w:snapToGrid w:val="0"/>
        <w:spacing w:line="600" w:lineRule="exact"/>
        <w:ind w:firstLine="643" w:firstLineChars="200"/>
        <w:rPr>
          <w:rFonts w:ascii="Times New Roman" w:hAnsi="Times New Roman" w:eastAsia="仿宋_GB2312" w:cs="Times New Roman"/>
          <w:sz w:val="32"/>
          <w:szCs w:val="32"/>
        </w:rPr>
      </w:pPr>
      <w:r>
        <w:rPr>
          <w:rFonts w:hint="eastAsia" w:ascii="楷体_GB2312" w:hAnsi="宋体" w:eastAsia="楷体_GB2312" w:cs="Times New Roman"/>
          <w:b/>
          <w:sz w:val="32"/>
          <w:szCs w:val="32"/>
          <w:lang w:val="zh-CN"/>
        </w:rPr>
        <w:t>（四）评价方法。</w:t>
      </w:r>
    </w:p>
    <w:p w14:paraId="080CF31A">
      <w:pPr>
        <w:spacing w:line="578" w:lineRule="exact"/>
        <w:ind w:firstLine="640"/>
        <w:rPr>
          <w:rFonts w:ascii="Times New Roman" w:hAnsi="Times New Roman" w:eastAsia="仿宋_GB2312" w:cs="Times New Roman"/>
          <w:sz w:val="32"/>
          <w:szCs w:val="32"/>
        </w:rPr>
      </w:pPr>
      <w:r>
        <w:rPr>
          <w:rFonts w:hint="eastAsia" w:ascii="Times New Roman" w:hAnsi="Times New Roman" w:eastAsia="仿宋_GB2312" w:cs="Times New Roman"/>
          <w:sz w:val="32"/>
          <w:szCs w:val="32"/>
        </w:rPr>
        <w:t>按照有关规定和工作安排，通过集中研究、专报市领导、向上对接争取、与项目相关人员座谈、研讨等方式方法，对项目的立项必要性、投入经济性、目标合理性、方案可行性以及筹资合规性实施评估。</w:t>
      </w:r>
    </w:p>
    <w:p w14:paraId="5BBEF3E8">
      <w:pPr>
        <w:snapToGrid w:val="0"/>
        <w:spacing w:line="600" w:lineRule="exact"/>
        <w:ind w:firstLine="624" w:firstLineChars="200"/>
        <w:rPr>
          <w:rFonts w:ascii="Times New Roman" w:hAnsi="Times New Roman" w:eastAsia="仿宋_GB2312" w:cs="Times New Roman"/>
          <w:sz w:val="32"/>
          <w:szCs w:val="32"/>
        </w:rPr>
      </w:pPr>
      <w:r>
        <w:rPr>
          <w:rFonts w:hint="eastAsia" w:ascii="仿宋_GB2312" w:hAnsi="Times New Roman" w:eastAsia="仿宋_GB2312" w:cs="Times New Roman"/>
          <w:spacing w:val="-4"/>
          <w:sz w:val="32"/>
          <w:szCs w:val="32"/>
        </w:rPr>
        <w:t>2023年11月16日，我委向</w:t>
      </w:r>
      <w:r>
        <w:rPr>
          <w:rFonts w:hint="eastAsia" w:ascii="仿宋_GB2312" w:hAnsi="Times New Roman" w:eastAsia="仿宋_GB2312" w:cs="Times New Roman"/>
          <w:sz w:val="32"/>
          <w:szCs w:val="32"/>
        </w:rPr>
        <w:t>市财政局提交了《关于解决广元市现代物流产业培育和对外推荐活动经费的请示》（广发改〔2023〕514 号）。2023年11月25日，董里市长对市财政局就《关于解决广元市现代物流产业培育和对外推荐活动经费的请示》（广发改〔2023〕514 号）提出的意见签批同意。2023年12月，经委党组会议审定后支付。</w:t>
      </w:r>
    </w:p>
    <w:p w14:paraId="21E42E70">
      <w:pPr>
        <w:adjustRightInd w:val="0"/>
        <w:snapToGrid w:val="0"/>
        <w:spacing w:line="520" w:lineRule="exact"/>
        <w:ind w:firstLine="643" w:firstLineChars="200"/>
        <w:rPr>
          <w:rFonts w:ascii="Times New Roman" w:hAnsi="Times New Roman" w:eastAsia="仿宋_GB2312" w:cs="Times New Roman"/>
          <w:bCs/>
          <w:sz w:val="32"/>
          <w:szCs w:val="32"/>
        </w:rPr>
      </w:pPr>
      <w:r>
        <w:rPr>
          <w:rFonts w:hint="eastAsia" w:ascii="楷体_GB2312" w:hAnsi="宋体" w:eastAsia="楷体_GB2312" w:cs="Times New Roman"/>
          <w:b/>
          <w:sz w:val="32"/>
          <w:szCs w:val="32"/>
          <w:lang w:val="zh-CN"/>
        </w:rPr>
        <w:t>（五）评价组织。</w:t>
      </w:r>
    </w:p>
    <w:p w14:paraId="34D95D2D">
      <w:pPr>
        <w:adjustRightInd w:val="0"/>
        <w:snapToGrid w:val="0"/>
        <w:spacing w:line="520" w:lineRule="exact"/>
        <w:ind w:firstLine="640" w:firstLineChars="200"/>
        <w:rPr>
          <w:rFonts w:ascii="Times New Roman" w:hAnsi="Times New Roman" w:eastAsia="仿宋_GB2312" w:cs="Times New Roman"/>
          <w:bCs/>
          <w:sz w:val="32"/>
          <w:szCs w:val="32"/>
        </w:rPr>
      </w:pPr>
      <w:r>
        <w:rPr>
          <w:rFonts w:hint="eastAsia" w:ascii="Times New Roman" w:hAnsi="Times New Roman" w:eastAsia="仿宋_GB2312" w:cs="Times New Roman"/>
          <w:sz w:val="32"/>
          <w:szCs w:val="32"/>
        </w:rPr>
        <w:t>市发展改革委牵头加强与中国物流与采购联合会及下设冷链委对接联系，确保项目有序开展。</w:t>
      </w:r>
    </w:p>
    <w:p w14:paraId="3D516189">
      <w:pPr>
        <w:adjustRightInd w:val="0"/>
        <w:snapToGrid w:val="0"/>
        <w:spacing w:line="578" w:lineRule="exact"/>
        <w:ind w:firstLine="640" w:firstLineChars="200"/>
        <w:rPr>
          <w:rFonts w:ascii="仿宋_GB2312" w:hAnsi="宋体" w:eastAsia="仿宋_GB2312" w:cs="Times New Roman"/>
          <w:sz w:val="32"/>
          <w:szCs w:val="32"/>
          <w:lang w:val="zh-CN"/>
        </w:rPr>
      </w:pPr>
      <w:r>
        <w:rPr>
          <w:rFonts w:hint="eastAsia" w:ascii="黑体" w:hAnsi="宋体" w:eastAsia="黑体" w:cs="Times New Roman"/>
          <w:sz w:val="32"/>
          <w:szCs w:val="32"/>
        </w:rPr>
        <w:t>三、绩效分析</w:t>
      </w:r>
      <w:r>
        <w:rPr>
          <w:rFonts w:hint="eastAsia" w:ascii="仿宋_GB2312" w:hAnsi="宋体" w:eastAsia="仿宋_GB2312" w:cs="Times New Roman"/>
          <w:sz w:val="32"/>
          <w:szCs w:val="32"/>
          <w:lang w:val="zh-CN"/>
        </w:rPr>
        <w:tab/>
      </w:r>
    </w:p>
    <w:p w14:paraId="68449DA8">
      <w:pPr>
        <w:spacing w:line="578" w:lineRule="exact"/>
        <w:ind w:firstLine="640"/>
        <w:rPr>
          <w:rFonts w:ascii="楷体_GB2312" w:hAnsi="宋体" w:eastAsia="楷体_GB2312" w:cs="Times New Roman"/>
          <w:b/>
          <w:sz w:val="32"/>
          <w:szCs w:val="32"/>
        </w:rPr>
      </w:pPr>
      <w:r>
        <w:rPr>
          <w:rFonts w:hint="eastAsia" w:ascii="楷体_GB2312" w:hAnsi="宋体" w:eastAsia="楷体_GB2312" w:cs="Times New Roman"/>
          <w:b/>
          <w:sz w:val="32"/>
          <w:szCs w:val="32"/>
          <w:lang w:val="zh-CN"/>
        </w:rPr>
        <w:t>（一）</w:t>
      </w:r>
      <w:r>
        <w:rPr>
          <w:rFonts w:hint="eastAsia" w:ascii="楷体_GB2312" w:hAnsi="宋体" w:eastAsia="楷体_GB2312" w:cs="Times New Roman"/>
          <w:b/>
          <w:sz w:val="32"/>
          <w:szCs w:val="32"/>
        </w:rPr>
        <w:t>通用指标</w:t>
      </w:r>
      <w:r>
        <w:rPr>
          <w:rFonts w:ascii="Times New Roman" w:hAnsi="Times New Roman" w:eastAsia="楷体_GB2312" w:cs="Times New Roman"/>
          <w:b/>
          <w:bCs/>
          <w:color w:val="000000"/>
          <w:kern w:val="0"/>
          <w:sz w:val="32"/>
          <w:szCs w:val="32"/>
          <w:shd w:val="clear" w:color="auto" w:fill="FFFFFF"/>
          <w:lang w:val="zh-CN"/>
        </w:rPr>
        <w:t>绩效分析。</w:t>
      </w:r>
    </w:p>
    <w:p w14:paraId="6EA3E7F3">
      <w:pPr>
        <w:adjustRightInd w:val="0"/>
        <w:snapToGrid w:val="0"/>
        <w:spacing w:line="578" w:lineRule="exact"/>
        <w:ind w:firstLine="640" w:firstLineChars="200"/>
        <w:rPr>
          <w:rFonts w:ascii="仿宋_GB2312" w:hAnsi="Times New Roman" w:eastAsia="仿宋_GB2312" w:cs="仿宋_GB2312"/>
          <w:sz w:val="32"/>
          <w:szCs w:val="32"/>
        </w:rPr>
      </w:pPr>
      <w:r>
        <w:rPr>
          <w:rFonts w:hint="eastAsia" w:ascii="楷体_GB2312" w:hAnsi="楷体_GB2312" w:eastAsia="楷体_GB2312" w:cs="楷体_GB2312"/>
          <w:sz w:val="32"/>
          <w:szCs w:val="32"/>
        </w:rPr>
        <w:t>1.项目决策。</w:t>
      </w:r>
    </w:p>
    <w:p w14:paraId="1784CA01">
      <w:pPr>
        <w:adjustRightInd w:val="0"/>
        <w:snapToGrid w:val="0"/>
        <w:spacing w:line="578" w:lineRule="exact"/>
        <w:ind w:firstLine="640" w:firstLineChars="200"/>
        <w:rPr>
          <w:rFonts w:ascii="仿宋_GB2312" w:hAnsi="Times New Roman" w:eastAsia="仿宋_GB2312" w:cs="仿宋_GB2312"/>
          <w:sz w:val="32"/>
          <w:szCs w:val="32"/>
        </w:rPr>
      </w:pPr>
      <w:r>
        <w:rPr>
          <w:rFonts w:hint="eastAsia" w:ascii="仿宋_GB2312" w:hAnsi="Times New Roman" w:eastAsia="仿宋_GB2312" w:cs="仿宋_GB2312"/>
          <w:sz w:val="32"/>
          <w:szCs w:val="32"/>
        </w:rPr>
        <w:t>为深入贯彻落实习近平新时代中国特色社会主义思想和习近平总书记来川来广视察重要指示精神，认真落实党的二十大和党中央、国务院工作部署，加速推进通道优势向经济优势转变，经市委、市政府同意，广元市人民政府和中国物流与采购联合会共同举办2023 中国（广元）物流产业发展大会，积极开展物流产业培育和对外推荐活动。</w:t>
      </w:r>
      <w:r>
        <w:rPr>
          <w:rFonts w:hint="eastAsia" w:ascii="Times New Roman" w:hAnsi="Times New Roman" w:eastAsia="仿宋_GB2312" w:cs="Times New Roman"/>
          <w:sz w:val="32"/>
          <w:szCs w:val="32"/>
        </w:rPr>
        <w:t>项目资金与经济社会发展相匹配，属于政府支持范围，未与其他同类项目或部门内部相关项目交叉重复。</w:t>
      </w:r>
      <w:r>
        <w:rPr>
          <w:rFonts w:hint="eastAsia" w:ascii="仿宋_GB2312" w:hAnsi="仿宋_GB2312" w:eastAsia="仿宋_GB2312" w:cs="仿宋_GB2312"/>
          <w:sz w:val="32"/>
          <w:szCs w:val="32"/>
        </w:rPr>
        <w:t>绩效分析得分18分。</w:t>
      </w:r>
    </w:p>
    <w:p w14:paraId="052C289A">
      <w:pPr>
        <w:spacing w:line="578" w:lineRule="exact"/>
        <w:ind w:firstLine="640" w:firstLineChars="200"/>
        <w:rPr>
          <w:rFonts w:ascii="Times New Roman" w:hAnsi="Times New Roman" w:eastAsia="仿宋_GB2312" w:cs="Times New Roman"/>
          <w:color w:val="FF0000"/>
          <w:sz w:val="32"/>
          <w:szCs w:val="32"/>
        </w:rPr>
      </w:pPr>
      <w:r>
        <w:rPr>
          <w:rFonts w:hint="eastAsia" w:ascii="楷体_GB2312" w:hAnsi="楷体_GB2312" w:eastAsia="楷体_GB2312" w:cs="楷体_GB2312"/>
          <w:sz w:val="32"/>
          <w:szCs w:val="32"/>
        </w:rPr>
        <w:t>2.项目管理</w:t>
      </w:r>
    </w:p>
    <w:p w14:paraId="6FFBEB49">
      <w:pPr>
        <w:spacing w:line="578" w:lineRule="exact"/>
        <w:ind w:firstLine="640" w:firstLineChars="200"/>
        <w:rPr>
          <w:rFonts w:ascii="Times New Roman" w:hAnsi="Times New Roman" w:eastAsia="仿宋_GB2312" w:cs="Times New Roman"/>
          <w:color w:val="FF0000"/>
          <w:sz w:val="32"/>
          <w:szCs w:val="32"/>
        </w:rPr>
      </w:pPr>
      <w:r>
        <w:rPr>
          <w:rFonts w:hint="eastAsia" w:ascii="Times New Roman" w:hAnsi="Times New Roman" w:eastAsia="仿宋_GB2312" w:cs="Times New Roman"/>
          <w:sz w:val="32"/>
          <w:szCs w:val="32"/>
        </w:rPr>
        <w:t>本项目资金管理办法等管理制度体系健全完善，不存在管理制度缺失和管理制度过期等情况。按照中省要求全面完成了绩效目标（含事前评估）、绩效评价等。绩效分析得分18分。</w:t>
      </w:r>
    </w:p>
    <w:p w14:paraId="3F6AFC77">
      <w:pPr>
        <w:adjustRightInd w:val="0"/>
        <w:snapToGrid w:val="0"/>
        <w:spacing w:line="578" w:lineRule="exact"/>
        <w:ind w:firstLine="640" w:firstLineChars="200"/>
        <w:rPr>
          <w:rFonts w:ascii="仿宋_GB2312" w:hAnsi="Times New Roman" w:eastAsia="仿宋_GB2312" w:cs="Times New Roman"/>
          <w:sz w:val="32"/>
          <w:szCs w:val="32"/>
        </w:rPr>
      </w:pPr>
      <w:r>
        <w:rPr>
          <w:rFonts w:hint="eastAsia" w:ascii="楷体_GB2312" w:hAnsi="楷体_GB2312" w:eastAsia="楷体_GB2312" w:cs="楷体_GB2312"/>
          <w:sz w:val="32"/>
          <w:szCs w:val="32"/>
        </w:rPr>
        <w:t>3.项目实施。</w:t>
      </w:r>
    </w:p>
    <w:p w14:paraId="42C06F1F">
      <w:pPr>
        <w:adjustRightInd w:val="0"/>
        <w:snapToGrid w:val="0"/>
        <w:spacing w:line="578" w:lineRule="exact"/>
        <w:ind w:firstLine="640" w:firstLineChars="200"/>
        <w:rPr>
          <w:rFonts w:ascii="仿宋_GB2312" w:hAnsi="Times New Roman" w:eastAsia="仿宋_GB2312" w:cs="Times New Roman"/>
          <w:sz w:val="32"/>
          <w:szCs w:val="32"/>
        </w:rPr>
      </w:pPr>
      <w:r>
        <w:rPr>
          <w:rFonts w:hint="eastAsia" w:ascii="仿宋_GB2312" w:hAnsi="Times New Roman" w:eastAsia="仿宋_GB2312" w:cs="Times New Roman"/>
          <w:sz w:val="32"/>
          <w:szCs w:val="32"/>
        </w:rPr>
        <w:t>项目的实施包括制作大会伴手礼、设计制作致辞推介PPT、印制宣传画册、文件资料等会议材料。本次活动产生费用271688.6元，财政拨付271688.6元，单位执行到位271688.6元。项目资金使用、拨付符合国家财经法规、财务管理制度及有关专项资金管理制度办法规定和审批程序。</w:t>
      </w:r>
      <w:r>
        <w:rPr>
          <w:rFonts w:hint="eastAsia" w:ascii="仿宋_GB2312" w:hAnsi="Times New Roman" w:eastAsia="仿宋_GB2312" w:cs="Times New Roman"/>
          <w:color w:val="000000"/>
          <w:sz w:val="32"/>
          <w:szCs w:val="32"/>
        </w:rPr>
        <w:t>绩效分析得分9分。</w:t>
      </w:r>
    </w:p>
    <w:p w14:paraId="4D671353">
      <w:pPr>
        <w:widowControl w:val="0"/>
        <w:spacing w:after="0" w:line="600" w:lineRule="exact"/>
        <w:ind w:left="0" w:leftChars="0" w:firstLine="640" w:firstLineChars="200"/>
        <w:jc w:val="both"/>
        <w:rPr>
          <w:rFonts w:ascii="仿宋_GB2312" w:hAnsi="Times New Roman" w:eastAsia="仿宋_GB2312" w:cs="Arial"/>
          <w:kern w:val="2"/>
          <w:sz w:val="32"/>
          <w:szCs w:val="32"/>
          <w:lang w:val="en-US" w:eastAsia="zh-CN" w:bidi="ar-SA"/>
        </w:rPr>
      </w:pPr>
      <w:r>
        <w:rPr>
          <w:rFonts w:hint="eastAsia" w:ascii="楷体_GB2312" w:hAnsi="楷体_GB2312" w:eastAsia="楷体_GB2312" w:cs="楷体_GB2312"/>
          <w:kern w:val="2"/>
          <w:sz w:val="32"/>
          <w:szCs w:val="32"/>
          <w:lang w:val="en-US" w:eastAsia="zh-CN" w:bidi="ar-SA"/>
        </w:rPr>
        <w:t>4.项目结果。</w:t>
      </w:r>
    </w:p>
    <w:p w14:paraId="7413C13D">
      <w:pPr>
        <w:widowControl w:val="0"/>
        <w:spacing w:after="0" w:line="600" w:lineRule="exact"/>
        <w:ind w:left="0" w:leftChars="0" w:firstLine="640" w:firstLineChars="200"/>
        <w:jc w:val="both"/>
        <w:rPr>
          <w:rFonts w:ascii="仿宋_GB2312" w:hAnsi="Times New Roman" w:eastAsia="仿宋_GB2312" w:cs="Arial"/>
          <w:kern w:val="2"/>
          <w:sz w:val="32"/>
          <w:szCs w:val="32"/>
          <w:lang w:val="en-US" w:eastAsia="zh-CN" w:bidi="ar-SA"/>
        </w:rPr>
      </w:pPr>
      <w:r>
        <w:rPr>
          <w:rFonts w:hint="eastAsia" w:ascii="仿宋_GB2312" w:hAnsi="仿宋_GB2312" w:eastAsia="仿宋_GB2312" w:cs="仿宋_GB2312"/>
          <w:kern w:val="2"/>
          <w:sz w:val="32"/>
          <w:szCs w:val="32"/>
          <w:lang w:val="en-US" w:eastAsia="zh-CN" w:bidi="ar-SA"/>
        </w:rPr>
        <w:t>项目如期、圆满完成。通过大会交流、实地考察、现场推介等，我市扎实开展了物流产业培育和对外推荐活动，达到了预期目标，实施结果与绩效目标相匹配。</w:t>
      </w:r>
      <w:r>
        <w:rPr>
          <w:rFonts w:hint="eastAsia" w:ascii="仿宋_GB2312" w:hAnsi="Times New Roman" w:eastAsia="仿宋_GB2312" w:cs="Times New Roman"/>
          <w:color w:val="000000"/>
          <w:kern w:val="2"/>
          <w:sz w:val="32"/>
          <w:szCs w:val="32"/>
          <w:lang w:val="en-US" w:eastAsia="zh-CN" w:bidi="ar-SA"/>
        </w:rPr>
        <w:t>绩效分析得分9分。</w:t>
      </w:r>
    </w:p>
    <w:p w14:paraId="3BB8147E">
      <w:pPr>
        <w:adjustRightInd w:val="0"/>
        <w:snapToGrid w:val="0"/>
        <w:spacing w:line="578" w:lineRule="exact"/>
        <w:ind w:firstLine="643" w:firstLineChars="200"/>
        <w:rPr>
          <w:rFonts w:ascii="仿宋_GB2312" w:hAnsi="Times New Roman" w:eastAsia="仿宋_GB2312" w:cs="Times New Roman"/>
          <w:bCs/>
          <w:color w:val="000000"/>
          <w:sz w:val="32"/>
          <w:szCs w:val="32"/>
        </w:rPr>
      </w:pPr>
      <w:r>
        <w:rPr>
          <w:rFonts w:hint="eastAsia" w:ascii="楷体_GB2312" w:hAnsi="宋体" w:eastAsia="楷体_GB2312" w:cs="Times New Roman"/>
          <w:b/>
          <w:sz w:val="32"/>
          <w:szCs w:val="32"/>
          <w:lang w:val="zh-CN"/>
        </w:rPr>
        <w:t>（二）</w:t>
      </w:r>
      <w:r>
        <w:rPr>
          <w:rFonts w:hint="eastAsia" w:ascii="楷体_GB2312" w:hAnsi="宋体" w:eastAsia="楷体_GB2312" w:cs="Times New Roman"/>
          <w:b/>
          <w:sz w:val="32"/>
          <w:szCs w:val="32"/>
        </w:rPr>
        <w:t>专用指标</w:t>
      </w:r>
      <w:r>
        <w:rPr>
          <w:rFonts w:ascii="Times New Roman" w:hAnsi="Times New Roman" w:eastAsia="楷体_GB2312" w:cs="Times New Roman"/>
          <w:b/>
          <w:bCs/>
          <w:color w:val="000000"/>
          <w:kern w:val="0"/>
          <w:sz w:val="32"/>
          <w:szCs w:val="32"/>
          <w:shd w:val="clear" w:color="auto" w:fill="FFFFFF"/>
          <w:lang w:val="zh-CN"/>
        </w:rPr>
        <w:t>绩效分析。</w:t>
      </w:r>
    </w:p>
    <w:p w14:paraId="21A61830">
      <w:pPr>
        <w:adjustRightInd w:val="0"/>
        <w:snapToGrid w:val="0"/>
        <w:spacing w:line="578" w:lineRule="exact"/>
        <w:ind w:firstLine="640" w:firstLineChars="200"/>
        <w:rPr>
          <w:rFonts w:ascii="仿宋_GB2312" w:hAnsi="Times New Roman" w:eastAsia="仿宋_GB2312" w:cs="Times New Roman"/>
          <w:bCs/>
          <w:color w:val="000000"/>
          <w:sz w:val="32"/>
          <w:szCs w:val="32"/>
        </w:rPr>
      </w:pPr>
      <w:r>
        <w:rPr>
          <w:rFonts w:hint="eastAsia" w:ascii="仿宋_GB2312" w:hAnsi="仿宋_GB2312" w:eastAsia="仿宋_GB2312" w:cs="仿宋_GB2312"/>
          <w:sz w:val="32"/>
          <w:szCs w:val="32"/>
        </w:rPr>
        <w:t>现代物流是延伸产业链、提升价值链、打造供应链的重要支撑，在建设现代化经济体系中发挥着先导性、基础性、战略性作用。党的二十大报告提出，建设高效顺畅的流通体系，降低物流成本。国务院《“十四五”现代物流发展规划》聚焦构建供需适配、内外联通、安全高效、智慧绿色的现代物流体系，作出一系列具有创新性、前瞻性、可操作性的重大战略谋划。广元，位于成都、西安、重庆、兰州四大城市的几何中心，是国家规划建设的全国性综合交通枢纽城市、四川省第二大铁路枢纽，是连接“一带一路”、西部陆海新通道和长江经济带的重要支点城市，是四川省明确支持建设的成渝地区北向重要门户枢纽和能源粮食安全保障基地。近年来，广元市大力实施“1345”发展战略，高质量推进广元国际铁路港、广元公路物流港、广元嘉陵江物流港、广元航空物流港建设，全力培育创建国家物流枢纽承载城市，积极融入国家“通道+枢纽+网络”的现代物流运行体系，加快建设川陕甘结合部现代化中心城市。举办 2023 中国（广元）物流产业发展大会、积极开展</w:t>
      </w:r>
      <w:r>
        <w:rPr>
          <w:rFonts w:hint="eastAsia" w:ascii="Times New Roman" w:hAnsi="Times New Roman" w:eastAsia="仿宋_GB2312" w:cs="Arial"/>
          <w:sz w:val="32"/>
          <w:szCs w:val="32"/>
        </w:rPr>
        <w:t>物流产业培育和对外推荐活动，是深入贯彻落实习近平新时代中国特色社会主义思想和习近平总书记来川来广视察重要指示精神，认真落实党的二十大和党中央、国务院工作部署，加速推进通道优势向经济优势转变的重要举措。</w:t>
      </w:r>
      <w:r>
        <w:rPr>
          <w:rFonts w:hint="eastAsia" w:ascii="仿宋_GB2312" w:hAnsi="仿宋_GB2312" w:eastAsia="仿宋_GB2312" w:cs="仿宋_GB2312"/>
          <w:sz w:val="32"/>
          <w:szCs w:val="32"/>
        </w:rPr>
        <w:t>绩效分析得分30分。</w:t>
      </w:r>
    </w:p>
    <w:p w14:paraId="63A54425">
      <w:pPr>
        <w:spacing w:line="578" w:lineRule="exact"/>
        <w:ind w:firstLine="640"/>
        <w:rPr>
          <w:rFonts w:ascii="Times New Roman" w:hAnsi="Times New Roman" w:eastAsia="仿宋_GB2312" w:cs="Times New Roman"/>
          <w:sz w:val="32"/>
          <w:szCs w:val="32"/>
          <w:lang w:val="zh-CN"/>
        </w:rPr>
      </w:pPr>
      <w:r>
        <w:rPr>
          <w:rFonts w:hint="eastAsia" w:ascii="楷体_GB2312" w:hAnsi="宋体" w:eastAsia="楷体_GB2312" w:cs="Times New Roman"/>
          <w:b/>
          <w:sz w:val="32"/>
          <w:szCs w:val="32"/>
          <w:lang w:val="zh-CN"/>
        </w:rPr>
        <w:t>（三）</w:t>
      </w:r>
      <w:r>
        <w:rPr>
          <w:rFonts w:hint="eastAsia" w:ascii="楷体_GB2312" w:hAnsi="宋体" w:eastAsia="楷体_GB2312" w:cs="Times New Roman"/>
          <w:b/>
          <w:sz w:val="32"/>
          <w:szCs w:val="32"/>
        </w:rPr>
        <w:t>个性指标</w:t>
      </w:r>
      <w:r>
        <w:rPr>
          <w:rFonts w:ascii="Times New Roman" w:hAnsi="Times New Roman" w:eastAsia="楷体_GB2312" w:cs="Times New Roman"/>
          <w:b/>
          <w:bCs/>
          <w:color w:val="000000"/>
          <w:kern w:val="0"/>
          <w:sz w:val="32"/>
          <w:szCs w:val="32"/>
          <w:shd w:val="clear" w:color="auto" w:fill="FFFFFF"/>
          <w:lang w:val="zh-CN"/>
        </w:rPr>
        <w:t>绩效分析。</w:t>
      </w:r>
    </w:p>
    <w:p w14:paraId="5BFABC54">
      <w:pPr>
        <w:spacing w:line="578" w:lineRule="exact"/>
        <w:ind w:firstLine="640"/>
        <w:rPr>
          <w:rFonts w:ascii="Times New Roman" w:hAnsi="Times New Roman" w:eastAsia="仿宋_GB2312" w:cs="Times New Roman"/>
          <w:sz w:val="32"/>
          <w:szCs w:val="32"/>
          <w:lang w:val="zh-CN"/>
        </w:rPr>
      </w:pPr>
      <w:r>
        <w:rPr>
          <w:rFonts w:hint="eastAsia" w:ascii="Times New Roman" w:hAnsi="Times New Roman" w:eastAsia="仿宋_GB2312" w:cs="Arial"/>
          <w:sz w:val="32"/>
          <w:szCs w:val="32"/>
        </w:rPr>
        <w:t>2023年10月19日至20日，2023中国（广元）物流产业发展大会成功举办，会上通过致辞PPT和交流发言等推介了广元，大会邀请国家部委、省直厅局代表500余人参会，分别与中铁快运股份有限公司等9家行业龙头签订战略合作协议，中煤广元煤炭储备基地、北大荒西南粮食贸易中心等6个功能性平台授牌落地，签约广元·中农智慧物流产业园、川陕甘智慧商贸物流产业园等89个物流产业及关联项目“组团”落地广元，被中国物流与采购联合会授予“全国物流发展创新城市”称号。</w:t>
      </w:r>
      <w:r>
        <w:rPr>
          <w:rFonts w:hint="eastAsia" w:ascii="仿宋_GB2312" w:hAnsi="仿宋_GB2312" w:eastAsia="仿宋_GB2312" w:cs="仿宋_GB2312"/>
          <w:sz w:val="32"/>
          <w:szCs w:val="32"/>
        </w:rPr>
        <w:t>绩效分析得分16分。</w:t>
      </w:r>
    </w:p>
    <w:p w14:paraId="1FB01E8A">
      <w:pPr>
        <w:adjustRightInd w:val="0"/>
        <w:snapToGrid w:val="0"/>
        <w:spacing w:line="576" w:lineRule="exact"/>
        <w:ind w:firstLine="720"/>
        <w:rPr>
          <w:rFonts w:ascii="仿宋_GB2312" w:hAnsi="Times New Roman" w:eastAsia="仿宋_GB2312" w:cs="仿宋_GB2312"/>
          <w:sz w:val="32"/>
          <w:szCs w:val="32"/>
        </w:rPr>
      </w:pPr>
      <w:r>
        <w:rPr>
          <w:rFonts w:hint="eastAsia" w:ascii="黑体" w:hAnsi="宋体" w:eastAsia="黑体" w:cs="Times New Roman"/>
          <w:sz w:val="32"/>
          <w:szCs w:val="32"/>
        </w:rPr>
        <w:t>四、评价结论</w:t>
      </w:r>
    </w:p>
    <w:p w14:paraId="14296ECA">
      <w:pPr>
        <w:adjustRightInd w:val="0"/>
        <w:snapToGrid w:val="0"/>
        <w:spacing w:line="576" w:lineRule="exact"/>
        <w:ind w:firstLine="720"/>
        <w:rPr>
          <w:rFonts w:ascii="仿宋_GB2312" w:hAnsi="Times New Roman" w:eastAsia="仿宋_GB2312" w:cs="仿宋_GB2312"/>
          <w:sz w:val="32"/>
          <w:szCs w:val="32"/>
        </w:rPr>
      </w:pPr>
      <w:r>
        <w:rPr>
          <w:rFonts w:hint="eastAsia" w:ascii="Times New Roman" w:hAnsi="Times New Roman" w:eastAsia="仿宋_GB2312" w:cs="Arial"/>
          <w:sz w:val="32"/>
          <w:szCs w:val="32"/>
        </w:rPr>
        <w:t>我市依托2023中国（广元）物流产业发展大会召开，扎实开展物流产业培育和对外推荐活动，取得预期效果，得到社会各界广泛好评，极大提升了广元知名度和影响力，为我市加快发展现代物流产业、加速推进通道优势向经济优势转变，搭建了平台、营造了氛围。</w:t>
      </w:r>
      <w:r>
        <w:rPr>
          <w:rFonts w:hint="eastAsia" w:ascii="仿宋_GB2312" w:hAnsi="仿宋_GB2312" w:eastAsia="仿宋_GB2312" w:cs="仿宋_GB2312"/>
          <w:sz w:val="32"/>
          <w:szCs w:val="32"/>
        </w:rPr>
        <w:t>绩效分析评分100分。</w:t>
      </w:r>
    </w:p>
    <w:p w14:paraId="53C1C0A9">
      <w:pPr>
        <w:widowControl/>
        <w:tabs>
          <w:tab w:val="left" w:pos="2160"/>
        </w:tabs>
        <w:spacing w:line="600" w:lineRule="exact"/>
        <w:ind w:firstLine="640" w:firstLineChars="200"/>
        <w:jc w:val="left"/>
        <w:rPr>
          <w:rFonts w:ascii="黑体" w:hAnsi="宋体" w:eastAsia="黑体" w:cs="Times New Roman"/>
          <w:kern w:val="0"/>
          <w:position w:val="3"/>
          <w:sz w:val="32"/>
          <w:szCs w:val="32"/>
          <w:lang w:val="en-US" w:eastAsia="zh-CN" w:bidi="ar-SA"/>
        </w:rPr>
      </w:pPr>
      <w:r>
        <w:rPr>
          <w:rFonts w:hint="eastAsia" w:ascii="黑体" w:hAnsi="宋体" w:eastAsia="黑体" w:cs="Times New Roman"/>
          <w:kern w:val="0"/>
          <w:position w:val="3"/>
          <w:sz w:val="32"/>
          <w:szCs w:val="32"/>
          <w:lang w:val="en-US" w:eastAsia="zh-CN" w:bidi="ar-SA"/>
        </w:rPr>
        <w:t>五、存在主要问题</w:t>
      </w:r>
    </w:p>
    <w:p w14:paraId="41A4C80C">
      <w:pPr>
        <w:spacing w:line="578" w:lineRule="exact"/>
        <w:ind w:firstLine="640"/>
        <w:rPr>
          <w:rFonts w:ascii="Times New Roman" w:hAnsi="Times New Roman" w:eastAsia="仿宋_GB2312" w:cs="Times New Roman"/>
          <w:sz w:val="32"/>
          <w:szCs w:val="32"/>
          <w:lang w:val="zh-CN"/>
        </w:rPr>
      </w:pPr>
      <w:r>
        <w:rPr>
          <w:rFonts w:hint="eastAsia" w:ascii="Times New Roman" w:hAnsi="Times New Roman" w:eastAsia="仿宋_GB2312" w:cs="Times New Roman"/>
          <w:sz w:val="32"/>
          <w:szCs w:val="32"/>
          <w:lang w:val="zh-CN"/>
        </w:rPr>
        <w:t>无。</w:t>
      </w:r>
    </w:p>
    <w:p w14:paraId="664CB505">
      <w:pPr>
        <w:widowControl/>
        <w:tabs>
          <w:tab w:val="left" w:pos="2160"/>
        </w:tabs>
        <w:spacing w:line="600" w:lineRule="exact"/>
        <w:ind w:firstLine="640" w:firstLineChars="200"/>
        <w:jc w:val="left"/>
        <w:rPr>
          <w:rFonts w:ascii="黑体" w:hAnsi="宋体" w:eastAsia="黑体" w:cs="Times New Roman"/>
          <w:kern w:val="0"/>
          <w:position w:val="3"/>
          <w:sz w:val="32"/>
          <w:szCs w:val="32"/>
          <w:lang w:val="zh-CN" w:eastAsia="zh-CN" w:bidi="ar-SA"/>
        </w:rPr>
      </w:pPr>
      <w:r>
        <w:rPr>
          <w:rFonts w:hint="eastAsia" w:ascii="黑体" w:hAnsi="宋体" w:eastAsia="黑体" w:cs="Times New Roman"/>
          <w:kern w:val="0"/>
          <w:position w:val="3"/>
          <w:sz w:val="32"/>
          <w:szCs w:val="32"/>
          <w:lang w:val="zh-CN" w:eastAsia="zh-CN" w:bidi="ar-SA"/>
        </w:rPr>
        <w:t>六、改进建议</w:t>
      </w:r>
    </w:p>
    <w:p w14:paraId="2C549DD4">
      <w:pPr>
        <w:overflowPunct w:val="0"/>
        <w:adjustRightInd w:val="0"/>
        <w:snapToGrid w:val="0"/>
        <w:spacing w:line="600" w:lineRule="exact"/>
        <w:ind w:firstLine="640" w:firstLineChars="200"/>
        <w:textAlignment w:val="bottom"/>
        <w:rPr>
          <w:rFonts w:ascii="仿宋_GB2312" w:hAnsi="Times New Roman" w:eastAsia="仿宋_GB2312" w:cs="仿宋_GB2312"/>
          <w:sz w:val="32"/>
          <w:szCs w:val="32"/>
        </w:rPr>
      </w:pPr>
      <w:r>
        <w:rPr>
          <w:rFonts w:hint="eastAsia" w:ascii="仿宋_GB2312" w:hAnsi="Times New Roman" w:eastAsia="仿宋_GB2312" w:cs="Times New Roman"/>
          <w:sz w:val="32"/>
          <w:szCs w:val="32"/>
        </w:rPr>
        <w:t>无。</w:t>
      </w:r>
    </w:p>
    <w:p w14:paraId="1FB06C55">
      <w:pPr>
        <w:snapToGrid w:val="0"/>
        <w:spacing w:line="578" w:lineRule="exact"/>
        <w:rPr>
          <w:rFonts w:ascii="Times New Roman" w:hAnsi="Times New Roman" w:eastAsia="仿宋_GB2312" w:cs="Times New Roman"/>
          <w:color w:val="000000"/>
          <w:kern w:val="0"/>
          <w:sz w:val="32"/>
          <w:szCs w:val="32"/>
          <w:shd w:val="clear" w:color="auto" w:fill="FFFFFF"/>
          <w:lang w:val="zh-CN"/>
        </w:rPr>
      </w:pPr>
    </w:p>
    <w:p w14:paraId="7B0C35B4">
      <w:pPr>
        <w:snapToGrid w:val="0"/>
        <w:spacing w:line="578" w:lineRule="exact"/>
        <w:ind w:firstLine="640" w:firstLineChars="200"/>
        <w:rPr>
          <w:rFonts w:ascii="Times New Roman" w:hAnsi="Times New Roman" w:eastAsia="仿宋_GB2312" w:cs="Times New Roman"/>
          <w:color w:val="000000"/>
          <w:kern w:val="0"/>
          <w:sz w:val="32"/>
          <w:szCs w:val="32"/>
          <w:shd w:val="clear" w:color="auto" w:fill="FFFFFF"/>
          <w:lang w:val="zh-CN"/>
        </w:rPr>
      </w:pPr>
      <w:r>
        <w:rPr>
          <w:rFonts w:hint="eastAsia" w:ascii="Times New Roman" w:hAnsi="Times New Roman" w:eastAsia="仿宋_GB2312" w:cs="Times New Roman"/>
          <w:color w:val="000000"/>
          <w:kern w:val="0"/>
          <w:sz w:val="32"/>
          <w:szCs w:val="32"/>
          <w:shd w:val="clear" w:color="auto" w:fill="FFFFFF"/>
        </w:rPr>
        <w:t>附表：专项预算项目绩效目标完成情况自评表</w:t>
      </w:r>
      <w:r>
        <w:rPr>
          <w:rFonts w:hint="eastAsia" w:ascii="Times New Roman" w:hAnsi="Times New Roman" w:eastAsia="仿宋_GB2312" w:cs="Times New Roman"/>
          <w:color w:val="000000"/>
          <w:kern w:val="0"/>
          <w:sz w:val="32"/>
          <w:szCs w:val="32"/>
          <w:shd w:val="clear" w:color="auto" w:fill="FFFFFF"/>
          <w:lang w:val="zh-CN"/>
        </w:rPr>
        <w:br w:type="page"/>
      </w:r>
    </w:p>
    <w:p w14:paraId="61362D2B">
      <w:pPr>
        <w:widowControl w:val="0"/>
        <w:spacing w:after="0" w:line="578" w:lineRule="exact"/>
        <w:ind w:left="0" w:leftChars="0" w:firstLine="0" w:firstLineChars="0"/>
        <w:jc w:val="both"/>
        <w:rPr>
          <w:rFonts w:ascii="Times New Roman" w:hAnsi="Times New Roman" w:eastAsia="黑体" w:cs="Times New Roman"/>
          <w:kern w:val="2"/>
          <w:sz w:val="32"/>
          <w:szCs w:val="24"/>
          <w:lang w:val="en-US" w:eastAsia="zh-CN" w:bidi="ar-SA"/>
        </w:rPr>
      </w:pPr>
      <w:r>
        <w:rPr>
          <w:rFonts w:ascii="Times New Roman" w:hAnsi="Times New Roman" w:eastAsia="黑体" w:cs="Times New Roman"/>
          <w:kern w:val="2"/>
          <w:sz w:val="32"/>
          <w:szCs w:val="24"/>
          <w:lang w:val="en-US" w:eastAsia="zh-CN" w:bidi="ar-SA"/>
        </w:rPr>
        <w:t>附表</w:t>
      </w:r>
    </w:p>
    <w:tbl>
      <w:tblPr>
        <w:tblStyle w:val="20"/>
        <w:tblW w:w="11070" w:type="dxa"/>
        <w:jc w:val="center"/>
        <w:tblLayout w:type="fixed"/>
        <w:tblCellMar>
          <w:top w:w="15" w:type="dxa"/>
          <w:left w:w="15" w:type="dxa"/>
          <w:bottom w:w="15" w:type="dxa"/>
          <w:right w:w="15" w:type="dxa"/>
        </w:tblCellMar>
      </w:tblPr>
      <w:tblGrid>
        <w:gridCol w:w="652"/>
        <w:gridCol w:w="663"/>
        <w:gridCol w:w="1198"/>
        <w:gridCol w:w="1445"/>
        <w:gridCol w:w="633"/>
        <w:gridCol w:w="2671"/>
        <w:gridCol w:w="634"/>
        <w:gridCol w:w="1197"/>
        <w:gridCol w:w="1977"/>
      </w:tblGrid>
      <w:tr w14:paraId="162BC5D0">
        <w:tblPrEx>
          <w:tblCellMar>
            <w:top w:w="15" w:type="dxa"/>
            <w:left w:w="15" w:type="dxa"/>
            <w:bottom w:w="15" w:type="dxa"/>
            <w:right w:w="15" w:type="dxa"/>
          </w:tblCellMar>
        </w:tblPrEx>
        <w:trPr>
          <w:trHeight w:val="576" w:hRule="atLeast"/>
          <w:jc w:val="center"/>
        </w:trPr>
        <w:tc>
          <w:tcPr>
            <w:tcW w:w="11070" w:type="dxa"/>
            <w:gridSpan w:val="9"/>
            <w:shd w:val="clear" w:color="auto" w:fill="auto"/>
            <w:vAlign w:val="center"/>
          </w:tcPr>
          <w:p w14:paraId="6D534530">
            <w:pPr>
              <w:keepNext w:val="0"/>
              <w:keepLines w:val="0"/>
              <w:widowControl/>
              <w:suppressLineNumbers w:val="0"/>
              <w:spacing w:before="0" w:beforeAutospacing="0" w:after="0" w:afterAutospacing="0" w:line="600" w:lineRule="exact"/>
              <w:ind w:left="0" w:right="0"/>
              <w:jc w:val="center"/>
              <w:textAlignment w:val="center"/>
              <w:rPr>
                <w:rFonts w:hint="default" w:ascii="黑体" w:hAnsi="宋体" w:eastAsia="黑体" w:cs="黑体"/>
                <w:color w:val="000000"/>
                <w:sz w:val="30"/>
                <w:szCs w:val="30"/>
              </w:rPr>
            </w:pPr>
            <w:r>
              <w:rPr>
                <w:rFonts w:hint="eastAsia" w:ascii="方正小标宋简体" w:hAnsi="方正小标宋简体" w:eastAsia="方正小标宋简体" w:cs="方正小标宋简体"/>
                <w:color w:val="000000"/>
                <w:kern w:val="0"/>
                <w:sz w:val="40"/>
                <w:szCs w:val="40"/>
              </w:rPr>
              <w:t>专项预算项目绩效目标完成情况自评表</w:t>
            </w:r>
          </w:p>
        </w:tc>
      </w:tr>
      <w:tr w14:paraId="6D246175">
        <w:tblPrEx>
          <w:tblCellMar>
            <w:top w:w="15" w:type="dxa"/>
            <w:left w:w="15" w:type="dxa"/>
            <w:bottom w:w="15" w:type="dxa"/>
            <w:right w:w="15" w:type="dxa"/>
          </w:tblCellMar>
        </w:tblPrEx>
        <w:trPr>
          <w:trHeight w:val="23" w:hRule="atLeast"/>
          <w:jc w:val="center"/>
        </w:trPr>
        <w:tc>
          <w:tcPr>
            <w:tcW w:w="3958"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1ABAFBCC">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宋体"/>
                <w:color w:val="000000"/>
                <w:sz w:val="24"/>
                <w:szCs w:val="24"/>
              </w:rPr>
            </w:pPr>
            <w:r>
              <w:rPr>
                <w:rFonts w:hint="default" w:ascii="宋体" w:hAnsi="宋体" w:eastAsia="宋体" w:cs="宋体"/>
                <w:color w:val="000000"/>
                <w:sz w:val="24"/>
                <w:szCs w:val="24"/>
              </w:rPr>
              <w:t>项目名称</w:t>
            </w:r>
          </w:p>
        </w:tc>
        <w:tc>
          <w:tcPr>
            <w:tcW w:w="7112"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1A0B4427">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宋体"/>
                <w:color w:val="000000"/>
                <w:sz w:val="24"/>
                <w:szCs w:val="24"/>
              </w:rPr>
            </w:pPr>
            <w:r>
              <w:rPr>
                <w:rFonts w:hint="eastAsia" w:ascii="宋体" w:hAnsi="宋体" w:eastAsia="宋体" w:cs="宋体"/>
                <w:color w:val="000000"/>
                <w:sz w:val="24"/>
                <w:szCs w:val="24"/>
              </w:rPr>
              <w:t>广元市现代物流产业培育和对外推荐活动经费</w:t>
            </w:r>
          </w:p>
        </w:tc>
      </w:tr>
      <w:tr w14:paraId="0E46E3B3">
        <w:tblPrEx>
          <w:tblCellMar>
            <w:top w:w="15" w:type="dxa"/>
            <w:left w:w="15" w:type="dxa"/>
            <w:bottom w:w="15" w:type="dxa"/>
            <w:right w:w="15" w:type="dxa"/>
          </w:tblCellMar>
        </w:tblPrEx>
        <w:trPr>
          <w:trHeight w:val="23" w:hRule="atLeast"/>
          <w:jc w:val="center"/>
        </w:trPr>
        <w:tc>
          <w:tcPr>
            <w:tcW w:w="3958"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0C1D99C1">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宋体"/>
                <w:color w:val="000000"/>
                <w:sz w:val="24"/>
                <w:szCs w:val="24"/>
              </w:rPr>
            </w:pPr>
            <w:r>
              <w:rPr>
                <w:rFonts w:hint="default" w:ascii="宋体" w:hAnsi="宋体" w:eastAsia="宋体" w:cs="宋体"/>
                <w:color w:val="000000"/>
                <w:sz w:val="24"/>
                <w:szCs w:val="24"/>
              </w:rPr>
              <w:t>预算单位</w:t>
            </w:r>
          </w:p>
        </w:tc>
        <w:tc>
          <w:tcPr>
            <w:tcW w:w="7112"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5387412">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宋体"/>
                <w:color w:val="000000"/>
                <w:sz w:val="24"/>
                <w:szCs w:val="24"/>
              </w:rPr>
            </w:pPr>
            <w:r>
              <w:rPr>
                <w:rFonts w:hint="eastAsia" w:ascii="宋体" w:hAnsi="宋体" w:eastAsia="宋体" w:cs="宋体"/>
                <w:color w:val="000000"/>
                <w:sz w:val="24"/>
                <w:szCs w:val="24"/>
              </w:rPr>
              <w:t>广元市发展和改革委员会</w:t>
            </w:r>
          </w:p>
        </w:tc>
      </w:tr>
      <w:tr w14:paraId="57509D3B">
        <w:tblPrEx>
          <w:tblCellMar>
            <w:top w:w="15" w:type="dxa"/>
            <w:left w:w="15" w:type="dxa"/>
            <w:bottom w:w="15" w:type="dxa"/>
            <w:right w:w="15" w:type="dxa"/>
          </w:tblCellMar>
        </w:tblPrEx>
        <w:trPr>
          <w:trHeight w:val="23" w:hRule="atLeast"/>
          <w:jc w:val="center"/>
        </w:trPr>
        <w:tc>
          <w:tcPr>
            <w:tcW w:w="3958"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5FC38F03">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宋体"/>
                <w:color w:val="000000"/>
                <w:sz w:val="24"/>
                <w:szCs w:val="24"/>
              </w:rPr>
            </w:pPr>
            <w:r>
              <w:rPr>
                <w:rFonts w:hint="default" w:ascii="宋体" w:hAnsi="宋体" w:eastAsia="宋体" w:cs="宋体"/>
                <w:color w:val="000000"/>
                <w:sz w:val="24"/>
                <w:szCs w:val="24"/>
              </w:rPr>
              <w:t>项目类型</w:t>
            </w:r>
          </w:p>
        </w:tc>
        <w:tc>
          <w:tcPr>
            <w:tcW w:w="7112"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2D8450FC">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宋体"/>
                <w:color w:val="000000"/>
                <w:sz w:val="24"/>
                <w:szCs w:val="24"/>
              </w:rPr>
            </w:pPr>
            <w:r>
              <w:rPr>
                <w:rFonts w:hint="eastAsia" w:ascii="宋体" w:hAnsi="宋体" w:eastAsia="宋体" w:cs="宋体"/>
                <w:color w:val="000000"/>
                <w:sz w:val="24"/>
                <w:szCs w:val="24"/>
              </w:rPr>
              <w:t>一次性项目</w:t>
            </w:r>
          </w:p>
        </w:tc>
      </w:tr>
      <w:tr w14:paraId="15E0B4E3">
        <w:tblPrEx>
          <w:tblCellMar>
            <w:top w:w="15" w:type="dxa"/>
            <w:left w:w="15" w:type="dxa"/>
            <w:bottom w:w="15" w:type="dxa"/>
            <w:right w:w="15" w:type="dxa"/>
          </w:tblCellMar>
        </w:tblPrEx>
        <w:trPr>
          <w:trHeight w:val="23" w:hRule="atLeast"/>
          <w:jc w:val="center"/>
        </w:trPr>
        <w:tc>
          <w:tcPr>
            <w:tcW w:w="65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08D8733">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项目 概况</w:t>
            </w:r>
          </w:p>
        </w:tc>
        <w:tc>
          <w:tcPr>
            <w:tcW w:w="3306"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A7012AF">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宋体"/>
                <w:color w:val="000000"/>
                <w:kern w:val="0"/>
                <w:sz w:val="24"/>
                <w:szCs w:val="24"/>
              </w:rPr>
            </w:pPr>
            <w:r>
              <w:rPr>
                <w:rFonts w:hint="default" w:ascii="宋体" w:hAnsi="宋体" w:eastAsia="宋体" w:cs="宋体"/>
                <w:color w:val="000000"/>
                <w:kern w:val="0"/>
                <w:sz w:val="24"/>
                <w:szCs w:val="24"/>
              </w:rPr>
              <w:t>中长期规划（名称、文号，仅指</w:t>
            </w:r>
          </w:p>
          <w:p w14:paraId="0174629F">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常年项目）</w:t>
            </w:r>
          </w:p>
        </w:tc>
        <w:tc>
          <w:tcPr>
            <w:tcW w:w="7112"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5D3137E3">
            <w:pPr>
              <w:keepNext w:val="0"/>
              <w:keepLines w:val="0"/>
              <w:suppressLineNumbers w:val="0"/>
              <w:spacing w:before="0" w:beforeAutospacing="0" w:after="0" w:afterAutospacing="0" w:line="300" w:lineRule="exact"/>
              <w:ind w:left="0" w:right="0"/>
              <w:jc w:val="left"/>
              <w:rPr>
                <w:rFonts w:hint="default" w:ascii="宋体" w:hAnsi="宋体" w:eastAsia="宋体" w:cs="宋体"/>
                <w:color w:val="000000"/>
                <w:sz w:val="24"/>
                <w:szCs w:val="24"/>
              </w:rPr>
            </w:pPr>
          </w:p>
        </w:tc>
      </w:tr>
      <w:tr w14:paraId="6B7060E9">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29E363">
            <w:pPr>
              <w:keepNext w:val="0"/>
              <w:keepLines w:val="0"/>
              <w:suppressLineNumbers w:val="0"/>
              <w:spacing w:before="0" w:beforeAutospacing="0" w:after="0" w:afterAutospacing="0" w:line="300" w:lineRule="exact"/>
              <w:ind w:left="0" w:right="0"/>
              <w:rPr>
                <w:rFonts w:hint="default" w:ascii="宋体" w:hAnsi="宋体" w:eastAsia="宋体" w:cs="宋体"/>
                <w:color w:val="000000"/>
                <w:sz w:val="24"/>
                <w:szCs w:val="24"/>
              </w:rPr>
            </w:pPr>
          </w:p>
        </w:tc>
        <w:tc>
          <w:tcPr>
            <w:tcW w:w="3306"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8769121">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资金管理办法（名称、文号）</w:t>
            </w:r>
          </w:p>
        </w:tc>
        <w:tc>
          <w:tcPr>
            <w:tcW w:w="7112"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5E90E5E5">
            <w:pPr>
              <w:keepNext w:val="0"/>
              <w:keepLines w:val="0"/>
              <w:suppressLineNumbers w:val="0"/>
              <w:spacing w:before="0" w:beforeAutospacing="0" w:after="0" w:afterAutospacing="0" w:line="300" w:lineRule="exact"/>
              <w:ind w:left="0" w:right="0"/>
              <w:jc w:val="left"/>
              <w:rPr>
                <w:rFonts w:hint="default" w:ascii="宋体" w:hAnsi="宋体" w:eastAsia="宋体" w:cs="宋体"/>
                <w:color w:val="000000"/>
                <w:sz w:val="24"/>
                <w:szCs w:val="24"/>
              </w:rPr>
            </w:pPr>
          </w:p>
        </w:tc>
      </w:tr>
      <w:tr w14:paraId="00D2B792">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9D31AB">
            <w:pPr>
              <w:keepNext w:val="0"/>
              <w:keepLines w:val="0"/>
              <w:suppressLineNumbers w:val="0"/>
              <w:spacing w:before="0" w:beforeAutospacing="0" w:after="0" w:afterAutospacing="0" w:line="300" w:lineRule="exact"/>
              <w:ind w:left="0" w:right="0"/>
              <w:rPr>
                <w:rFonts w:hint="default" w:ascii="宋体" w:hAnsi="宋体" w:eastAsia="宋体" w:cs="宋体"/>
                <w:color w:val="000000"/>
                <w:sz w:val="24"/>
                <w:szCs w:val="24"/>
              </w:rPr>
            </w:pPr>
          </w:p>
        </w:tc>
        <w:tc>
          <w:tcPr>
            <w:tcW w:w="3306"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13BBDD1">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绩效分配方式</w:t>
            </w:r>
          </w:p>
        </w:tc>
        <w:tc>
          <w:tcPr>
            <w:tcW w:w="6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6000DB">
            <w:pPr>
              <w:keepNext w:val="0"/>
              <w:keepLines w:val="0"/>
              <w:widowControl/>
              <w:suppressLineNumbers w:val="0"/>
              <w:spacing w:before="0" w:beforeAutospacing="0" w:after="0" w:afterAutospacing="0" w:line="300" w:lineRule="exact"/>
              <w:ind w:left="0" w:right="0"/>
              <w:jc w:val="left"/>
              <w:textAlignment w:val="center"/>
              <w:rPr>
                <w:rFonts w:hint="default" w:ascii="Wingdings 2" w:hAnsi="Wingdings 2" w:eastAsia="Wingdings 2" w:cs="Wingdings 2"/>
                <w:color w:val="000000"/>
                <w:sz w:val="24"/>
                <w:szCs w:val="24"/>
              </w:rPr>
            </w:pPr>
            <w:r>
              <w:rPr>
                <w:rFonts w:hint="default" w:ascii="Wingdings 2" w:hAnsi="Wingdings 2" w:eastAsia="Wingdings 2" w:cs="Wingdings 2"/>
                <w:color w:val="000000"/>
                <w:kern w:val="0"/>
                <w:sz w:val="24"/>
                <w:szCs w:val="24"/>
              </w:rPr>
              <w:t></w:t>
            </w:r>
            <w:r>
              <w:rPr>
                <w:rFonts w:hint="default" w:ascii="宋体" w:hAnsi="宋体" w:eastAsia="宋体" w:cs="宋体"/>
                <w:color w:val="000000"/>
                <w:kern w:val="0"/>
                <w:sz w:val="24"/>
                <w:szCs w:val="24"/>
              </w:rPr>
              <w:t>因素法</w:t>
            </w:r>
          </w:p>
        </w:tc>
        <w:tc>
          <w:tcPr>
            <w:tcW w:w="330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B1B9152">
            <w:pPr>
              <w:keepNext w:val="0"/>
              <w:keepLines w:val="0"/>
              <w:widowControl/>
              <w:suppressLineNumbers w:val="0"/>
              <w:spacing w:before="0" w:beforeAutospacing="0" w:after="0" w:afterAutospacing="0" w:line="300" w:lineRule="exact"/>
              <w:ind w:left="0" w:right="0"/>
              <w:jc w:val="center"/>
              <w:textAlignment w:val="center"/>
              <w:rPr>
                <w:rFonts w:hint="default" w:ascii="Wingdings 2" w:hAnsi="Wingdings 2" w:eastAsia="Wingdings 2" w:cs="Wingdings 2"/>
                <w:color w:val="000000"/>
                <w:sz w:val="24"/>
                <w:szCs w:val="24"/>
              </w:rPr>
            </w:pPr>
            <w:r>
              <w:rPr>
                <w:rFonts w:hint="default" w:ascii="Wingdings 2" w:hAnsi="Wingdings 2" w:eastAsia="Wingdings 2" w:cs="Wingdings 2"/>
                <w:kern w:val="0"/>
                <w:sz w:val="24"/>
                <w:szCs w:val="24"/>
              </w:rPr>
              <w:sym w:font="Wingdings 2" w:char="00A3"/>
            </w:r>
            <w:r>
              <w:rPr>
                <w:rFonts w:hint="default" w:ascii="Wingdings 2" w:hAnsi="Wingdings 2" w:eastAsia="Wingdings 2" w:cs="Wingdings 2"/>
                <w:color w:val="000000"/>
                <w:kern w:val="0"/>
                <w:sz w:val="24"/>
                <w:szCs w:val="24"/>
              </w:rPr>
              <w:t>项目法</w:t>
            </w:r>
          </w:p>
        </w:tc>
        <w:tc>
          <w:tcPr>
            <w:tcW w:w="11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335312">
            <w:pPr>
              <w:keepNext w:val="0"/>
              <w:keepLines w:val="0"/>
              <w:widowControl/>
              <w:suppressLineNumbers w:val="0"/>
              <w:spacing w:before="0" w:beforeAutospacing="0" w:after="0" w:afterAutospacing="0" w:line="300" w:lineRule="exact"/>
              <w:ind w:left="0" w:right="0"/>
              <w:jc w:val="center"/>
              <w:textAlignment w:val="center"/>
              <w:rPr>
                <w:rFonts w:hint="default" w:ascii="Wingdings 2" w:hAnsi="Wingdings 2" w:eastAsia="Wingdings 2" w:cs="Wingdings 2"/>
                <w:color w:val="000000"/>
                <w:sz w:val="24"/>
                <w:szCs w:val="24"/>
              </w:rPr>
            </w:pPr>
            <w:r>
              <w:rPr>
                <w:rFonts w:hint="default" w:ascii="Wingdings 2" w:hAnsi="Wingdings 2" w:eastAsia="Wingdings 2" w:cs="Wingdings 2"/>
                <w:color w:val="000000"/>
                <w:kern w:val="0"/>
                <w:sz w:val="24"/>
                <w:szCs w:val="24"/>
              </w:rPr>
              <w:t></w:t>
            </w:r>
            <w:r>
              <w:rPr>
                <w:rFonts w:hint="default" w:ascii="宋体" w:hAnsi="宋体" w:eastAsia="宋体" w:cs="宋体"/>
                <w:color w:val="000000"/>
                <w:kern w:val="0"/>
                <w:sz w:val="24"/>
                <w:szCs w:val="24"/>
              </w:rPr>
              <w:t>据实据效</w:t>
            </w:r>
          </w:p>
        </w:tc>
        <w:tc>
          <w:tcPr>
            <w:tcW w:w="19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5C740B">
            <w:pPr>
              <w:keepNext w:val="0"/>
              <w:keepLines w:val="0"/>
              <w:widowControl/>
              <w:suppressLineNumbers w:val="0"/>
              <w:spacing w:before="0" w:beforeAutospacing="0" w:after="0" w:afterAutospacing="0" w:line="300" w:lineRule="exact"/>
              <w:ind w:left="0" w:right="0"/>
              <w:jc w:val="center"/>
              <w:textAlignment w:val="center"/>
              <w:rPr>
                <w:rFonts w:hint="default" w:ascii="Wingdings 2" w:hAnsi="Wingdings 2" w:eastAsia="Wingdings 2" w:cs="Wingdings 2"/>
                <w:color w:val="000000"/>
                <w:sz w:val="24"/>
                <w:szCs w:val="24"/>
              </w:rPr>
            </w:pPr>
            <w:r>
              <w:rPr>
                <w:rFonts w:hint="default" w:ascii="Wingdings 2" w:hAnsi="Wingdings 2" w:eastAsia="Wingdings 2" w:cs="Wingdings 2"/>
                <w:color w:val="000000"/>
                <w:kern w:val="0"/>
                <w:sz w:val="24"/>
                <w:szCs w:val="24"/>
              </w:rPr>
              <w:t></w:t>
            </w:r>
            <w:r>
              <w:rPr>
                <w:rFonts w:hint="default" w:ascii="宋体" w:hAnsi="宋体" w:eastAsia="宋体" w:cs="宋体"/>
                <w:color w:val="000000"/>
                <w:kern w:val="0"/>
                <w:sz w:val="24"/>
                <w:szCs w:val="24"/>
              </w:rPr>
              <w:t>因素法与项目法相结合</w:t>
            </w:r>
          </w:p>
        </w:tc>
      </w:tr>
      <w:tr w14:paraId="2012A803">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36B84D">
            <w:pPr>
              <w:keepNext w:val="0"/>
              <w:keepLines w:val="0"/>
              <w:suppressLineNumbers w:val="0"/>
              <w:spacing w:before="0" w:beforeAutospacing="0" w:after="0" w:afterAutospacing="0" w:line="300" w:lineRule="exact"/>
              <w:ind w:left="0" w:right="0"/>
              <w:rPr>
                <w:rFonts w:hint="default" w:ascii="宋体" w:hAnsi="宋体" w:eastAsia="宋体" w:cs="宋体"/>
                <w:color w:val="000000"/>
                <w:sz w:val="24"/>
                <w:szCs w:val="24"/>
              </w:rPr>
            </w:pPr>
          </w:p>
        </w:tc>
        <w:tc>
          <w:tcPr>
            <w:tcW w:w="3306"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DF4F9A4">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立项依据</w:t>
            </w:r>
          </w:p>
        </w:tc>
        <w:tc>
          <w:tcPr>
            <w:tcW w:w="7112"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2482957C">
            <w:pPr>
              <w:keepNext w:val="0"/>
              <w:keepLines w:val="0"/>
              <w:suppressLineNumbers w:val="0"/>
              <w:spacing w:before="0" w:beforeAutospacing="0" w:after="0" w:afterAutospacing="0" w:line="300" w:lineRule="exact"/>
              <w:ind w:left="0" w:right="0"/>
              <w:jc w:val="left"/>
              <w:rPr>
                <w:rFonts w:hint="default" w:ascii="宋体" w:hAnsi="宋体" w:eastAsia="宋体" w:cs="宋体"/>
                <w:color w:val="000000"/>
                <w:sz w:val="24"/>
                <w:szCs w:val="24"/>
              </w:rPr>
            </w:pPr>
          </w:p>
        </w:tc>
      </w:tr>
      <w:tr w14:paraId="7DFE0557">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0DA008">
            <w:pPr>
              <w:keepNext w:val="0"/>
              <w:keepLines w:val="0"/>
              <w:suppressLineNumbers w:val="0"/>
              <w:spacing w:before="0" w:beforeAutospacing="0" w:after="0" w:afterAutospacing="0" w:line="300" w:lineRule="exact"/>
              <w:ind w:left="0" w:right="0"/>
              <w:rPr>
                <w:rFonts w:hint="default" w:ascii="宋体" w:hAnsi="宋体" w:eastAsia="宋体" w:cs="宋体"/>
                <w:color w:val="000000"/>
                <w:sz w:val="24"/>
                <w:szCs w:val="24"/>
              </w:rPr>
            </w:pPr>
          </w:p>
        </w:tc>
        <w:tc>
          <w:tcPr>
            <w:tcW w:w="3306"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4571E61">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使用范围</w:t>
            </w:r>
          </w:p>
        </w:tc>
        <w:tc>
          <w:tcPr>
            <w:tcW w:w="7112"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5F3C0977">
            <w:pPr>
              <w:keepNext w:val="0"/>
              <w:keepLines w:val="0"/>
              <w:suppressLineNumbers w:val="0"/>
              <w:spacing w:before="0" w:beforeAutospacing="0" w:after="0" w:afterAutospacing="0" w:line="300" w:lineRule="exact"/>
              <w:ind w:left="0" w:right="0"/>
              <w:jc w:val="left"/>
              <w:rPr>
                <w:rFonts w:hint="default" w:ascii="宋体" w:hAnsi="宋体" w:eastAsia="宋体" w:cs="宋体"/>
                <w:color w:val="000000"/>
                <w:sz w:val="24"/>
                <w:szCs w:val="24"/>
              </w:rPr>
            </w:pPr>
          </w:p>
        </w:tc>
      </w:tr>
      <w:tr w14:paraId="7B0706C6">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5CF234">
            <w:pPr>
              <w:keepNext w:val="0"/>
              <w:keepLines w:val="0"/>
              <w:suppressLineNumbers w:val="0"/>
              <w:spacing w:before="0" w:beforeAutospacing="0" w:after="0" w:afterAutospacing="0" w:line="300" w:lineRule="exact"/>
              <w:ind w:left="0" w:right="0"/>
              <w:rPr>
                <w:rFonts w:hint="default" w:ascii="宋体" w:hAnsi="宋体" w:eastAsia="宋体" w:cs="宋体"/>
                <w:color w:val="000000"/>
                <w:sz w:val="24"/>
                <w:szCs w:val="24"/>
              </w:rPr>
            </w:pPr>
          </w:p>
        </w:tc>
        <w:tc>
          <w:tcPr>
            <w:tcW w:w="3306"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E86B8C1">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申报（补助）条件</w:t>
            </w:r>
          </w:p>
        </w:tc>
        <w:tc>
          <w:tcPr>
            <w:tcW w:w="7112"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1D70200">
            <w:pPr>
              <w:keepNext w:val="0"/>
              <w:keepLines w:val="0"/>
              <w:suppressLineNumbers w:val="0"/>
              <w:spacing w:before="0" w:beforeAutospacing="0" w:after="0" w:afterAutospacing="0" w:line="300" w:lineRule="exact"/>
              <w:ind w:left="0" w:right="0"/>
              <w:jc w:val="left"/>
              <w:rPr>
                <w:rFonts w:hint="default" w:ascii="宋体" w:hAnsi="宋体" w:eastAsia="宋体" w:cs="宋体"/>
                <w:color w:val="000000"/>
                <w:sz w:val="24"/>
                <w:szCs w:val="24"/>
              </w:rPr>
            </w:pPr>
          </w:p>
        </w:tc>
      </w:tr>
      <w:tr w14:paraId="14BC217B">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C76304">
            <w:pPr>
              <w:keepNext w:val="0"/>
              <w:keepLines w:val="0"/>
              <w:suppressLineNumbers w:val="0"/>
              <w:spacing w:before="0" w:beforeAutospacing="0" w:after="0" w:afterAutospacing="0" w:line="300" w:lineRule="exact"/>
              <w:ind w:left="0" w:right="0"/>
              <w:rPr>
                <w:rFonts w:hint="default" w:ascii="宋体" w:hAnsi="宋体" w:eastAsia="宋体" w:cs="宋体"/>
                <w:color w:val="000000"/>
                <w:sz w:val="24"/>
                <w:szCs w:val="24"/>
              </w:rPr>
            </w:pPr>
          </w:p>
        </w:tc>
        <w:tc>
          <w:tcPr>
            <w:tcW w:w="3306"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CA25FBF">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项目起止年限</w:t>
            </w:r>
          </w:p>
        </w:tc>
        <w:tc>
          <w:tcPr>
            <w:tcW w:w="7112"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3835FDE">
            <w:pPr>
              <w:keepNext w:val="0"/>
              <w:keepLines w:val="0"/>
              <w:suppressLineNumbers w:val="0"/>
              <w:spacing w:before="0" w:beforeAutospacing="0" w:after="0" w:afterAutospacing="0" w:line="300" w:lineRule="exact"/>
              <w:ind w:left="0" w:right="0"/>
              <w:rPr>
                <w:rFonts w:hint="default" w:ascii="宋体" w:hAnsi="宋体" w:eastAsia="宋体" w:cs="宋体"/>
                <w:color w:val="000000"/>
                <w:sz w:val="24"/>
                <w:szCs w:val="24"/>
              </w:rPr>
            </w:pPr>
            <w:r>
              <w:rPr>
                <w:rFonts w:hint="default" w:ascii="宋体" w:hAnsi="宋体" w:eastAsia="宋体" w:cs="宋体"/>
                <w:color w:val="000000"/>
                <w:sz w:val="24"/>
                <w:szCs w:val="24"/>
              </w:rPr>
              <w:t>202</w:t>
            </w:r>
            <w:r>
              <w:rPr>
                <w:rFonts w:hint="eastAsia" w:ascii="宋体" w:hAnsi="宋体" w:eastAsia="宋体" w:cs="宋体"/>
                <w:color w:val="000000"/>
                <w:sz w:val="24"/>
                <w:szCs w:val="24"/>
              </w:rPr>
              <w:t>3</w:t>
            </w:r>
            <w:r>
              <w:rPr>
                <w:rFonts w:hint="default" w:ascii="宋体" w:hAnsi="宋体" w:eastAsia="宋体" w:cs="宋体"/>
                <w:color w:val="000000"/>
                <w:sz w:val="24"/>
                <w:szCs w:val="24"/>
              </w:rPr>
              <w:t>年</w:t>
            </w:r>
            <w:r>
              <w:rPr>
                <w:rFonts w:hint="eastAsia" w:ascii="宋体" w:hAnsi="宋体" w:eastAsia="宋体" w:cs="宋体"/>
                <w:color w:val="000000"/>
                <w:sz w:val="24"/>
                <w:szCs w:val="24"/>
              </w:rPr>
              <w:t>4</w:t>
            </w:r>
            <w:r>
              <w:rPr>
                <w:rFonts w:hint="default" w:ascii="宋体" w:hAnsi="宋体" w:eastAsia="宋体" w:cs="宋体"/>
                <w:color w:val="000000"/>
                <w:sz w:val="24"/>
                <w:szCs w:val="24"/>
              </w:rPr>
              <w:t>月至2023年</w:t>
            </w:r>
            <w:r>
              <w:rPr>
                <w:rFonts w:hint="eastAsia" w:ascii="宋体" w:hAnsi="宋体" w:eastAsia="宋体" w:cs="宋体"/>
                <w:color w:val="000000"/>
                <w:sz w:val="24"/>
                <w:szCs w:val="24"/>
              </w:rPr>
              <w:t>10</w:t>
            </w:r>
            <w:r>
              <w:rPr>
                <w:rFonts w:hint="default" w:ascii="宋体" w:hAnsi="宋体" w:eastAsia="宋体" w:cs="宋体"/>
                <w:color w:val="000000"/>
                <w:sz w:val="24"/>
                <w:szCs w:val="24"/>
              </w:rPr>
              <w:t>月</w:t>
            </w:r>
          </w:p>
        </w:tc>
      </w:tr>
      <w:tr w14:paraId="7B0BCCD9">
        <w:tblPrEx>
          <w:tblCellMar>
            <w:top w:w="15" w:type="dxa"/>
            <w:left w:w="15" w:type="dxa"/>
            <w:bottom w:w="15" w:type="dxa"/>
            <w:right w:w="15" w:type="dxa"/>
          </w:tblCellMar>
        </w:tblPrEx>
        <w:trPr>
          <w:trHeight w:val="23" w:hRule="atLeast"/>
          <w:jc w:val="center"/>
        </w:trPr>
        <w:tc>
          <w:tcPr>
            <w:tcW w:w="1315" w:type="dxa"/>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E339A3F">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kern w:val="0"/>
                <w:sz w:val="24"/>
                <w:szCs w:val="24"/>
              </w:rPr>
            </w:pPr>
            <w:r>
              <w:rPr>
                <w:rFonts w:hint="default" w:ascii="宋体" w:hAnsi="宋体" w:eastAsia="宋体" w:cs="宋体"/>
                <w:color w:val="000000"/>
                <w:kern w:val="0"/>
                <w:sz w:val="24"/>
                <w:szCs w:val="24"/>
              </w:rPr>
              <w:t>项目资金</w:t>
            </w:r>
          </w:p>
          <w:p w14:paraId="479194D4">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（万元）</w:t>
            </w:r>
          </w:p>
        </w:tc>
        <w:tc>
          <w:tcPr>
            <w:tcW w:w="264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4C4D062">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 xml:space="preserve">  年度资金总额：</w:t>
            </w:r>
          </w:p>
        </w:tc>
        <w:tc>
          <w:tcPr>
            <w:tcW w:w="7112"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7720EAFA">
            <w:pPr>
              <w:keepNext w:val="0"/>
              <w:keepLines w:val="0"/>
              <w:suppressLineNumbers w:val="0"/>
              <w:spacing w:before="0" w:beforeAutospacing="0" w:after="0" w:afterAutospacing="0" w:line="300" w:lineRule="exact"/>
              <w:ind w:left="0" w:right="0"/>
              <w:jc w:val="left"/>
              <w:rPr>
                <w:rFonts w:hint="default" w:ascii="宋体" w:hAnsi="宋体" w:eastAsia="宋体" w:cs="宋体"/>
                <w:color w:val="000000"/>
                <w:sz w:val="24"/>
                <w:szCs w:val="24"/>
              </w:rPr>
            </w:pPr>
            <w:r>
              <w:rPr>
                <w:rFonts w:hint="eastAsia" w:ascii="宋体" w:hAnsi="宋体" w:eastAsia="宋体" w:cs="宋体"/>
                <w:color w:val="000000"/>
                <w:sz w:val="24"/>
                <w:szCs w:val="24"/>
              </w:rPr>
              <w:t>27.17</w:t>
            </w:r>
          </w:p>
        </w:tc>
      </w:tr>
      <w:tr w14:paraId="4878ABE5">
        <w:tblPrEx>
          <w:tblCellMar>
            <w:top w:w="15" w:type="dxa"/>
            <w:left w:w="15" w:type="dxa"/>
            <w:bottom w:w="15" w:type="dxa"/>
            <w:right w:w="15" w:type="dxa"/>
          </w:tblCellMar>
        </w:tblPrEx>
        <w:trPr>
          <w:trHeight w:val="23" w:hRule="atLeast"/>
          <w:jc w:val="center"/>
        </w:trPr>
        <w:tc>
          <w:tcPr>
            <w:tcW w:w="1315"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B6EEAB8">
            <w:pPr>
              <w:keepNext w:val="0"/>
              <w:keepLines w:val="0"/>
              <w:suppressLineNumbers w:val="0"/>
              <w:spacing w:before="0" w:beforeAutospacing="0" w:after="0" w:afterAutospacing="0" w:line="300" w:lineRule="exact"/>
              <w:ind w:left="0" w:right="0"/>
              <w:rPr>
                <w:rFonts w:hint="default" w:ascii="宋体" w:hAnsi="宋体" w:eastAsia="宋体" w:cs="宋体"/>
                <w:color w:val="000000"/>
                <w:sz w:val="24"/>
                <w:szCs w:val="24"/>
              </w:rPr>
            </w:pPr>
          </w:p>
        </w:tc>
        <w:tc>
          <w:tcPr>
            <w:tcW w:w="264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879F125">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其中：财政拨款</w:t>
            </w:r>
          </w:p>
        </w:tc>
        <w:tc>
          <w:tcPr>
            <w:tcW w:w="7112"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256072D9">
            <w:pPr>
              <w:keepNext w:val="0"/>
              <w:keepLines w:val="0"/>
              <w:suppressLineNumbers w:val="0"/>
              <w:spacing w:before="0" w:beforeAutospacing="0" w:after="0" w:afterAutospacing="0" w:line="300" w:lineRule="exact"/>
              <w:ind w:left="0" w:right="0"/>
              <w:jc w:val="left"/>
              <w:rPr>
                <w:rFonts w:hint="default" w:ascii="宋体" w:hAnsi="宋体" w:eastAsia="宋体" w:cs="宋体"/>
                <w:color w:val="000000"/>
                <w:sz w:val="24"/>
                <w:szCs w:val="24"/>
              </w:rPr>
            </w:pPr>
            <w:r>
              <w:rPr>
                <w:rFonts w:hint="eastAsia" w:ascii="宋体" w:hAnsi="宋体" w:eastAsia="宋体" w:cs="宋体"/>
                <w:color w:val="000000"/>
                <w:sz w:val="24"/>
                <w:szCs w:val="24"/>
              </w:rPr>
              <w:t>27.17</w:t>
            </w:r>
          </w:p>
        </w:tc>
      </w:tr>
      <w:tr w14:paraId="7A52C4F9">
        <w:tblPrEx>
          <w:tblCellMar>
            <w:top w:w="15" w:type="dxa"/>
            <w:left w:w="15" w:type="dxa"/>
            <w:bottom w:w="15" w:type="dxa"/>
            <w:right w:w="15" w:type="dxa"/>
          </w:tblCellMar>
        </w:tblPrEx>
        <w:trPr>
          <w:trHeight w:val="23" w:hRule="atLeast"/>
          <w:jc w:val="center"/>
        </w:trPr>
        <w:tc>
          <w:tcPr>
            <w:tcW w:w="1315"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BC3B6E3">
            <w:pPr>
              <w:keepNext w:val="0"/>
              <w:keepLines w:val="0"/>
              <w:suppressLineNumbers w:val="0"/>
              <w:spacing w:before="0" w:beforeAutospacing="0" w:after="0" w:afterAutospacing="0" w:line="300" w:lineRule="exact"/>
              <w:ind w:left="0" w:right="0"/>
              <w:rPr>
                <w:rFonts w:hint="default" w:ascii="宋体" w:hAnsi="宋体" w:eastAsia="宋体" w:cs="宋体"/>
                <w:color w:val="000000"/>
                <w:sz w:val="24"/>
                <w:szCs w:val="24"/>
              </w:rPr>
            </w:pPr>
          </w:p>
        </w:tc>
        <w:tc>
          <w:tcPr>
            <w:tcW w:w="264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1E55EED">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 xml:space="preserve">            其他资金</w:t>
            </w:r>
          </w:p>
        </w:tc>
        <w:tc>
          <w:tcPr>
            <w:tcW w:w="7112"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159FD0A2">
            <w:pPr>
              <w:keepNext w:val="0"/>
              <w:keepLines w:val="0"/>
              <w:suppressLineNumbers w:val="0"/>
              <w:spacing w:before="0" w:beforeAutospacing="0" w:after="0" w:afterAutospacing="0" w:line="300" w:lineRule="exact"/>
              <w:ind w:left="0" w:right="0"/>
              <w:jc w:val="left"/>
              <w:rPr>
                <w:rFonts w:hint="default" w:ascii="宋体" w:hAnsi="宋体" w:eastAsia="宋体" w:cs="宋体"/>
                <w:color w:val="000000"/>
                <w:sz w:val="24"/>
                <w:szCs w:val="24"/>
              </w:rPr>
            </w:pPr>
            <w:r>
              <w:rPr>
                <w:rFonts w:hint="eastAsia" w:ascii="宋体" w:hAnsi="宋体" w:eastAsia="宋体" w:cs="宋体"/>
                <w:color w:val="000000"/>
                <w:sz w:val="24"/>
                <w:szCs w:val="24"/>
              </w:rPr>
              <w:t>0</w:t>
            </w:r>
          </w:p>
        </w:tc>
      </w:tr>
      <w:tr w14:paraId="062C45A4">
        <w:tblPrEx>
          <w:tblCellMar>
            <w:top w:w="15" w:type="dxa"/>
            <w:left w:w="15" w:type="dxa"/>
            <w:bottom w:w="15" w:type="dxa"/>
            <w:right w:w="15" w:type="dxa"/>
          </w:tblCellMar>
        </w:tblPrEx>
        <w:trPr>
          <w:trHeight w:val="23" w:hRule="atLeast"/>
          <w:jc w:val="center"/>
        </w:trPr>
        <w:tc>
          <w:tcPr>
            <w:tcW w:w="65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E11357A">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总体 目标</w:t>
            </w:r>
          </w:p>
        </w:tc>
        <w:tc>
          <w:tcPr>
            <w:tcW w:w="10418"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7791471E">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年度目标</w:t>
            </w:r>
          </w:p>
        </w:tc>
      </w:tr>
      <w:tr w14:paraId="636C5479">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616C3B">
            <w:pPr>
              <w:keepNext w:val="0"/>
              <w:keepLines w:val="0"/>
              <w:suppressLineNumbers w:val="0"/>
              <w:spacing w:before="0" w:beforeAutospacing="0" w:after="0" w:afterAutospacing="0" w:line="300" w:lineRule="exact"/>
              <w:ind w:left="0" w:right="0"/>
              <w:rPr>
                <w:rFonts w:hint="default" w:ascii="宋体" w:hAnsi="宋体" w:eastAsia="宋体" w:cs="宋体"/>
                <w:color w:val="000000"/>
                <w:sz w:val="24"/>
                <w:szCs w:val="24"/>
              </w:rPr>
            </w:pPr>
          </w:p>
        </w:tc>
        <w:tc>
          <w:tcPr>
            <w:tcW w:w="10418"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569E274E">
            <w:pPr>
              <w:keepNext w:val="0"/>
              <w:keepLines w:val="0"/>
              <w:suppressLineNumbers w:val="0"/>
              <w:spacing w:before="0" w:beforeAutospacing="0" w:after="0" w:afterAutospacing="0" w:line="300" w:lineRule="exact"/>
              <w:ind w:left="0" w:right="0"/>
              <w:rPr>
                <w:rFonts w:hint="default" w:ascii="宋体" w:hAnsi="宋体" w:eastAsia="宋体" w:cs="宋体"/>
                <w:color w:val="000000"/>
                <w:sz w:val="24"/>
                <w:szCs w:val="24"/>
              </w:rPr>
            </w:pPr>
            <w:r>
              <w:rPr>
                <w:rFonts w:hint="eastAsia" w:ascii="宋体" w:hAnsi="宋体" w:eastAsia="宋体" w:cs="宋体"/>
                <w:color w:val="000000"/>
                <w:sz w:val="24"/>
                <w:szCs w:val="24"/>
              </w:rPr>
              <w:t>搭建交流合作平台，邀请现代物流头部企业及部分生产、贸易龙头企业领导，相关行业协会领导，知名专家，分享物流产业发展的高效管理模式和先进运营经验，推动合作共赢，引领促进全国物流产业高质量发展；聚焦枢纽产业集聚融合与物流园区运营管理、多式联运跨界协作与实体经济降本增效、高铁快运探索创新与适配产业培育发展方面分享成功经验，创新发展思路，探索困难问题解决对策和方案；借助中国物流与采购联合会社会影响力，集聚一批从事生产、贸易和物流的企业、协会到广元考察参会，促成一批企业签约布局广元、投资广元，推进通道优势向经济优势加速转变，助力广元创建国家物流枢纽承载城市，并通过主流权威媒体和专业媒体宣传报道，提升广元知名度和美誉度。</w:t>
            </w:r>
          </w:p>
        </w:tc>
      </w:tr>
      <w:tr w14:paraId="2B0932C7">
        <w:tblPrEx>
          <w:tblCellMar>
            <w:top w:w="15" w:type="dxa"/>
            <w:left w:w="15" w:type="dxa"/>
            <w:bottom w:w="15" w:type="dxa"/>
            <w:right w:w="15" w:type="dxa"/>
          </w:tblCellMar>
        </w:tblPrEx>
        <w:trPr>
          <w:trHeight w:val="23" w:hRule="atLeast"/>
          <w:jc w:val="center"/>
        </w:trPr>
        <w:tc>
          <w:tcPr>
            <w:tcW w:w="652" w:type="dxa"/>
            <w:vMerge w:val="restart"/>
            <w:tcBorders>
              <w:top w:val="single" w:color="000000" w:sz="4" w:space="0"/>
              <w:left w:val="single" w:color="000000" w:sz="4" w:space="0"/>
              <w:bottom w:val="single" w:color="000000" w:sz="4" w:space="0"/>
            </w:tcBorders>
            <w:shd w:val="clear" w:color="auto" w:fill="auto"/>
            <w:vAlign w:val="center"/>
          </w:tcPr>
          <w:p w14:paraId="377E2FC9">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绩效 指标</w:t>
            </w:r>
            <w:r>
              <w:rPr>
                <w:rFonts w:hint="eastAsia" w:ascii="宋体" w:hAnsi="宋体" w:eastAsia="宋体" w:cs="宋体"/>
                <w:color w:val="000000"/>
                <w:kern w:val="0"/>
                <w:sz w:val="24"/>
                <w:szCs w:val="24"/>
              </w:rPr>
              <w:t>（90份）</w:t>
            </w:r>
          </w:p>
        </w:tc>
        <w:tc>
          <w:tcPr>
            <w:tcW w:w="6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3CFE3F">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一级指标</w:t>
            </w:r>
          </w:p>
        </w:tc>
        <w:tc>
          <w:tcPr>
            <w:tcW w:w="1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7D2BC7">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二级指标</w:t>
            </w:r>
          </w:p>
        </w:tc>
        <w:tc>
          <w:tcPr>
            <w:tcW w:w="1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D1B9BC">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三级指标</w:t>
            </w:r>
          </w:p>
        </w:tc>
        <w:tc>
          <w:tcPr>
            <w:tcW w:w="6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E07C89">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指标性质</w:t>
            </w:r>
          </w:p>
        </w:tc>
        <w:tc>
          <w:tcPr>
            <w:tcW w:w="26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496AFC">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指标值</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F66F34">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度量单位</w:t>
            </w:r>
          </w:p>
        </w:tc>
        <w:tc>
          <w:tcPr>
            <w:tcW w:w="11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24ABC2">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权重</w:t>
            </w:r>
          </w:p>
        </w:tc>
        <w:tc>
          <w:tcPr>
            <w:tcW w:w="19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9EF8A2">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实际完成指标值</w:t>
            </w:r>
          </w:p>
        </w:tc>
      </w:tr>
      <w:tr w14:paraId="59864F5E">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239EC558">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66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3A60FD9">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产出指标</w:t>
            </w:r>
          </w:p>
        </w:tc>
        <w:tc>
          <w:tcPr>
            <w:tcW w:w="1198" w:type="dxa"/>
            <w:vMerge w:val="restart"/>
            <w:tcBorders>
              <w:top w:val="single" w:color="000000" w:sz="4" w:space="0"/>
              <w:left w:val="single" w:color="000000" w:sz="4" w:space="0"/>
              <w:right w:val="single" w:color="000000" w:sz="4" w:space="0"/>
            </w:tcBorders>
            <w:shd w:val="clear" w:color="auto" w:fill="auto"/>
            <w:vAlign w:val="center"/>
          </w:tcPr>
          <w:p w14:paraId="138FA8E3">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数量指标</w:t>
            </w:r>
          </w:p>
        </w:tc>
        <w:tc>
          <w:tcPr>
            <w:tcW w:w="1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A8A966">
            <w:pPr>
              <w:keepNext w:val="0"/>
              <w:keepLines w:val="0"/>
              <w:suppressLineNumbers w:val="0"/>
              <w:spacing w:before="0" w:beforeAutospacing="0" w:after="0" w:afterAutospacing="0" w:line="300" w:lineRule="exact"/>
              <w:ind w:left="0" w:right="0"/>
              <w:rPr>
                <w:rFonts w:hint="default" w:ascii="宋体" w:hAnsi="宋体" w:eastAsia="宋体" w:cs="宋体"/>
                <w:color w:val="000000"/>
                <w:sz w:val="24"/>
                <w:szCs w:val="24"/>
              </w:rPr>
            </w:pPr>
            <w:r>
              <w:rPr>
                <w:rFonts w:hint="eastAsia" w:ascii="宋体" w:hAnsi="宋体" w:eastAsia="宋体" w:cs="宋体"/>
                <w:color w:val="000000"/>
                <w:sz w:val="24"/>
                <w:szCs w:val="24"/>
              </w:rPr>
              <w:t>指标1：召开2023中国（广元）物流产业发展大会</w:t>
            </w:r>
          </w:p>
        </w:tc>
        <w:tc>
          <w:tcPr>
            <w:tcW w:w="6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2C49B9">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r>
              <w:rPr>
                <w:rFonts w:hint="eastAsia" w:ascii="宋体" w:hAnsi="宋体" w:eastAsia="宋体" w:cs="宋体"/>
                <w:color w:val="000000"/>
                <w:sz w:val="24"/>
                <w:szCs w:val="24"/>
              </w:rPr>
              <w:t>定量</w:t>
            </w:r>
          </w:p>
        </w:tc>
        <w:tc>
          <w:tcPr>
            <w:tcW w:w="26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E07E53">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r>
              <w:rPr>
                <w:rFonts w:hint="default" w:ascii="宋体" w:hAnsi="宋体" w:eastAsia="宋体" w:cs="宋体"/>
                <w:color w:val="000000"/>
                <w:sz w:val="24"/>
                <w:szCs w:val="24"/>
              </w:rPr>
              <w:t>1</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52DADD">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r>
              <w:rPr>
                <w:rFonts w:hint="eastAsia" w:ascii="宋体" w:hAnsi="宋体" w:eastAsia="宋体" w:cs="宋体"/>
                <w:color w:val="000000"/>
                <w:sz w:val="24"/>
                <w:szCs w:val="24"/>
              </w:rPr>
              <w:t>次</w:t>
            </w:r>
          </w:p>
        </w:tc>
        <w:tc>
          <w:tcPr>
            <w:tcW w:w="11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FEA25D">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r>
              <w:rPr>
                <w:rFonts w:hint="eastAsia" w:ascii="宋体" w:hAnsi="宋体" w:eastAsia="宋体" w:cs="宋体"/>
                <w:color w:val="000000"/>
                <w:sz w:val="24"/>
                <w:szCs w:val="24"/>
              </w:rPr>
              <w:t>5</w:t>
            </w:r>
          </w:p>
        </w:tc>
        <w:tc>
          <w:tcPr>
            <w:tcW w:w="19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A7B7D7">
            <w:pPr>
              <w:keepNext w:val="0"/>
              <w:keepLines w:val="0"/>
              <w:suppressLineNumbers w:val="0"/>
              <w:spacing w:before="0" w:beforeAutospacing="0" w:after="0" w:afterAutospacing="0" w:line="300" w:lineRule="exact"/>
              <w:ind w:left="0" w:right="0"/>
              <w:jc w:val="left"/>
              <w:rPr>
                <w:rFonts w:hint="default" w:ascii="宋体" w:hAnsi="宋体" w:eastAsia="宋体" w:cs="宋体"/>
                <w:color w:val="000000"/>
                <w:sz w:val="24"/>
                <w:szCs w:val="24"/>
              </w:rPr>
            </w:pPr>
            <w:r>
              <w:rPr>
                <w:rFonts w:hint="eastAsia" w:ascii="宋体" w:hAnsi="宋体" w:eastAsia="宋体" w:cs="宋体"/>
                <w:color w:val="000000"/>
                <w:sz w:val="24"/>
                <w:szCs w:val="24"/>
              </w:rPr>
              <w:t>已完成，已于2023年10月19-20日召开。</w:t>
            </w:r>
          </w:p>
        </w:tc>
      </w:tr>
      <w:tr w14:paraId="579243A8">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71173865">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66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90270B">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1198" w:type="dxa"/>
            <w:vMerge w:val="continue"/>
            <w:tcBorders>
              <w:left w:val="single" w:color="000000" w:sz="4" w:space="0"/>
              <w:right w:val="single" w:color="000000" w:sz="4" w:space="0"/>
            </w:tcBorders>
            <w:shd w:val="clear" w:color="auto" w:fill="auto"/>
            <w:vAlign w:val="center"/>
          </w:tcPr>
          <w:p w14:paraId="3E3465F9">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1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23F407">
            <w:pPr>
              <w:keepNext w:val="0"/>
              <w:keepLines w:val="0"/>
              <w:suppressLineNumbers w:val="0"/>
              <w:spacing w:before="0" w:beforeAutospacing="0" w:after="0" w:afterAutospacing="0" w:line="300" w:lineRule="exact"/>
              <w:ind w:left="0" w:right="0"/>
              <w:rPr>
                <w:rFonts w:hint="default" w:ascii="宋体" w:hAnsi="宋体" w:eastAsia="宋体" w:cs="宋体"/>
                <w:color w:val="000000"/>
                <w:sz w:val="24"/>
                <w:szCs w:val="24"/>
              </w:rPr>
            </w:pPr>
            <w:r>
              <w:rPr>
                <w:rFonts w:hint="eastAsia" w:ascii="宋体" w:hAnsi="宋体" w:eastAsia="宋体" w:cs="宋体"/>
                <w:color w:val="000000"/>
                <w:sz w:val="24"/>
                <w:szCs w:val="24"/>
              </w:rPr>
              <w:t>指标2：参会人数</w:t>
            </w:r>
          </w:p>
        </w:tc>
        <w:tc>
          <w:tcPr>
            <w:tcW w:w="6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27EB3C">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r>
              <w:rPr>
                <w:rFonts w:hint="eastAsia" w:ascii="宋体" w:hAnsi="宋体" w:eastAsia="宋体" w:cs="宋体"/>
                <w:color w:val="000000"/>
                <w:sz w:val="24"/>
                <w:szCs w:val="24"/>
              </w:rPr>
              <w:t>定量</w:t>
            </w:r>
          </w:p>
        </w:tc>
        <w:tc>
          <w:tcPr>
            <w:tcW w:w="26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257276">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r>
              <w:rPr>
                <w:rFonts w:hint="eastAsia" w:ascii="宋体" w:hAnsi="宋体" w:eastAsia="宋体" w:cs="宋体"/>
                <w:color w:val="000000"/>
                <w:sz w:val="24"/>
                <w:szCs w:val="24"/>
              </w:rPr>
              <w:t>≥</w:t>
            </w:r>
            <w:r>
              <w:rPr>
                <w:rFonts w:hint="default" w:ascii="宋体" w:hAnsi="宋体" w:eastAsia="宋体" w:cs="宋体"/>
                <w:color w:val="000000"/>
                <w:sz w:val="24"/>
                <w:szCs w:val="24"/>
              </w:rPr>
              <w:t>800</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6CE40E">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r>
              <w:rPr>
                <w:rFonts w:hint="eastAsia" w:ascii="宋体" w:hAnsi="宋体" w:eastAsia="宋体" w:cs="宋体"/>
                <w:color w:val="000000"/>
                <w:sz w:val="24"/>
                <w:szCs w:val="24"/>
              </w:rPr>
              <w:t>人</w:t>
            </w:r>
          </w:p>
        </w:tc>
        <w:tc>
          <w:tcPr>
            <w:tcW w:w="11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8698C4">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r>
              <w:rPr>
                <w:rFonts w:hint="eastAsia" w:ascii="宋体" w:hAnsi="宋体" w:eastAsia="宋体" w:cs="宋体"/>
                <w:color w:val="000000"/>
                <w:sz w:val="24"/>
                <w:szCs w:val="24"/>
              </w:rPr>
              <w:t>5</w:t>
            </w:r>
          </w:p>
        </w:tc>
        <w:tc>
          <w:tcPr>
            <w:tcW w:w="19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1BFCDD">
            <w:pPr>
              <w:keepNext w:val="0"/>
              <w:keepLines w:val="0"/>
              <w:suppressLineNumbers w:val="0"/>
              <w:spacing w:before="0" w:beforeAutospacing="0" w:after="0" w:afterAutospacing="0" w:line="300" w:lineRule="exact"/>
              <w:ind w:left="0" w:right="0"/>
              <w:jc w:val="left"/>
              <w:rPr>
                <w:rFonts w:hint="default" w:ascii="宋体" w:hAnsi="宋体" w:eastAsia="宋体" w:cs="宋体"/>
                <w:color w:val="000000"/>
                <w:sz w:val="24"/>
                <w:szCs w:val="24"/>
              </w:rPr>
            </w:pPr>
            <w:r>
              <w:rPr>
                <w:rFonts w:hint="eastAsia" w:ascii="宋体" w:hAnsi="宋体" w:eastAsia="宋体" w:cs="宋体"/>
                <w:color w:val="000000"/>
                <w:sz w:val="24"/>
                <w:szCs w:val="24"/>
              </w:rPr>
              <w:t>已完成，参会人数约1500人次。</w:t>
            </w:r>
          </w:p>
        </w:tc>
      </w:tr>
      <w:tr w14:paraId="1DE3D2CC">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46118B5B">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66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919853">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1198" w:type="dxa"/>
            <w:vMerge w:val="continue"/>
            <w:tcBorders>
              <w:left w:val="single" w:color="000000" w:sz="4" w:space="0"/>
              <w:right w:val="single" w:color="000000" w:sz="4" w:space="0"/>
            </w:tcBorders>
            <w:shd w:val="clear" w:color="auto" w:fill="auto"/>
            <w:vAlign w:val="center"/>
          </w:tcPr>
          <w:p w14:paraId="4C0151E6">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1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1FEA51">
            <w:pPr>
              <w:keepNext w:val="0"/>
              <w:keepLines w:val="0"/>
              <w:suppressLineNumbers w:val="0"/>
              <w:spacing w:before="0" w:beforeAutospacing="0" w:after="0" w:afterAutospacing="0" w:line="300" w:lineRule="exact"/>
              <w:ind w:left="0" w:right="0"/>
              <w:rPr>
                <w:rFonts w:hint="default" w:ascii="宋体" w:hAnsi="宋体" w:eastAsia="宋体" w:cs="宋体"/>
                <w:color w:val="000000"/>
                <w:sz w:val="24"/>
                <w:szCs w:val="24"/>
              </w:rPr>
            </w:pPr>
            <w:r>
              <w:rPr>
                <w:rFonts w:hint="eastAsia" w:ascii="宋体" w:hAnsi="宋体" w:eastAsia="宋体" w:cs="宋体"/>
                <w:color w:val="000000"/>
                <w:sz w:val="24"/>
                <w:szCs w:val="24"/>
              </w:rPr>
              <w:t>指标3：组织分会场</w:t>
            </w:r>
          </w:p>
        </w:tc>
        <w:tc>
          <w:tcPr>
            <w:tcW w:w="6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F2D6DA">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r>
              <w:rPr>
                <w:rFonts w:hint="eastAsia" w:ascii="宋体" w:hAnsi="宋体" w:eastAsia="宋体" w:cs="宋体"/>
                <w:color w:val="000000"/>
                <w:sz w:val="24"/>
                <w:szCs w:val="24"/>
              </w:rPr>
              <w:t>定量</w:t>
            </w:r>
          </w:p>
        </w:tc>
        <w:tc>
          <w:tcPr>
            <w:tcW w:w="26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100FB3">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r>
              <w:rPr>
                <w:rFonts w:hint="eastAsia" w:ascii="宋体" w:hAnsi="宋体" w:eastAsia="宋体" w:cs="宋体"/>
                <w:color w:val="000000"/>
                <w:sz w:val="24"/>
                <w:szCs w:val="24"/>
              </w:rPr>
              <w:t>≥</w:t>
            </w:r>
            <w:r>
              <w:rPr>
                <w:rFonts w:hint="default" w:ascii="宋体" w:hAnsi="宋体" w:eastAsia="宋体" w:cs="宋体"/>
                <w:color w:val="000000"/>
                <w:sz w:val="24"/>
                <w:szCs w:val="24"/>
              </w:rPr>
              <w:t>3</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526A2E">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r>
              <w:rPr>
                <w:rFonts w:hint="eastAsia" w:ascii="宋体" w:hAnsi="宋体" w:eastAsia="宋体" w:cs="宋体"/>
                <w:color w:val="000000"/>
                <w:sz w:val="24"/>
                <w:szCs w:val="24"/>
              </w:rPr>
              <w:t>个</w:t>
            </w:r>
          </w:p>
        </w:tc>
        <w:tc>
          <w:tcPr>
            <w:tcW w:w="11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7AA2D9">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r>
              <w:rPr>
                <w:rFonts w:hint="eastAsia" w:ascii="宋体" w:hAnsi="宋体" w:eastAsia="宋体" w:cs="宋体"/>
                <w:color w:val="000000"/>
                <w:sz w:val="24"/>
                <w:szCs w:val="24"/>
              </w:rPr>
              <w:t>5</w:t>
            </w:r>
          </w:p>
        </w:tc>
        <w:tc>
          <w:tcPr>
            <w:tcW w:w="19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D3CCE1">
            <w:pPr>
              <w:keepNext w:val="0"/>
              <w:keepLines w:val="0"/>
              <w:suppressLineNumbers w:val="0"/>
              <w:spacing w:before="0" w:beforeAutospacing="0" w:after="0" w:afterAutospacing="0" w:line="300" w:lineRule="exact"/>
              <w:ind w:left="0" w:right="0"/>
              <w:jc w:val="left"/>
              <w:rPr>
                <w:rFonts w:hint="default" w:ascii="宋体" w:hAnsi="宋体" w:eastAsia="宋体" w:cs="宋体"/>
                <w:color w:val="000000"/>
                <w:sz w:val="24"/>
                <w:szCs w:val="24"/>
              </w:rPr>
            </w:pPr>
            <w:r>
              <w:rPr>
                <w:rFonts w:hint="eastAsia" w:ascii="宋体" w:hAnsi="宋体" w:eastAsia="宋体" w:cs="宋体"/>
                <w:color w:val="000000"/>
                <w:sz w:val="24"/>
                <w:szCs w:val="24"/>
              </w:rPr>
              <w:t>已完成，大会共设4个主会场、11个视频分会场。</w:t>
            </w:r>
          </w:p>
        </w:tc>
      </w:tr>
      <w:tr w14:paraId="143261DE">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4D33B964">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66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A5C51C">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1198" w:type="dxa"/>
            <w:vMerge w:val="continue"/>
            <w:tcBorders>
              <w:left w:val="single" w:color="000000" w:sz="4" w:space="0"/>
              <w:right w:val="single" w:color="000000" w:sz="4" w:space="0"/>
            </w:tcBorders>
            <w:shd w:val="clear" w:color="auto" w:fill="auto"/>
            <w:vAlign w:val="center"/>
          </w:tcPr>
          <w:p w14:paraId="7E4EA947">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1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BCF890">
            <w:pPr>
              <w:keepNext w:val="0"/>
              <w:keepLines w:val="0"/>
              <w:suppressLineNumbers w:val="0"/>
              <w:spacing w:before="0" w:beforeAutospacing="0" w:after="0" w:afterAutospacing="0" w:line="300" w:lineRule="exact"/>
              <w:ind w:left="0" w:right="0"/>
              <w:rPr>
                <w:rFonts w:hint="default" w:ascii="宋体" w:hAnsi="宋体" w:eastAsia="宋体" w:cs="宋体"/>
                <w:color w:val="000000"/>
                <w:sz w:val="24"/>
                <w:szCs w:val="24"/>
              </w:rPr>
            </w:pPr>
            <w:r>
              <w:rPr>
                <w:rFonts w:hint="eastAsia" w:ascii="宋体" w:hAnsi="宋体" w:eastAsia="宋体" w:cs="宋体"/>
                <w:color w:val="000000"/>
                <w:sz w:val="24"/>
                <w:szCs w:val="24"/>
              </w:rPr>
              <w:t>指标4：签约战略合作协议</w:t>
            </w:r>
          </w:p>
        </w:tc>
        <w:tc>
          <w:tcPr>
            <w:tcW w:w="6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3462C8">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r>
              <w:rPr>
                <w:rFonts w:hint="eastAsia" w:ascii="宋体" w:hAnsi="宋体" w:eastAsia="宋体" w:cs="宋体"/>
                <w:color w:val="000000"/>
                <w:sz w:val="24"/>
                <w:szCs w:val="24"/>
              </w:rPr>
              <w:t>定量</w:t>
            </w:r>
          </w:p>
        </w:tc>
        <w:tc>
          <w:tcPr>
            <w:tcW w:w="26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329A6F">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r>
              <w:rPr>
                <w:rFonts w:hint="eastAsia" w:ascii="宋体" w:hAnsi="宋体" w:eastAsia="宋体" w:cs="宋体"/>
                <w:color w:val="000000"/>
                <w:sz w:val="24"/>
                <w:szCs w:val="24"/>
              </w:rPr>
              <w:t>≥</w:t>
            </w:r>
            <w:r>
              <w:rPr>
                <w:rFonts w:hint="default" w:ascii="宋体" w:hAnsi="宋体" w:eastAsia="宋体" w:cs="宋体"/>
                <w:color w:val="000000"/>
                <w:sz w:val="24"/>
                <w:szCs w:val="24"/>
              </w:rPr>
              <w:t>3</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0C5485">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r>
              <w:rPr>
                <w:rFonts w:hint="eastAsia" w:ascii="宋体" w:hAnsi="宋体" w:eastAsia="宋体" w:cs="宋体"/>
                <w:color w:val="000000"/>
                <w:sz w:val="24"/>
                <w:szCs w:val="24"/>
              </w:rPr>
              <w:t>个</w:t>
            </w:r>
          </w:p>
        </w:tc>
        <w:tc>
          <w:tcPr>
            <w:tcW w:w="11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47E89A">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r>
              <w:rPr>
                <w:rFonts w:hint="eastAsia" w:ascii="宋体" w:hAnsi="宋体" w:eastAsia="宋体" w:cs="宋体"/>
                <w:color w:val="000000"/>
                <w:sz w:val="24"/>
                <w:szCs w:val="24"/>
              </w:rPr>
              <w:t>5</w:t>
            </w:r>
          </w:p>
        </w:tc>
        <w:tc>
          <w:tcPr>
            <w:tcW w:w="19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1A9732">
            <w:pPr>
              <w:keepNext w:val="0"/>
              <w:keepLines w:val="0"/>
              <w:suppressLineNumbers w:val="0"/>
              <w:spacing w:before="0" w:beforeAutospacing="0" w:after="0" w:afterAutospacing="0" w:line="300" w:lineRule="exact"/>
              <w:ind w:left="0" w:right="0"/>
              <w:jc w:val="left"/>
              <w:rPr>
                <w:rFonts w:hint="default" w:ascii="宋体" w:hAnsi="宋体" w:eastAsia="宋体" w:cs="宋体"/>
                <w:color w:val="000000"/>
                <w:sz w:val="24"/>
                <w:szCs w:val="24"/>
              </w:rPr>
            </w:pPr>
            <w:r>
              <w:rPr>
                <w:rFonts w:hint="eastAsia" w:ascii="宋体" w:hAnsi="宋体" w:eastAsia="宋体" w:cs="宋体"/>
                <w:color w:val="000000"/>
                <w:sz w:val="24"/>
                <w:szCs w:val="24"/>
              </w:rPr>
              <w:t>已完成，大会现场签约战略合作协议9个。</w:t>
            </w:r>
          </w:p>
        </w:tc>
      </w:tr>
      <w:tr w14:paraId="6644DACA">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5A742821">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66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C7715B">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1198" w:type="dxa"/>
            <w:vMerge w:val="continue"/>
            <w:tcBorders>
              <w:left w:val="single" w:color="000000" w:sz="4" w:space="0"/>
              <w:bottom w:val="single" w:color="000000" w:sz="4" w:space="0"/>
              <w:right w:val="single" w:color="000000" w:sz="4" w:space="0"/>
            </w:tcBorders>
            <w:shd w:val="clear" w:color="auto" w:fill="auto"/>
            <w:vAlign w:val="center"/>
          </w:tcPr>
          <w:p w14:paraId="7686CE3A">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1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9D51A6">
            <w:pPr>
              <w:keepNext w:val="0"/>
              <w:keepLines w:val="0"/>
              <w:suppressLineNumbers w:val="0"/>
              <w:spacing w:before="0" w:beforeAutospacing="0" w:after="0" w:afterAutospacing="0" w:line="300" w:lineRule="exact"/>
              <w:ind w:left="0" w:right="0"/>
              <w:rPr>
                <w:rFonts w:hint="default" w:ascii="宋体" w:hAnsi="宋体" w:eastAsia="宋体" w:cs="宋体"/>
                <w:color w:val="000000"/>
                <w:sz w:val="24"/>
                <w:szCs w:val="24"/>
              </w:rPr>
            </w:pPr>
            <w:r>
              <w:rPr>
                <w:rFonts w:hint="eastAsia" w:ascii="宋体" w:hAnsi="宋体" w:eastAsia="宋体" w:cs="宋体"/>
                <w:color w:val="000000"/>
                <w:sz w:val="24"/>
                <w:szCs w:val="24"/>
              </w:rPr>
              <w:t>指标5：合作平台授牌</w:t>
            </w:r>
          </w:p>
        </w:tc>
        <w:tc>
          <w:tcPr>
            <w:tcW w:w="6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5B8440">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r>
              <w:rPr>
                <w:rFonts w:hint="eastAsia" w:ascii="宋体" w:hAnsi="宋体" w:eastAsia="宋体" w:cs="宋体"/>
                <w:color w:val="000000"/>
                <w:sz w:val="24"/>
                <w:szCs w:val="24"/>
              </w:rPr>
              <w:t>定量</w:t>
            </w:r>
          </w:p>
        </w:tc>
        <w:tc>
          <w:tcPr>
            <w:tcW w:w="26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832F3F">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r>
              <w:rPr>
                <w:rFonts w:hint="eastAsia" w:ascii="宋体" w:hAnsi="宋体" w:eastAsia="宋体" w:cs="宋体"/>
                <w:color w:val="000000"/>
                <w:sz w:val="24"/>
                <w:szCs w:val="24"/>
              </w:rPr>
              <w:t>≥5</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E2380D">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r>
              <w:rPr>
                <w:rFonts w:hint="eastAsia" w:ascii="宋体" w:hAnsi="宋体" w:eastAsia="宋体" w:cs="宋体"/>
                <w:color w:val="000000"/>
                <w:sz w:val="24"/>
                <w:szCs w:val="24"/>
              </w:rPr>
              <w:t>个</w:t>
            </w:r>
          </w:p>
        </w:tc>
        <w:tc>
          <w:tcPr>
            <w:tcW w:w="11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213CCE">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r>
              <w:rPr>
                <w:rFonts w:hint="eastAsia" w:ascii="宋体" w:hAnsi="宋体" w:eastAsia="宋体" w:cs="宋体"/>
                <w:color w:val="000000"/>
                <w:sz w:val="24"/>
                <w:szCs w:val="24"/>
              </w:rPr>
              <w:t>5</w:t>
            </w:r>
          </w:p>
        </w:tc>
        <w:tc>
          <w:tcPr>
            <w:tcW w:w="19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44B363">
            <w:pPr>
              <w:keepNext w:val="0"/>
              <w:keepLines w:val="0"/>
              <w:suppressLineNumbers w:val="0"/>
              <w:spacing w:before="0" w:beforeAutospacing="0" w:after="0" w:afterAutospacing="0" w:line="300" w:lineRule="exact"/>
              <w:ind w:left="0" w:right="0"/>
              <w:jc w:val="left"/>
              <w:rPr>
                <w:rFonts w:hint="default" w:ascii="宋体" w:hAnsi="宋体" w:eastAsia="宋体" w:cs="宋体"/>
                <w:color w:val="000000"/>
                <w:sz w:val="24"/>
                <w:szCs w:val="24"/>
              </w:rPr>
            </w:pPr>
            <w:r>
              <w:rPr>
                <w:rFonts w:hint="eastAsia" w:ascii="宋体" w:hAnsi="宋体" w:eastAsia="宋体" w:cs="宋体"/>
                <w:color w:val="000000"/>
                <w:sz w:val="24"/>
                <w:szCs w:val="24"/>
              </w:rPr>
              <w:t>已完成，大会现场授予1个称号牌匾、6个物流行业龙头企业功能性支撑平台牌匾。</w:t>
            </w:r>
          </w:p>
        </w:tc>
      </w:tr>
      <w:tr w14:paraId="519EB0E2">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113BBA9B">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66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1B3A51">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1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D85CF1">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质量指标</w:t>
            </w:r>
          </w:p>
        </w:tc>
        <w:tc>
          <w:tcPr>
            <w:tcW w:w="1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666255">
            <w:pPr>
              <w:keepNext w:val="0"/>
              <w:keepLines w:val="0"/>
              <w:suppressLineNumbers w:val="0"/>
              <w:spacing w:before="0" w:beforeAutospacing="0" w:after="0" w:afterAutospacing="0" w:line="300" w:lineRule="exact"/>
              <w:ind w:left="0" w:right="0"/>
              <w:rPr>
                <w:rFonts w:hint="default" w:ascii="宋体" w:hAnsi="宋体" w:eastAsia="宋体" w:cs="宋体"/>
                <w:color w:val="000000"/>
                <w:sz w:val="24"/>
                <w:szCs w:val="24"/>
              </w:rPr>
            </w:pPr>
            <w:r>
              <w:rPr>
                <w:rFonts w:hint="eastAsia" w:ascii="宋体" w:hAnsi="宋体" w:eastAsia="宋体" w:cs="宋体"/>
                <w:color w:val="000000"/>
                <w:sz w:val="24"/>
                <w:szCs w:val="24"/>
              </w:rPr>
              <w:t>指标1：会议规格</w:t>
            </w:r>
          </w:p>
        </w:tc>
        <w:tc>
          <w:tcPr>
            <w:tcW w:w="6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B685B0">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r>
              <w:rPr>
                <w:rFonts w:hint="eastAsia" w:ascii="宋体" w:hAnsi="宋体" w:eastAsia="宋体" w:cs="宋体"/>
                <w:color w:val="000000"/>
                <w:sz w:val="24"/>
                <w:szCs w:val="24"/>
              </w:rPr>
              <w:t>定性</w:t>
            </w:r>
          </w:p>
        </w:tc>
        <w:tc>
          <w:tcPr>
            <w:tcW w:w="26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25328C">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r>
              <w:rPr>
                <w:rFonts w:hint="eastAsia" w:ascii="宋体" w:hAnsi="宋体" w:eastAsia="宋体" w:cs="宋体"/>
                <w:color w:val="000000"/>
                <w:sz w:val="24"/>
                <w:szCs w:val="24"/>
              </w:rPr>
              <w:t>与中国物流与采购联合会共同举办并争取国家相关部委出席会议</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D4D03D">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r>
              <w:rPr>
                <w:rFonts w:hint="eastAsia" w:ascii="宋体" w:hAnsi="宋体" w:eastAsia="宋体" w:cs="宋体"/>
                <w:color w:val="000000"/>
                <w:sz w:val="24"/>
                <w:szCs w:val="24"/>
              </w:rPr>
              <w:t>/</w:t>
            </w:r>
          </w:p>
        </w:tc>
        <w:tc>
          <w:tcPr>
            <w:tcW w:w="11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1CA13B">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r>
              <w:rPr>
                <w:rFonts w:hint="eastAsia" w:ascii="宋体" w:hAnsi="宋体" w:eastAsia="宋体" w:cs="宋体"/>
                <w:color w:val="000000"/>
                <w:sz w:val="24"/>
                <w:szCs w:val="24"/>
              </w:rPr>
              <w:t>10</w:t>
            </w:r>
          </w:p>
        </w:tc>
        <w:tc>
          <w:tcPr>
            <w:tcW w:w="19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049E19">
            <w:pPr>
              <w:keepNext w:val="0"/>
              <w:keepLines w:val="0"/>
              <w:suppressLineNumbers w:val="0"/>
              <w:spacing w:before="0" w:beforeAutospacing="0" w:after="0" w:afterAutospacing="0" w:line="300" w:lineRule="exact"/>
              <w:ind w:left="0" w:right="0"/>
              <w:jc w:val="left"/>
              <w:rPr>
                <w:rFonts w:hint="default" w:ascii="宋体" w:hAnsi="宋体" w:eastAsia="宋体" w:cs="宋体"/>
                <w:color w:val="000000"/>
                <w:sz w:val="24"/>
                <w:szCs w:val="24"/>
              </w:rPr>
            </w:pPr>
            <w:r>
              <w:rPr>
                <w:rFonts w:hint="eastAsia" w:ascii="宋体" w:hAnsi="宋体" w:eastAsia="宋体" w:cs="宋体"/>
                <w:color w:val="000000"/>
                <w:sz w:val="24"/>
                <w:szCs w:val="24"/>
              </w:rPr>
              <w:t>已完成，大会邀请到国家发展改革委、交通运输局等领导嘉宾到会。</w:t>
            </w:r>
          </w:p>
        </w:tc>
      </w:tr>
      <w:tr w14:paraId="61FBAAE5">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377656C4">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66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963EC5">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1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EFB67C">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时效指标</w:t>
            </w:r>
          </w:p>
        </w:tc>
        <w:tc>
          <w:tcPr>
            <w:tcW w:w="1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FED092">
            <w:pPr>
              <w:keepNext w:val="0"/>
              <w:keepLines w:val="0"/>
              <w:suppressLineNumbers w:val="0"/>
              <w:spacing w:before="0" w:beforeAutospacing="0" w:after="0" w:afterAutospacing="0" w:line="300" w:lineRule="exact"/>
              <w:ind w:left="0" w:right="0"/>
              <w:rPr>
                <w:rFonts w:hint="default" w:ascii="宋体" w:hAnsi="宋体" w:eastAsia="宋体" w:cs="宋体"/>
                <w:color w:val="000000"/>
                <w:sz w:val="24"/>
                <w:szCs w:val="24"/>
              </w:rPr>
            </w:pPr>
            <w:r>
              <w:rPr>
                <w:rFonts w:hint="eastAsia" w:ascii="宋体" w:hAnsi="宋体" w:eastAsia="宋体" w:cs="宋体"/>
                <w:color w:val="000000"/>
                <w:sz w:val="24"/>
                <w:szCs w:val="24"/>
              </w:rPr>
              <w:t>指标1：规定时限</w:t>
            </w:r>
          </w:p>
        </w:tc>
        <w:tc>
          <w:tcPr>
            <w:tcW w:w="6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1A7E6D">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r>
              <w:rPr>
                <w:rFonts w:hint="eastAsia" w:ascii="宋体" w:hAnsi="宋体" w:eastAsia="宋体" w:cs="宋体"/>
                <w:color w:val="000000"/>
                <w:sz w:val="24"/>
                <w:szCs w:val="24"/>
              </w:rPr>
              <w:t>定量</w:t>
            </w:r>
          </w:p>
        </w:tc>
        <w:tc>
          <w:tcPr>
            <w:tcW w:w="26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FA34E9">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r>
              <w:rPr>
                <w:rFonts w:hint="eastAsia" w:ascii="宋体" w:hAnsi="宋体" w:eastAsia="宋体" w:cs="宋体"/>
                <w:color w:val="000000"/>
                <w:sz w:val="24"/>
                <w:szCs w:val="24"/>
              </w:rPr>
              <w:t>≤11</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A6D5B0">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r>
              <w:rPr>
                <w:rFonts w:hint="eastAsia" w:ascii="宋体" w:hAnsi="宋体" w:eastAsia="宋体" w:cs="宋体"/>
                <w:color w:val="000000"/>
                <w:sz w:val="24"/>
                <w:szCs w:val="24"/>
              </w:rPr>
              <w:t>月</w:t>
            </w:r>
          </w:p>
        </w:tc>
        <w:tc>
          <w:tcPr>
            <w:tcW w:w="11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02FECC">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r>
              <w:rPr>
                <w:rFonts w:hint="eastAsia" w:ascii="宋体" w:hAnsi="宋体" w:eastAsia="宋体" w:cs="宋体"/>
                <w:color w:val="000000"/>
                <w:sz w:val="24"/>
                <w:szCs w:val="24"/>
              </w:rPr>
              <w:t>5</w:t>
            </w:r>
          </w:p>
        </w:tc>
        <w:tc>
          <w:tcPr>
            <w:tcW w:w="19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0EBAEB">
            <w:pPr>
              <w:keepNext w:val="0"/>
              <w:keepLines w:val="0"/>
              <w:suppressLineNumbers w:val="0"/>
              <w:spacing w:before="0" w:beforeAutospacing="0" w:after="0" w:afterAutospacing="0" w:line="300" w:lineRule="exact"/>
              <w:ind w:left="0" w:right="0"/>
              <w:jc w:val="left"/>
              <w:rPr>
                <w:rFonts w:hint="default" w:ascii="宋体" w:hAnsi="宋体" w:eastAsia="宋体" w:cs="宋体"/>
                <w:color w:val="000000"/>
                <w:sz w:val="24"/>
                <w:szCs w:val="24"/>
              </w:rPr>
            </w:pPr>
            <w:r>
              <w:rPr>
                <w:rFonts w:hint="eastAsia" w:ascii="宋体" w:hAnsi="宋体" w:eastAsia="宋体" w:cs="宋体"/>
                <w:color w:val="000000"/>
                <w:sz w:val="24"/>
                <w:szCs w:val="24"/>
              </w:rPr>
              <w:t>已完成，已于2023年10月19-20日召开。</w:t>
            </w:r>
          </w:p>
        </w:tc>
      </w:tr>
      <w:tr w14:paraId="6E4055E9">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18EF2E58">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663" w:type="dxa"/>
            <w:vMerge w:val="restart"/>
            <w:tcBorders>
              <w:top w:val="single" w:color="000000" w:sz="4" w:space="0"/>
              <w:left w:val="single" w:color="000000" w:sz="4" w:space="0"/>
              <w:right w:val="single" w:color="000000" w:sz="4" w:space="0"/>
            </w:tcBorders>
            <w:shd w:val="clear" w:color="auto" w:fill="auto"/>
            <w:vAlign w:val="center"/>
          </w:tcPr>
          <w:p w14:paraId="42EA83C9">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效益指标</w:t>
            </w:r>
          </w:p>
        </w:tc>
        <w:tc>
          <w:tcPr>
            <w:tcW w:w="1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5D9299">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kern w:val="0"/>
                <w:sz w:val="24"/>
                <w:szCs w:val="24"/>
              </w:rPr>
            </w:pPr>
            <w:r>
              <w:rPr>
                <w:rFonts w:hint="default" w:ascii="宋体" w:hAnsi="宋体" w:eastAsia="宋体" w:cs="宋体"/>
                <w:color w:val="000000"/>
                <w:kern w:val="0"/>
                <w:sz w:val="24"/>
                <w:szCs w:val="24"/>
              </w:rPr>
              <w:t>经济效益</w:t>
            </w:r>
          </w:p>
          <w:p w14:paraId="6D8F5698">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指标</w:t>
            </w:r>
          </w:p>
        </w:tc>
        <w:tc>
          <w:tcPr>
            <w:tcW w:w="1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9B14C8">
            <w:pPr>
              <w:keepNext w:val="0"/>
              <w:keepLines w:val="0"/>
              <w:suppressLineNumbers w:val="0"/>
              <w:spacing w:before="0" w:beforeAutospacing="0" w:after="0" w:afterAutospacing="0" w:line="300" w:lineRule="exact"/>
              <w:ind w:left="0" w:right="0"/>
              <w:rPr>
                <w:rFonts w:hint="default" w:ascii="宋体" w:hAnsi="宋体" w:eastAsia="宋体" w:cs="宋体"/>
                <w:color w:val="000000"/>
                <w:sz w:val="24"/>
                <w:szCs w:val="24"/>
              </w:rPr>
            </w:pPr>
            <w:r>
              <w:rPr>
                <w:rFonts w:hint="eastAsia" w:ascii="宋体" w:hAnsi="宋体" w:eastAsia="宋体" w:cs="宋体"/>
                <w:color w:val="000000"/>
                <w:sz w:val="24"/>
                <w:szCs w:val="24"/>
              </w:rPr>
              <w:t>指标1：项目投资签约</w:t>
            </w:r>
          </w:p>
        </w:tc>
        <w:tc>
          <w:tcPr>
            <w:tcW w:w="6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474D74">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r>
              <w:rPr>
                <w:rFonts w:hint="eastAsia" w:ascii="宋体" w:hAnsi="宋体" w:eastAsia="宋体" w:cs="宋体"/>
                <w:color w:val="000000"/>
                <w:sz w:val="24"/>
                <w:szCs w:val="24"/>
              </w:rPr>
              <w:t>定量</w:t>
            </w:r>
          </w:p>
        </w:tc>
        <w:tc>
          <w:tcPr>
            <w:tcW w:w="26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432C72">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r>
              <w:rPr>
                <w:rFonts w:hint="eastAsia" w:ascii="宋体" w:hAnsi="宋体" w:eastAsia="宋体" w:cs="宋体"/>
                <w:color w:val="000000"/>
                <w:sz w:val="24"/>
                <w:szCs w:val="24"/>
              </w:rPr>
              <w:t>≥</w:t>
            </w:r>
            <w:r>
              <w:rPr>
                <w:rFonts w:hint="default" w:ascii="宋体" w:hAnsi="宋体" w:eastAsia="宋体" w:cs="宋体"/>
                <w:color w:val="000000"/>
                <w:sz w:val="24"/>
                <w:szCs w:val="24"/>
              </w:rPr>
              <w:t>60</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6F1B71">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r>
              <w:rPr>
                <w:rFonts w:hint="eastAsia" w:ascii="宋体" w:hAnsi="宋体" w:eastAsia="宋体" w:cs="宋体"/>
                <w:color w:val="000000"/>
                <w:sz w:val="24"/>
                <w:szCs w:val="24"/>
              </w:rPr>
              <w:t>亿元</w:t>
            </w:r>
          </w:p>
        </w:tc>
        <w:tc>
          <w:tcPr>
            <w:tcW w:w="11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E299CA">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r>
              <w:rPr>
                <w:rFonts w:hint="eastAsia" w:ascii="宋体" w:hAnsi="宋体" w:eastAsia="宋体" w:cs="宋体"/>
                <w:color w:val="000000"/>
                <w:sz w:val="24"/>
                <w:szCs w:val="24"/>
              </w:rPr>
              <w:t>10</w:t>
            </w:r>
          </w:p>
        </w:tc>
        <w:tc>
          <w:tcPr>
            <w:tcW w:w="19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20E461">
            <w:pPr>
              <w:keepNext w:val="0"/>
              <w:keepLines w:val="0"/>
              <w:suppressLineNumbers w:val="0"/>
              <w:spacing w:before="0" w:beforeAutospacing="0" w:after="0" w:afterAutospacing="0" w:line="300" w:lineRule="exact"/>
              <w:ind w:left="0" w:right="0"/>
              <w:jc w:val="left"/>
              <w:rPr>
                <w:rFonts w:hint="default" w:ascii="宋体" w:hAnsi="宋体" w:eastAsia="宋体" w:cs="宋体"/>
                <w:color w:val="000000"/>
                <w:sz w:val="24"/>
                <w:szCs w:val="24"/>
              </w:rPr>
            </w:pPr>
            <w:r>
              <w:rPr>
                <w:rFonts w:hint="eastAsia" w:ascii="宋体" w:hAnsi="宋体" w:eastAsia="宋体" w:cs="宋体"/>
                <w:color w:val="000000"/>
                <w:sz w:val="24"/>
                <w:szCs w:val="24"/>
              </w:rPr>
              <w:t>已完成，共签约89个物流产业及关联项目，总投资额约</w:t>
            </w:r>
            <w:r>
              <w:rPr>
                <w:rFonts w:hint="default" w:ascii="宋体" w:hAnsi="宋体" w:eastAsia="宋体" w:cs="宋体"/>
                <w:color w:val="000000"/>
                <w:sz w:val="24"/>
                <w:szCs w:val="24"/>
              </w:rPr>
              <w:t>549.18</w:t>
            </w:r>
            <w:r>
              <w:rPr>
                <w:rFonts w:hint="eastAsia" w:ascii="宋体" w:hAnsi="宋体" w:eastAsia="宋体" w:cs="宋体"/>
                <w:color w:val="000000"/>
                <w:sz w:val="24"/>
                <w:szCs w:val="24"/>
              </w:rPr>
              <w:t>亿元。</w:t>
            </w:r>
          </w:p>
        </w:tc>
      </w:tr>
      <w:tr w14:paraId="564FC175">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66B7EB31">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663" w:type="dxa"/>
            <w:vMerge w:val="continue"/>
            <w:tcBorders>
              <w:left w:val="single" w:color="000000" w:sz="4" w:space="0"/>
              <w:right w:val="single" w:color="000000" w:sz="4" w:space="0"/>
            </w:tcBorders>
            <w:shd w:val="clear" w:color="auto" w:fill="auto"/>
            <w:vAlign w:val="center"/>
          </w:tcPr>
          <w:p w14:paraId="483075E3">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1198" w:type="dxa"/>
            <w:tcBorders>
              <w:top w:val="single" w:color="000000" w:sz="4" w:space="0"/>
              <w:left w:val="single" w:color="000000" w:sz="4" w:space="0"/>
              <w:right w:val="single" w:color="000000" w:sz="4" w:space="0"/>
            </w:tcBorders>
            <w:shd w:val="clear" w:color="auto" w:fill="auto"/>
            <w:vAlign w:val="center"/>
          </w:tcPr>
          <w:p w14:paraId="6EA39D29">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kern w:val="0"/>
                <w:sz w:val="24"/>
                <w:szCs w:val="24"/>
              </w:rPr>
            </w:pPr>
            <w:r>
              <w:rPr>
                <w:rFonts w:hint="default" w:ascii="宋体" w:hAnsi="宋体" w:eastAsia="宋体" w:cs="宋体"/>
                <w:color w:val="000000"/>
                <w:kern w:val="0"/>
                <w:sz w:val="24"/>
                <w:szCs w:val="24"/>
              </w:rPr>
              <w:t>社会效益</w:t>
            </w:r>
          </w:p>
          <w:p w14:paraId="1B533497">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指标</w:t>
            </w:r>
          </w:p>
        </w:tc>
        <w:tc>
          <w:tcPr>
            <w:tcW w:w="1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CE31C1">
            <w:pPr>
              <w:keepNext w:val="0"/>
              <w:keepLines w:val="0"/>
              <w:suppressLineNumbers w:val="0"/>
              <w:spacing w:before="0" w:beforeAutospacing="0" w:after="0" w:afterAutospacing="0" w:line="300" w:lineRule="exact"/>
              <w:ind w:left="0" w:right="0"/>
              <w:rPr>
                <w:rFonts w:hint="default" w:ascii="宋体" w:hAnsi="宋体" w:eastAsia="宋体" w:cs="宋体"/>
                <w:color w:val="000000"/>
                <w:sz w:val="24"/>
                <w:szCs w:val="24"/>
              </w:rPr>
            </w:pPr>
            <w:r>
              <w:rPr>
                <w:rFonts w:hint="eastAsia" w:ascii="宋体" w:hAnsi="宋体" w:eastAsia="宋体" w:cs="宋体"/>
                <w:color w:val="000000"/>
                <w:sz w:val="24"/>
                <w:szCs w:val="24"/>
              </w:rPr>
              <w:t>指标1：完善基础设施</w:t>
            </w:r>
          </w:p>
        </w:tc>
        <w:tc>
          <w:tcPr>
            <w:tcW w:w="6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688B6D">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r>
              <w:rPr>
                <w:rFonts w:hint="eastAsia" w:ascii="宋体" w:hAnsi="宋体" w:eastAsia="宋体" w:cs="宋体"/>
                <w:color w:val="000000"/>
                <w:sz w:val="24"/>
                <w:szCs w:val="24"/>
              </w:rPr>
              <w:t>定性</w:t>
            </w:r>
          </w:p>
        </w:tc>
        <w:tc>
          <w:tcPr>
            <w:tcW w:w="26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F4D485">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r>
              <w:rPr>
                <w:rFonts w:hint="eastAsia" w:ascii="宋体" w:hAnsi="宋体" w:eastAsia="宋体" w:cs="宋体"/>
                <w:color w:val="000000"/>
                <w:sz w:val="24"/>
                <w:szCs w:val="24"/>
              </w:rPr>
              <w:t>促进我市物流基础设施进一步完善，社会民生保障更加健全</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C4BB27">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r>
              <w:rPr>
                <w:rFonts w:hint="eastAsia" w:ascii="宋体" w:hAnsi="宋体" w:eastAsia="宋体" w:cs="宋体"/>
                <w:color w:val="000000"/>
                <w:sz w:val="24"/>
                <w:szCs w:val="24"/>
              </w:rPr>
              <w:t>/</w:t>
            </w:r>
          </w:p>
        </w:tc>
        <w:tc>
          <w:tcPr>
            <w:tcW w:w="11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5D1E7A">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r>
              <w:rPr>
                <w:rFonts w:hint="eastAsia" w:ascii="宋体" w:hAnsi="宋体" w:eastAsia="宋体" w:cs="宋体"/>
                <w:color w:val="000000"/>
                <w:sz w:val="24"/>
                <w:szCs w:val="24"/>
              </w:rPr>
              <w:t>10</w:t>
            </w:r>
          </w:p>
        </w:tc>
        <w:tc>
          <w:tcPr>
            <w:tcW w:w="19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18D60B">
            <w:pPr>
              <w:keepNext w:val="0"/>
              <w:keepLines w:val="0"/>
              <w:suppressLineNumbers w:val="0"/>
              <w:spacing w:before="0" w:beforeAutospacing="0" w:after="0" w:afterAutospacing="0" w:line="300" w:lineRule="exact"/>
              <w:ind w:left="0" w:right="0"/>
              <w:jc w:val="left"/>
              <w:rPr>
                <w:rFonts w:hint="default" w:ascii="宋体" w:hAnsi="宋体" w:eastAsia="宋体" w:cs="宋体"/>
                <w:color w:val="000000"/>
                <w:sz w:val="24"/>
                <w:szCs w:val="24"/>
              </w:rPr>
            </w:pPr>
            <w:r>
              <w:rPr>
                <w:rFonts w:hint="eastAsia" w:ascii="宋体" w:hAnsi="宋体" w:eastAsia="宋体" w:cs="宋体"/>
                <w:color w:val="000000"/>
                <w:sz w:val="24"/>
                <w:szCs w:val="24"/>
              </w:rPr>
              <w:t>已完成，广元高铁物流基地动货线工程（一期）、铁路综合物流基地等项目建成投运，海关监管作业场所封关试运行，广元国际铁路物流园多式联运综合服务平台（一期）项目建成投运。</w:t>
            </w:r>
          </w:p>
        </w:tc>
      </w:tr>
      <w:tr w14:paraId="31CCA2CC">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1EC03120">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663" w:type="dxa"/>
            <w:vMerge w:val="continue"/>
            <w:tcBorders>
              <w:left w:val="single" w:color="000000" w:sz="4" w:space="0"/>
              <w:right w:val="single" w:color="000000" w:sz="4" w:space="0"/>
            </w:tcBorders>
            <w:shd w:val="clear" w:color="auto" w:fill="auto"/>
            <w:vAlign w:val="center"/>
          </w:tcPr>
          <w:p w14:paraId="3F051D98">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kern w:val="0"/>
                <w:sz w:val="24"/>
                <w:szCs w:val="24"/>
              </w:rPr>
            </w:pPr>
          </w:p>
        </w:tc>
        <w:tc>
          <w:tcPr>
            <w:tcW w:w="1198" w:type="dxa"/>
            <w:tcBorders>
              <w:top w:val="single" w:color="000000" w:sz="4" w:space="0"/>
              <w:left w:val="single" w:color="000000" w:sz="4" w:space="0"/>
              <w:right w:val="single" w:color="000000" w:sz="4" w:space="0"/>
            </w:tcBorders>
            <w:shd w:val="clear" w:color="auto" w:fill="auto"/>
            <w:vAlign w:val="center"/>
          </w:tcPr>
          <w:p w14:paraId="6B983CE3">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kern w:val="0"/>
                <w:sz w:val="24"/>
                <w:szCs w:val="24"/>
              </w:rPr>
            </w:pPr>
            <w:r>
              <w:rPr>
                <w:rFonts w:hint="eastAsia" w:ascii="宋体" w:hAnsi="宋体" w:eastAsia="宋体" w:cs="宋体"/>
                <w:color w:val="000000"/>
                <w:kern w:val="0"/>
                <w:sz w:val="24"/>
                <w:szCs w:val="24"/>
              </w:rPr>
              <w:t>可持续影响指标</w:t>
            </w:r>
          </w:p>
        </w:tc>
        <w:tc>
          <w:tcPr>
            <w:tcW w:w="1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0ED933">
            <w:pPr>
              <w:keepNext w:val="0"/>
              <w:keepLines w:val="0"/>
              <w:suppressLineNumbers w:val="0"/>
              <w:spacing w:before="0" w:beforeAutospacing="0" w:after="0" w:afterAutospacing="0" w:line="300" w:lineRule="exact"/>
              <w:ind w:left="0" w:right="0"/>
              <w:rPr>
                <w:rFonts w:hint="default" w:ascii="宋体" w:hAnsi="宋体" w:eastAsia="宋体" w:cs="宋体"/>
                <w:color w:val="000000"/>
                <w:sz w:val="24"/>
                <w:szCs w:val="24"/>
              </w:rPr>
            </w:pPr>
            <w:r>
              <w:rPr>
                <w:rFonts w:hint="eastAsia" w:ascii="宋体" w:hAnsi="宋体" w:eastAsia="宋体" w:cs="宋体"/>
                <w:color w:val="000000"/>
                <w:sz w:val="24"/>
                <w:szCs w:val="24"/>
              </w:rPr>
              <w:t>指标1：宣传报道</w:t>
            </w:r>
          </w:p>
        </w:tc>
        <w:tc>
          <w:tcPr>
            <w:tcW w:w="6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124FAC">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r>
              <w:rPr>
                <w:rFonts w:hint="eastAsia" w:ascii="宋体" w:hAnsi="宋体" w:eastAsia="宋体" w:cs="宋体"/>
                <w:color w:val="000000"/>
                <w:sz w:val="24"/>
                <w:szCs w:val="24"/>
              </w:rPr>
              <w:t>定性</w:t>
            </w:r>
          </w:p>
        </w:tc>
        <w:tc>
          <w:tcPr>
            <w:tcW w:w="26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63F226">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r>
              <w:rPr>
                <w:rFonts w:hint="eastAsia" w:ascii="宋体" w:hAnsi="宋体" w:eastAsia="宋体" w:cs="宋体"/>
                <w:color w:val="000000"/>
                <w:sz w:val="24"/>
                <w:szCs w:val="24"/>
              </w:rPr>
              <w:t>中央电视台、四川省电视台报道，各类新闻媒体报道500篇以上</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0DA137">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r>
              <w:rPr>
                <w:rFonts w:hint="eastAsia" w:ascii="宋体" w:hAnsi="宋体" w:eastAsia="宋体" w:cs="宋体"/>
                <w:color w:val="000000"/>
                <w:sz w:val="24"/>
                <w:szCs w:val="24"/>
              </w:rPr>
              <w:t>/</w:t>
            </w:r>
          </w:p>
        </w:tc>
        <w:tc>
          <w:tcPr>
            <w:tcW w:w="11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B4BBAB">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r>
              <w:rPr>
                <w:rFonts w:hint="eastAsia" w:ascii="宋体" w:hAnsi="宋体" w:eastAsia="宋体" w:cs="宋体"/>
                <w:color w:val="000000"/>
                <w:sz w:val="24"/>
                <w:szCs w:val="24"/>
              </w:rPr>
              <w:t>10</w:t>
            </w:r>
          </w:p>
        </w:tc>
        <w:tc>
          <w:tcPr>
            <w:tcW w:w="19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A676B3">
            <w:pPr>
              <w:keepNext w:val="0"/>
              <w:keepLines w:val="0"/>
              <w:suppressLineNumbers w:val="0"/>
              <w:spacing w:before="0" w:beforeAutospacing="0" w:after="0" w:afterAutospacing="0" w:line="300" w:lineRule="exact"/>
              <w:ind w:left="0" w:right="0"/>
              <w:jc w:val="left"/>
              <w:rPr>
                <w:rFonts w:hint="default" w:ascii="宋体" w:hAnsi="宋体" w:eastAsia="宋体" w:cs="宋体"/>
                <w:color w:val="000000"/>
                <w:sz w:val="24"/>
                <w:szCs w:val="24"/>
              </w:rPr>
            </w:pPr>
            <w:r>
              <w:rPr>
                <w:rFonts w:hint="eastAsia" w:ascii="宋体" w:hAnsi="宋体" w:eastAsia="宋体" w:cs="宋体"/>
                <w:color w:val="000000"/>
                <w:sz w:val="24"/>
                <w:szCs w:val="24"/>
              </w:rPr>
              <w:t>已完成，刊发转载物流大会有关新闻稿件超过500篇。</w:t>
            </w:r>
          </w:p>
        </w:tc>
      </w:tr>
      <w:tr w14:paraId="032BA148">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61380035">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663" w:type="dxa"/>
            <w:tcBorders>
              <w:top w:val="single" w:color="000000" w:sz="4" w:space="0"/>
              <w:left w:val="single" w:color="000000" w:sz="4" w:space="0"/>
              <w:right w:val="single" w:color="000000" w:sz="4" w:space="0"/>
            </w:tcBorders>
            <w:shd w:val="clear" w:color="auto" w:fill="auto"/>
            <w:vAlign w:val="center"/>
          </w:tcPr>
          <w:p w14:paraId="65C76C52">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kern w:val="0"/>
                <w:sz w:val="24"/>
                <w:szCs w:val="24"/>
              </w:rPr>
            </w:pPr>
            <w:r>
              <w:rPr>
                <w:rFonts w:hint="default" w:ascii="宋体" w:hAnsi="宋体" w:eastAsia="宋体" w:cs="宋体"/>
                <w:color w:val="000000"/>
                <w:kern w:val="0"/>
                <w:sz w:val="24"/>
                <w:szCs w:val="24"/>
              </w:rPr>
              <w:t>满意度</w:t>
            </w:r>
          </w:p>
          <w:p w14:paraId="641CD73C">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指标</w:t>
            </w:r>
          </w:p>
        </w:tc>
        <w:tc>
          <w:tcPr>
            <w:tcW w:w="1198" w:type="dxa"/>
            <w:tcBorders>
              <w:top w:val="single" w:color="000000" w:sz="4" w:space="0"/>
              <w:left w:val="single" w:color="000000" w:sz="4" w:space="0"/>
              <w:right w:val="single" w:color="000000" w:sz="4" w:space="0"/>
            </w:tcBorders>
            <w:shd w:val="clear" w:color="auto" w:fill="auto"/>
            <w:vAlign w:val="center"/>
          </w:tcPr>
          <w:p w14:paraId="06B3500C">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kern w:val="0"/>
                <w:sz w:val="24"/>
                <w:szCs w:val="24"/>
              </w:rPr>
            </w:pPr>
            <w:r>
              <w:rPr>
                <w:rFonts w:hint="default" w:ascii="宋体" w:hAnsi="宋体" w:eastAsia="宋体" w:cs="宋体"/>
                <w:color w:val="000000"/>
                <w:kern w:val="0"/>
                <w:sz w:val="24"/>
                <w:szCs w:val="24"/>
              </w:rPr>
              <w:t>服务对象</w:t>
            </w:r>
          </w:p>
          <w:p w14:paraId="43FB2CBF">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满意度指标</w:t>
            </w:r>
          </w:p>
        </w:tc>
        <w:tc>
          <w:tcPr>
            <w:tcW w:w="1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CD70D5">
            <w:pPr>
              <w:keepNext w:val="0"/>
              <w:keepLines w:val="0"/>
              <w:suppressLineNumbers w:val="0"/>
              <w:spacing w:before="0" w:beforeAutospacing="0" w:after="0" w:afterAutospacing="0" w:line="300" w:lineRule="exact"/>
              <w:ind w:left="0" w:right="0"/>
              <w:rPr>
                <w:rFonts w:hint="default" w:ascii="宋体" w:hAnsi="宋体" w:eastAsia="宋体" w:cs="宋体"/>
                <w:color w:val="000000"/>
                <w:sz w:val="24"/>
                <w:szCs w:val="24"/>
              </w:rPr>
            </w:pPr>
            <w:r>
              <w:rPr>
                <w:rFonts w:hint="eastAsia" w:ascii="宋体" w:hAnsi="宋体" w:eastAsia="宋体" w:cs="宋体"/>
                <w:color w:val="000000"/>
                <w:sz w:val="24"/>
                <w:szCs w:val="24"/>
              </w:rPr>
              <w:t>指标1</w:t>
            </w:r>
            <w:r>
              <w:rPr>
                <w:rFonts w:hint="eastAsia" w:ascii="宋体" w:hAnsi="宋体" w:cs="宋体"/>
                <w:color w:val="000000"/>
                <w:sz w:val="24"/>
                <w:szCs w:val="24"/>
                <w:lang w:eastAsia="zh-CN"/>
              </w:rPr>
              <w:t>：</w:t>
            </w:r>
            <w:r>
              <w:rPr>
                <w:rFonts w:hint="eastAsia" w:ascii="宋体" w:hAnsi="宋体" w:eastAsia="宋体" w:cs="宋体"/>
                <w:color w:val="000000"/>
                <w:sz w:val="24"/>
                <w:szCs w:val="24"/>
              </w:rPr>
              <w:t>与会嘉宾对大会召开效果满意度</w:t>
            </w:r>
          </w:p>
        </w:tc>
        <w:tc>
          <w:tcPr>
            <w:tcW w:w="6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CA60B0">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r>
              <w:rPr>
                <w:rFonts w:hint="eastAsia" w:ascii="宋体" w:hAnsi="宋体" w:eastAsia="宋体" w:cs="宋体"/>
                <w:color w:val="000000"/>
                <w:sz w:val="24"/>
                <w:szCs w:val="24"/>
              </w:rPr>
              <w:t>定量</w:t>
            </w:r>
          </w:p>
        </w:tc>
        <w:tc>
          <w:tcPr>
            <w:tcW w:w="26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9B6F35">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r>
              <w:rPr>
                <w:rFonts w:hint="eastAsia" w:ascii="宋体" w:hAnsi="宋体" w:eastAsia="宋体" w:cs="宋体"/>
                <w:color w:val="000000"/>
                <w:sz w:val="24"/>
                <w:szCs w:val="24"/>
              </w:rPr>
              <w:t>≥95</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9DDA1B">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r>
              <w:rPr>
                <w:rFonts w:hint="eastAsia" w:ascii="宋体" w:hAnsi="宋体" w:eastAsia="宋体" w:cs="宋体"/>
                <w:color w:val="000000"/>
                <w:sz w:val="24"/>
                <w:szCs w:val="24"/>
              </w:rPr>
              <w:t>%</w:t>
            </w:r>
          </w:p>
        </w:tc>
        <w:tc>
          <w:tcPr>
            <w:tcW w:w="11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5F5515">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r>
              <w:rPr>
                <w:rFonts w:hint="eastAsia" w:ascii="宋体" w:hAnsi="宋体" w:eastAsia="宋体" w:cs="宋体"/>
                <w:color w:val="000000"/>
                <w:sz w:val="24"/>
                <w:szCs w:val="24"/>
              </w:rPr>
              <w:t>10</w:t>
            </w:r>
          </w:p>
        </w:tc>
        <w:tc>
          <w:tcPr>
            <w:tcW w:w="19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C53AA7">
            <w:pPr>
              <w:keepNext w:val="0"/>
              <w:keepLines w:val="0"/>
              <w:suppressLineNumbers w:val="0"/>
              <w:spacing w:before="0" w:beforeAutospacing="0" w:after="0" w:afterAutospacing="0" w:line="300" w:lineRule="exact"/>
              <w:ind w:left="0" w:right="0"/>
              <w:jc w:val="left"/>
              <w:rPr>
                <w:rFonts w:hint="default" w:ascii="宋体" w:hAnsi="宋体" w:eastAsia="宋体" w:cs="宋体"/>
                <w:color w:val="000000"/>
                <w:sz w:val="24"/>
                <w:szCs w:val="24"/>
              </w:rPr>
            </w:pPr>
            <w:r>
              <w:rPr>
                <w:rFonts w:hint="eastAsia" w:ascii="宋体" w:hAnsi="宋体" w:eastAsia="宋体" w:cs="宋体"/>
                <w:color w:val="000000"/>
                <w:sz w:val="24"/>
                <w:szCs w:val="24"/>
              </w:rPr>
              <w:t>已完成，大会成功召开，取得显著成效，圆满实现预期目标，得到社会各界广泛好评，极大提升了广元的知名度和影响力。</w:t>
            </w:r>
          </w:p>
        </w:tc>
      </w:tr>
      <w:tr w14:paraId="23368050">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5A5F9616">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6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AD568D">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成本指标</w:t>
            </w:r>
          </w:p>
        </w:tc>
        <w:tc>
          <w:tcPr>
            <w:tcW w:w="1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862A7C">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kern w:val="0"/>
                <w:sz w:val="24"/>
                <w:szCs w:val="24"/>
              </w:rPr>
            </w:pPr>
            <w:r>
              <w:rPr>
                <w:rFonts w:hint="default" w:ascii="宋体" w:hAnsi="宋体" w:eastAsia="宋体" w:cs="宋体"/>
                <w:color w:val="000000"/>
                <w:kern w:val="0"/>
                <w:sz w:val="24"/>
                <w:szCs w:val="24"/>
              </w:rPr>
              <w:t>经济成本</w:t>
            </w:r>
          </w:p>
          <w:p w14:paraId="3FBE76E6">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指标</w:t>
            </w:r>
          </w:p>
        </w:tc>
        <w:tc>
          <w:tcPr>
            <w:tcW w:w="1445" w:type="dxa"/>
            <w:tcBorders>
              <w:top w:val="single" w:color="000000" w:sz="4" w:space="0"/>
              <w:bottom w:val="single" w:color="000000" w:sz="4" w:space="0"/>
              <w:right w:val="single" w:color="000000" w:sz="4" w:space="0"/>
            </w:tcBorders>
            <w:shd w:val="clear" w:color="auto" w:fill="auto"/>
            <w:vAlign w:val="center"/>
          </w:tcPr>
          <w:p w14:paraId="6B106A86">
            <w:pPr>
              <w:keepNext w:val="0"/>
              <w:keepLines w:val="0"/>
              <w:suppressLineNumbers w:val="0"/>
              <w:spacing w:before="0" w:beforeAutospacing="0" w:after="0" w:afterAutospacing="0" w:line="300" w:lineRule="exact"/>
              <w:ind w:left="0" w:right="0"/>
              <w:rPr>
                <w:rFonts w:hint="default" w:ascii="宋体" w:hAnsi="宋体" w:eastAsia="宋体" w:cs="宋体"/>
                <w:color w:val="000000"/>
                <w:sz w:val="24"/>
                <w:szCs w:val="24"/>
              </w:rPr>
            </w:pPr>
            <w:r>
              <w:rPr>
                <w:rFonts w:hint="eastAsia" w:ascii="宋体" w:hAnsi="宋体" w:eastAsia="宋体" w:cs="宋体"/>
                <w:color w:val="000000"/>
                <w:sz w:val="24"/>
                <w:szCs w:val="24"/>
              </w:rPr>
              <w:t>指标1：项目总额预算控制数</w:t>
            </w:r>
          </w:p>
        </w:tc>
        <w:tc>
          <w:tcPr>
            <w:tcW w:w="6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E8148F">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r>
              <w:rPr>
                <w:rFonts w:hint="eastAsia" w:ascii="宋体" w:hAnsi="宋体" w:eastAsia="宋体" w:cs="宋体"/>
                <w:color w:val="000000"/>
                <w:sz w:val="24"/>
                <w:szCs w:val="24"/>
              </w:rPr>
              <w:t>定量</w:t>
            </w:r>
          </w:p>
        </w:tc>
        <w:tc>
          <w:tcPr>
            <w:tcW w:w="26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975C98">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r>
              <w:rPr>
                <w:rFonts w:hint="default" w:ascii="宋体" w:hAnsi="宋体" w:eastAsia="宋体" w:cs="宋体"/>
                <w:color w:val="000000"/>
                <w:sz w:val="24"/>
                <w:szCs w:val="24"/>
              </w:rPr>
              <w:t>271688.6</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AA634A">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r>
              <w:rPr>
                <w:rFonts w:hint="eastAsia" w:ascii="宋体" w:hAnsi="宋体" w:eastAsia="宋体" w:cs="宋体"/>
                <w:color w:val="000000"/>
                <w:sz w:val="24"/>
                <w:szCs w:val="24"/>
              </w:rPr>
              <w:t>元</w:t>
            </w:r>
          </w:p>
        </w:tc>
        <w:tc>
          <w:tcPr>
            <w:tcW w:w="11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B3194E">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r>
              <w:rPr>
                <w:rFonts w:hint="eastAsia" w:ascii="宋体" w:hAnsi="宋体" w:eastAsia="宋体" w:cs="宋体"/>
                <w:color w:val="000000"/>
                <w:sz w:val="24"/>
                <w:szCs w:val="24"/>
              </w:rPr>
              <w:t>10</w:t>
            </w:r>
          </w:p>
        </w:tc>
        <w:tc>
          <w:tcPr>
            <w:tcW w:w="19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1EE5C1">
            <w:pPr>
              <w:keepNext w:val="0"/>
              <w:keepLines w:val="0"/>
              <w:suppressLineNumbers w:val="0"/>
              <w:spacing w:before="0" w:beforeAutospacing="0" w:after="0" w:afterAutospacing="0" w:line="300" w:lineRule="exact"/>
              <w:ind w:left="0" w:right="0"/>
              <w:jc w:val="left"/>
              <w:rPr>
                <w:rFonts w:hint="default" w:ascii="宋体" w:hAnsi="宋体" w:eastAsia="宋体" w:cs="宋体"/>
                <w:color w:val="000000"/>
                <w:sz w:val="24"/>
                <w:szCs w:val="24"/>
              </w:rPr>
            </w:pPr>
            <w:r>
              <w:rPr>
                <w:rFonts w:hint="default" w:ascii="宋体" w:hAnsi="宋体" w:eastAsia="宋体" w:cs="宋体"/>
                <w:color w:val="000000"/>
                <w:sz w:val="24"/>
                <w:szCs w:val="24"/>
              </w:rPr>
              <w:t>271688.6</w:t>
            </w:r>
          </w:p>
        </w:tc>
      </w:tr>
    </w:tbl>
    <w:p w14:paraId="1C9F8453">
      <w:pPr>
        <w:spacing w:line="600" w:lineRule="exact"/>
        <w:jc w:val="center"/>
        <w:outlineLvl w:val="0"/>
        <w:rPr>
          <w:rFonts w:hint="eastAsia" w:ascii="黑体" w:hAnsi="黑体" w:eastAsia="黑体"/>
          <w:color w:val="auto"/>
          <w:sz w:val="44"/>
          <w:szCs w:val="44"/>
          <w:highlight w:val="none"/>
        </w:rPr>
      </w:pPr>
    </w:p>
    <w:p w14:paraId="14BCDDB1">
      <w:pPr>
        <w:widowControl w:val="0"/>
        <w:spacing w:line="578" w:lineRule="exact"/>
        <w:jc w:val="center"/>
        <w:rPr>
          <w:rFonts w:hint="eastAsia" w:ascii="方正小标宋简体" w:hAnsi="方正小标宋简体" w:eastAsia="方正小标宋简体" w:cs="方正小标宋简体"/>
          <w:color w:val="auto"/>
          <w:kern w:val="2"/>
          <w:sz w:val="44"/>
          <w:szCs w:val="44"/>
          <w:lang w:val="en-US" w:eastAsia="zh-CN" w:bidi="ar-SA"/>
        </w:rPr>
      </w:pPr>
      <w:r>
        <w:rPr>
          <w:rFonts w:hint="eastAsia" w:ascii="方正小标宋简体" w:hAnsi="方正小标宋简体" w:eastAsia="方正小标宋简体" w:cs="方正小标宋简体"/>
          <w:color w:val="auto"/>
          <w:kern w:val="2"/>
          <w:sz w:val="44"/>
          <w:szCs w:val="44"/>
          <w:lang w:val="en-US" w:eastAsia="zh-CN" w:bidi="ar-SA"/>
        </w:rPr>
        <w:t>广元市现代物流产业培育和对外推荐活动经费专项预算项目绩效评价报告</w:t>
      </w:r>
    </w:p>
    <w:p w14:paraId="49B98FF7">
      <w:pPr>
        <w:widowControl w:val="0"/>
        <w:spacing w:line="578" w:lineRule="exact"/>
        <w:ind w:firstLine="640"/>
        <w:jc w:val="center"/>
        <w:rPr>
          <w:rFonts w:hint="eastAsia" w:ascii="宋体" w:hAnsi="宋体" w:eastAsia="宋体" w:cs="Times New Roman"/>
          <w:color w:val="auto"/>
          <w:kern w:val="2"/>
          <w:sz w:val="32"/>
          <w:szCs w:val="32"/>
          <w:lang w:val="zh-CN" w:eastAsia="zh-CN" w:bidi="ar-SA"/>
        </w:rPr>
      </w:pPr>
    </w:p>
    <w:p w14:paraId="78F9633A">
      <w:pPr>
        <w:adjustRightInd w:val="0"/>
        <w:snapToGrid w:val="0"/>
        <w:spacing w:line="578" w:lineRule="exact"/>
        <w:ind w:firstLine="640" w:firstLineChars="200"/>
        <w:rPr>
          <w:rFonts w:hint="eastAsia" w:ascii="黑体" w:hAnsi="宋体" w:eastAsia="黑体" w:cs="Times New Roman"/>
          <w:sz w:val="32"/>
          <w:szCs w:val="32"/>
          <w:lang w:val="zh-CN"/>
        </w:rPr>
      </w:pPr>
      <w:r>
        <w:rPr>
          <w:rFonts w:hint="eastAsia" w:ascii="黑体" w:hAnsi="宋体" w:eastAsia="黑体" w:cs="Times New Roman"/>
          <w:sz w:val="32"/>
          <w:szCs w:val="32"/>
        </w:rPr>
        <w:t>一、</w:t>
      </w:r>
      <w:r>
        <w:rPr>
          <w:rFonts w:hint="eastAsia" w:ascii="黑体" w:hAnsi="宋体" w:eastAsia="黑体" w:cs="Times New Roman"/>
          <w:sz w:val="32"/>
          <w:szCs w:val="32"/>
          <w:lang w:val="zh-CN"/>
        </w:rPr>
        <w:t>项目概况</w:t>
      </w:r>
    </w:p>
    <w:p w14:paraId="4CC719B2">
      <w:pPr>
        <w:topLinePunct/>
        <w:autoSpaceDN w:val="0"/>
        <w:adjustRightInd w:val="0"/>
        <w:snapToGrid w:val="0"/>
        <w:spacing w:line="576" w:lineRule="exact"/>
        <w:ind w:firstLine="643" w:firstLineChars="200"/>
        <w:rPr>
          <w:rFonts w:hint="eastAsia" w:ascii="仿宋_GB2312" w:hAnsi="仿宋_GB2312" w:eastAsia="仿宋_GB2312" w:cs="仿宋_GB2312"/>
          <w:color w:val="FF0000"/>
          <w:kern w:val="0"/>
          <w:sz w:val="32"/>
          <w:szCs w:val="32"/>
          <w:shd w:val="clear" w:color="auto" w:fill="FFFFFF"/>
          <w:lang w:val="zh-CN"/>
        </w:rPr>
      </w:pPr>
      <w:r>
        <w:rPr>
          <w:rFonts w:hint="eastAsia" w:ascii="楷体_GB2312" w:hAnsi="宋体" w:eastAsia="楷体_GB2312" w:cs="Times New Roman"/>
          <w:b/>
          <w:sz w:val="32"/>
          <w:szCs w:val="32"/>
          <w:lang w:val="zh-CN"/>
        </w:rPr>
        <w:t>（一）设立背景及基本情况。</w:t>
      </w:r>
    </w:p>
    <w:p w14:paraId="6FCF8DE5">
      <w:pPr>
        <w:topLinePunct/>
        <w:autoSpaceDN w:val="0"/>
        <w:adjustRightInd w:val="0"/>
        <w:snapToGrid w:val="0"/>
        <w:spacing w:line="576" w:lineRule="exact"/>
        <w:ind w:firstLine="640" w:firstLineChars="200"/>
        <w:rPr>
          <w:rFonts w:ascii="仿宋_GB2312" w:hAnsi="仿宋_GB2312" w:eastAsia="仿宋_GB2312" w:cs="仿宋_GB2312"/>
          <w:kern w:val="0"/>
          <w:sz w:val="32"/>
          <w:szCs w:val="32"/>
          <w:shd w:val="clear" w:color="auto" w:fill="FFFFFF"/>
        </w:rPr>
      </w:pPr>
      <w:r>
        <w:rPr>
          <w:rFonts w:hint="eastAsia" w:ascii="仿宋_GB2312" w:hAnsi="仿宋_GB2312" w:eastAsia="仿宋_GB2312" w:cs="仿宋_GB2312"/>
          <w:kern w:val="0"/>
          <w:sz w:val="32"/>
          <w:szCs w:val="32"/>
          <w:shd w:val="clear" w:color="auto" w:fill="FFFFFF"/>
        </w:rPr>
        <w:t>按照市委宣传部、市委组织部关于印发《2023年度“蜀道大讲堂”专题讲座实施计划》的通知及有关工作安排，市发展改革委牵头邀请到国家发展改革委综合运输研究所所长汪鸣来广进行“现代物流发展趋势与广元产业高质量发展”专题讲座，主要讲授当前现代物流发展趋势及广元现代物流高质量发展的对策建议，助力广元现代物流产业和经济社会发展。</w:t>
      </w:r>
    </w:p>
    <w:p w14:paraId="1CCAA039">
      <w:pPr>
        <w:adjustRightInd w:val="0"/>
        <w:snapToGrid w:val="0"/>
        <w:spacing w:line="578" w:lineRule="exact"/>
        <w:ind w:firstLine="643" w:firstLineChars="200"/>
        <w:rPr>
          <w:rFonts w:hint="eastAsia" w:ascii="楷体_GB2312" w:hAnsi="宋体" w:eastAsia="楷体_GB2312" w:cs="Times New Roman"/>
          <w:b/>
          <w:color w:val="FF0000"/>
          <w:sz w:val="32"/>
          <w:szCs w:val="32"/>
          <w:lang w:val="zh-CN"/>
        </w:rPr>
      </w:pPr>
      <w:r>
        <w:rPr>
          <w:rFonts w:hint="eastAsia" w:ascii="楷体_GB2312" w:hAnsi="宋体" w:eastAsia="楷体_GB2312" w:cs="Times New Roman"/>
          <w:b/>
          <w:sz w:val="32"/>
          <w:szCs w:val="32"/>
          <w:lang w:val="zh-CN"/>
        </w:rPr>
        <w:t>（二）</w:t>
      </w:r>
      <w:r>
        <w:rPr>
          <w:rFonts w:ascii="楷体_GB2312" w:hAnsi="宋体" w:eastAsia="楷体_GB2312" w:cs="Times New Roman"/>
          <w:b/>
          <w:sz w:val="32"/>
          <w:szCs w:val="32"/>
        </w:rPr>
        <w:t>实施目的及支持方向</w:t>
      </w:r>
      <w:r>
        <w:rPr>
          <w:rFonts w:hint="eastAsia" w:ascii="楷体_GB2312" w:hAnsi="宋体" w:eastAsia="楷体_GB2312" w:cs="Times New Roman"/>
          <w:b/>
          <w:sz w:val="32"/>
          <w:szCs w:val="32"/>
        </w:rPr>
        <w:t>。</w:t>
      </w:r>
    </w:p>
    <w:p w14:paraId="31BF12B5">
      <w:pPr>
        <w:adjustRightInd w:val="0"/>
        <w:snapToGrid w:val="0"/>
        <w:spacing w:line="578" w:lineRule="exact"/>
        <w:ind w:firstLine="640" w:firstLineChars="200"/>
        <w:rPr>
          <w:rFonts w:ascii="仿宋_GB2312" w:hAnsi="仿宋_GB2312" w:eastAsia="仿宋_GB2312" w:cs="仿宋_GB2312"/>
          <w:kern w:val="0"/>
          <w:sz w:val="32"/>
          <w:szCs w:val="32"/>
          <w:shd w:val="clear" w:color="auto" w:fill="FFFFFF"/>
        </w:rPr>
      </w:pPr>
      <w:r>
        <w:rPr>
          <w:rFonts w:hint="eastAsia" w:ascii="仿宋_GB2312" w:hAnsi="仿宋_GB2312" w:eastAsia="仿宋_GB2312" w:cs="仿宋_GB2312"/>
          <w:kern w:val="0"/>
          <w:sz w:val="32"/>
          <w:szCs w:val="32"/>
          <w:shd w:val="clear" w:color="auto" w:fill="FFFFFF"/>
        </w:rPr>
        <w:t>为进一步统一思想，凝聚发展现代物流共识，加速推进通道优势向经济优势转变，举办现代物流发展趋势与广元产业高质量发展专题讲座，进一步增强全市领导干部开展现代物流工作的能力和水平。</w:t>
      </w:r>
    </w:p>
    <w:p w14:paraId="50F168F5">
      <w:pPr>
        <w:adjustRightInd w:val="0"/>
        <w:snapToGrid w:val="0"/>
        <w:spacing w:line="576" w:lineRule="exact"/>
        <w:ind w:firstLine="720"/>
        <w:rPr>
          <w:rFonts w:hint="eastAsia" w:ascii="仿宋_GB2312" w:hAnsi="仿宋_GB2312" w:eastAsia="仿宋_GB2312" w:cs="仿宋_GB2312"/>
          <w:color w:val="FF0000"/>
          <w:kern w:val="0"/>
          <w:sz w:val="32"/>
          <w:szCs w:val="32"/>
          <w:shd w:val="clear" w:color="auto" w:fill="FFFFFF"/>
        </w:rPr>
      </w:pPr>
      <w:r>
        <w:rPr>
          <w:rFonts w:hint="eastAsia" w:ascii="楷体_GB2312" w:hAnsi="宋体" w:eastAsia="楷体_GB2312" w:cs="Times New Roman"/>
          <w:b/>
          <w:sz w:val="32"/>
          <w:szCs w:val="32"/>
          <w:lang w:val="zh-CN"/>
        </w:rPr>
        <w:t>（三）</w:t>
      </w:r>
      <w:r>
        <w:rPr>
          <w:rFonts w:ascii="楷体_GB2312" w:hAnsi="宋体" w:eastAsia="楷体_GB2312" w:cs="Times New Roman"/>
          <w:b/>
          <w:sz w:val="32"/>
          <w:szCs w:val="32"/>
        </w:rPr>
        <w:t>预算安排及分配管理</w:t>
      </w:r>
      <w:r>
        <w:rPr>
          <w:rFonts w:hint="eastAsia" w:ascii="楷体_GB2312" w:hAnsi="宋体" w:eastAsia="楷体_GB2312" w:cs="Times New Roman"/>
          <w:b/>
          <w:sz w:val="32"/>
          <w:szCs w:val="32"/>
          <w:lang w:val="zh-CN"/>
        </w:rPr>
        <w:t>。</w:t>
      </w:r>
    </w:p>
    <w:p w14:paraId="32C4902B">
      <w:pPr>
        <w:adjustRightInd w:val="0"/>
        <w:snapToGrid w:val="0"/>
        <w:spacing w:line="576" w:lineRule="exact"/>
        <w:ind w:firstLine="720"/>
        <w:rPr>
          <w:rFonts w:ascii="Times New Roman" w:hAnsi="Times New Roman" w:eastAsia="仿宋_GB2312" w:cs="Times New Roman"/>
          <w:sz w:val="32"/>
          <w:szCs w:val="32"/>
        </w:rPr>
      </w:pPr>
      <w:r>
        <w:rPr>
          <w:rFonts w:hint="eastAsia" w:ascii="仿宋_GB2312" w:hAnsi="Times New Roman" w:eastAsia="仿宋_GB2312" w:cs="仿宋_GB2312"/>
          <w:sz w:val="32"/>
          <w:szCs w:val="32"/>
        </w:rPr>
        <w:t>为高质量举办“蜀道大讲堂”专题讲座，</w:t>
      </w:r>
      <w:r>
        <w:rPr>
          <w:rFonts w:hint="eastAsia" w:ascii="Times New Roman" w:hAnsi="Times New Roman" w:eastAsia="仿宋_GB2312" w:cs="Times New Roman"/>
          <w:sz w:val="32"/>
          <w:szCs w:val="32"/>
        </w:rPr>
        <w:t>项目预算安排19695元，严格按照政府采购程序执行。</w:t>
      </w:r>
    </w:p>
    <w:p w14:paraId="2F1E718C">
      <w:pPr>
        <w:adjustRightInd w:val="0"/>
        <w:snapToGrid w:val="0"/>
        <w:spacing w:line="576" w:lineRule="exact"/>
        <w:ind w:firstLine="720"/>
        <w:rPr>
          <w:rFonts w:hint="eastAsia" w:ascii="仿宋_GB2312" w:hAnsi="仿宋_GB2312" w:eastAsia="仿宋_GB2312" w:cs="仿宋_GB2312"/>
          <w:kern w:val="0"/>
          <w:sz w:val="32"/>
          <w:szCs w:val="32"/>
          <w:shd w:val="clear" w:color="auto" w:fill="FFFFFF"/>
          <w:lang w:val="zh-CN"/>
        </w:rPr>
      </w:pPr>
      <w:r>
        <w:rPr>
          <w:rFonts w:hint="eastAsia" w:ascii="楷体_GB2312" w:hAnsi="宋体" w:eastAsia="楷体_GB2312" w:cs="Times New Roman"/>
          <w:b/>
          <w:sz w:val="32"/>
          <w:szCs w:val="32"/>
          <w:lang w:val="zh-CN"/>
        </w:rPr>
        <w:t>（四）项目绩效目标设置。</w:t>
      </w:r>
    </w:p>
    <w:p w14:paraId="08A3BD79">
      <w:pPr>
        <w:adjustRightInd w:val="0"/>
        <w:snapToGrid w:val="0"/>
        <w:spacing w:line="578" w:lineRule="exact"/>
        <w:ind w:firstLine="640" w:firstLineChars="200"/>
        <w:rPr>
          <w:rFonts w:hint="eastAsia" w:ascii="仿宋_GB2312" w:hAnsi="仿宋_GB2312" w:eastAsia="仿宋_GB2312" w:cs="仿宋_GB2312"/>
          <w:kern w:val="0"/>
          <w:sz w:val="32"/>
          <w:szCs w:val="32"/>
          <w:shd w:val="clear" w:color="auto" w:fill="FFFFFF"/>
          <w:lang w:val="zh-CN"/>
        </w:rPr>
      </w:pPr>
      <w:r>
        <w:rPr>
          <w:rFonts w:hint="eastAsia" w:ascii="仿宋_GB2312" w:hAnsi="仿宋_GB2312" w:eastAsia="仿宋_GB2312" w:cs="仿宋_GB2312"/>
          <w:kern w:val="0"/>
          <w:sz w:val="32"/>
          <w:szCs w:val="32"/>
          <w:shd w:val="clear" w:color="auto" w:fill="FFFFFF"/>
          <w:lang w:val="zh-CN"/>
        </w:rPr>
        <w:t>从数量、质量、时效、效益、满意度方面共设置</w:t>
      </w:r>
      <w:r>
        <w:rPr>
          <w:rFonts w:hint="eastAsia" w:ascii="仿宋_GB2312" w:hAnsi="仿宋_GB2312" w:eastAsia="仿宋_GB2312" w:cs="仿宋_GB2312"/>
          <w:kern w:val="0"/>
          <w:sz w:val="32"/>
          <w:szCs w:val="32"/>
          <w:shd w:val="clear" w:color="auto" w:fill="FFFFFF"/>
        </w:rPr>
        <w:t>8个三级指标</w:t>
      </w:r>
      <w:r>
        <w:rPr>
          <w:rFonts w:hint="eastAsia" w:ascii="仿宋_GB2312" w:hAnsi="仿宋_GB2312" w:eastAsia="仿宋_GB2312" w:cs="仿宋_GB2312"/>
          <w:kern w:val="0"/>
          <w:sz w:val="32"/>
          <w:szCs w:val="32"/>
          <w:shd w:val="clear" w:color="auto" w:fill="FFFFFF"/>
          <w:lang w:val="zh-CN"/>
        </w:rPr>
        <w:t>，包含组织召开现代物流发展趋势与广元产业高质量发展专题讲座、邀请专家、参会人数、会议质量、完成时间、统一思想凝聚共识、促进广元现代物流高质量发展、参会人员满意度。成功邀请到国家发展改革委综合运输研究所领导来广，并组织召开现代物流发展趋势与广元产业高质量发展专题讲座，得到了广大干部好评。</w:t>
      </w:r>
    </w:p>
    <w:p w14:paraId="6185DB6A">
      <w:pPr>
        <w:adjustRightInd w:val="0"/>
        <w:snapToGrid w:val="0"/>
        <w:spacing w:line="578" w:lineRule="exact"/>
        <w:ind w:firstLine="640" w:firstLineChars="200"/>
        <w:rPr>
          <w:rFonts w:hint="eastAsia" w:ascii="黑体" w:hAnsi="宋体" w:eastAsia="黑体" w:cs="Times New Roman"/>
          <w:sz w:val="32"/>
          <w:szCs w:val="32"/>
        </w:rPr>
      </w:pPr>
      <w:r>
        <w:rPr>
          <w:rFonts w:hint="eastAsia" w:ascii="黑体" w:hAnsi="宋体" w:eastAsia="黑体" w:cs="Times New Roman"/>
          <w:sz w:val="32"/>
          <w:szCs w:val="32"/>
        </w:rPr>
        <w:t>二、评价实施</w:t>
      </w:r>
    </w:p>
    <w:p w14:paraId="34A6C829">
      <w:pPr>
        <w:snapToGrid w:val="0"/>
        <w:spacing w:line="600" w:lineRule="exact"/>
        <w:ind w:firstLine="643" w:firstLineChars="200"/>
        <w:jc w:val="left"/>
        <w:rPr>
          <w:rFonts w:ascii="Times New Roman" w:hAnsi="Times New Roman" w:eastAsia="仿宋_GB2312" w:cs="Times New Roman"/>
          <w:sz w:val="32"/>
          <w:szCs w:val="32"/>
        </w:rPr>
      </w:pPr>
      <w:r>
        <w:rPr>
          <w:rFonts w:hint="eastAsia" w:ascii="楷体_GB2312" w:hAnsi="宋体" w:eastAsia="楷体_GB2312" w:cs="Times New Roman"/>
          <w:b/>
          <w:sz w:val="32"/>
          <w:szCs w:val="32"/>
          <w:lang w:val="zh-CN"/>
        </w:rPr>
        <w:t>（一）评价目的。</w:t>
      </w:r>
    </w:p>
    <w:p w14:paraId="641C60FC">
      <w:pPr>
        <w:snapToGrid w:val="0"/>
        <w:spacing w:line="600" w:lineRule="exact"/>
        <w:ind w:firstLine="640" w:firstLineChars="200"/>
        <w:jc w:val="left"/>
        <w:rPr>
          <w:rFonts w:ascii="Times New Roman" w:hAnsi="Times New Roman" w:eastAsia="仿宋_GB2312" w:cs="Times New Roman"/>
          <w:sz w:val="32"/>
          <w:szCs w:val="32"/>
        </w:rPr>
      </w:pPr>
      <w:r>
        <w:rPr>
          <w:rFonts w:hint="eastAsia" w:ascii="仿宋_GB2312" w:hAnsi="仿宋_GB2312" w:eastAsia="仿宋_GB2312" w:cs="仿宋_GB2312"/>
          <w:sz w:val="32"/>
          <w:szCs w:val="32"/>
        </w:rPr>
        <w:t>为项目设立和预算安排提供重要参考依据，提高预算编制科学性、合理性，优化财政支出结构，从源头上防控财政资源配置的低效无效，提高财政资源配置效率和财政资金使用效益。</w:t>
      </w:r>
    </w:p>
    <w:p w14:paraId="7C654EBB">
      <w:pPr>
        <w:adjustRightInd w:val="0"/>
        <w:snapToGrid w:val="0"/>
        <w:spacing w:line="578" w:lineRule="exact"/>
        <w:ind w:firstLine="643" w:firstLineChars="200"/>
        <w:rPr>
          <w:rFonts w:hint="eastAsia" w:ascii="仿宋" w:hAnsi="仿宋" w:eastAsia="仿宋" w:cs="Times New Roman"/>
          <w:color w:val="FF0000"/>
          <w:sz w:val="32"/>
          <w:szCs w:val="32"/>
        </w:rPr>
      </w:pPr>
      <w:r>
        <w:rPr>
          <w:rFonts w:hint="eastAsia" w:ascii="楷体_GB2312" w:hAnsi="宋体" w:eastAsia="楷体_GB2312" w:cs="Times New Roman"/>
          <w:b/>
          <w:sz w:val="32"/>
          <w:szCs w:val="32"/>
          <w:lang w:val="zh-CN"/>
        </w:rPr>
        <w:t>（二）预设问题及评价重点。</w:t>
      </w:r>
    </w:p>
    <w:p w14:paraId="40612268">
      <w:pPr>
        <w:adjustRightInd w:val="0"/>
        <w:snapToGrid w:val="0"/>
        <w:spacing w:line="578" w:lineRule="exact"/>
        <w:ind w:firstLine="640" w:firstLineChars="200"/>
        <w:rPr>
          <w:rFonts w:ascii="Times New Roman" w:hAnsi="Times New Roman" w:eastAsia="仿宋_GB2312" w:cs="Times New Roman"/>
          <w:sz w:val="32"/>
          <w:szCs w:val="32"/>
        </w:rPr>
      </w:pPr>
      <w:r>
        <w:rPr>
          <w:rFonts w:hint="eastAsia" w:ascii="Times New Roman" w:hAnsi="Times New Roman" w:eastAsia="仿宋_GB2312" w:cs="Times New Roman"/>
          <w:sz w:val="32"/>
          <w:szCs w:val="32"/>
        </w:rPr>
        <w:t>按照绩效评价指标体系，对资金支出使用全过程及其实施效果进行综合评价和判断。</w:t>
      </w:r>
    </w:p>
    <w:p w14:paraId="342C297D">
      <w:pPr>
        <w:adjustRightInd w:val="0"/>
        <w:snapToGrid w:val="0"/>
        <w:spacing w:line="578" w:lineRule="exact"/>
        <w:ind w:firstLine="643" w:firstLineChars="200"/>
        <w:rPr>
          <w:rFonts w:ascii="Times New Roman" w:hAnsi="Times New Roman" w:eastAsia="仿宋_GB2312" w:cs="Times New Roman"/>
          <w:sz w:val="32"/>
          <w:szCs w:val="32"/>
          <w:lang w:val="zh-CN"/>
        </w:rPr>
      </w:pPr>
      <w:r>
        <w:rPr>
          <w:rFonts w:hint="eastAsia" w:ascii="楷体_GB2312" w:hAnsi="宋体" w:eastAsia="楷体_GB2312" w:cs="Times New Roman"/>
          <w:b/>
          <w:sz w:val="32"/>
          <w:szCs w:val="32"/>
          <w:lang w:val="zh-CN"/>
        </w:rPr>
        <w:t>（三）评价选点。</w:t>
      </w:r>
    </w:p>
    <w:p w14:paraId="5899AEF4">
      <w:pPr>
        <w:adjustRightInd w:val="0"/>
        <w:snapToGrid w:val="0"/>
        <w:spacing w:line="578" w:lineRule="exact"/>
        <w:ind w:firstLine="640" w:firstLineChars="200"/>
        <w:rPr>
          <w:rFonts w:ascii="Times New Roman" w:hAnsi="Times New Roman" w:eastAsia="仿宋_GB2312" w:cs="Times New Roman"/>
          <w:sz w:val="32"/>
          <w:szCs w:val="32"/>
          <w:lang w:val="zh-CN"/>
        </w:rPr>
      </w:pPr>
      <w:r>
        <w:rPr>
          <w:rFonts w:hint="eastAsia" w:ascii="Times New Roman" w:hAnsi="Times New Roman" w:eastAsia="仿宋_GB2312" w:cs="Times New Roman"/>
          <w:sz w:val="32"/>
          <w:szCs w:val="32"/>
          <w:lang w:val="zh-CN"/>
        </w:rPr>
        <w:t>项目绩效自评所抽样点位情况。</w:t>
      </w:r>
    </w:p>
    <w:p w14:paraId="5B86107E">
      <w:pPr>
        <w:snapToGrid w:val="0"/>
        <w:spacing w:line="600" w:lineRule="exact"/>
        <w:ind w:firstLine="643" w:firstLineChars="200"/>
        <w:rPr>
          <w:rFonts w:ascii="Times New Roman" w:hAnsi="Times New Roman" w:eastAsia="仿宋_GB2312" w:cs="Times New Roman"/>
          <w:sz w:val="32"/>
          <w:szCs w:val="32"/>
        </w:rPr>
      </w:pPr>
      <w:r>
        <w:rPr>
          <w:rFonts w:hint="eastAsia" w:ascii="楷体_GB2312" w:hAnsi="宋体" w:eastAsia="楷体_GB2312" w:cs="Times New Roman"/>
          <w:b/>
          <w:sz w:val="32"/>
          <w:szCs w:val="32"/>
          <w:lang w:val="zh-CN"/>
        </w:rPr>
        <w:t>（四）评价方法。</w:t>
      </w:r>
    </w:p>
    <w:p w14:paraId="3BB25000">
      <w:pPr>
        <w:spacing w:line="578" w:lineRule="exact"/>
        <w:ind w:firstLine="640"/>
        <w:rPr>
          <w:rFonts w:ascii="Times New Roman" w:hAnsi="Times New Roman" w:eastAsia="仿宋_GB2312" w:cs="Times New Roman"/>
          <w:sz w:val="32"/>
          <w:szCs w:val="32"/>
        </w:rPr>
      </w:pPr>
      <w:r>
        <w:rPr>
          <w:rFonts w:hint="eastAsia" w:ascii="Times New Roman" w:hAnsi="Times New Roman" w:eastAsia="仿宋_GB2312" w:cs="Times New Roman"/>
          <w:sz w:val="32"/>
          <w:szCs w:val="32"/>
        </w:rPr>
        <w:t>按照有关规定和工作安排，通过集中研究、专报市领导、座谈研讨等方式方法，对项目的立项必要性、投入经济性、目标合理性、方案可行性以及筹资合规性实施评估。</w:t>
      </w:r>
    </w:p>
    <w:p w14:paraId="60CE5CBA">
      <w:pPr>
        <w:adjustRightInd w:val="0"/>
        <w:snapToGrid w:val="0"/>
        <w:spacing w:line="520" w:lineRule="exact"/>
        <w:ind w:firstLine="643" w:firstLineChars="200"/>
        <w:rPr>
          <w:rFonts w:ascii="Times New Roman" w:hAnsi="Times New Roman" w:eastAsia="仿宋_GB2312" w:cs="Times New Roman"/>
          <w:bCs/>
          <w:sz w:val="32"/>
          <w:szCs w:val="32"/>
        </w:rPr>
      </w:pPr>
      <w:r>
        <w:rPr>
          <w:rFonts w:hint="eastAsia" w:ascii="楷体_GB2312" w:hAnsi="宋体" w:eastAsia="楷体_GB2312" w:cs="Times New Roman"/>
          <w:b/>
          <w:sz w:val="32"/>
          <w:szCs w:val="32"/>
          <w:lang w:val="zh-CN"/>
        </w:rPr>
        <w:t>（五）评价组织。</w:t>
      </w:r>
    </w:p>
    <w:p w14:paraId="1BA8B4A1">
      <w:pPr>
        <w:adjustRightInd w:val="0"/>
        <w:snapToGrid w:val="0"/>
        <w:spacing w:line="520" w:lineRule="exact"/>
        <w:ind w:firstLine="640" w:firstLineChars="200"/>
        <w:rPr>
          <w:rFonts w:ascii="Times New Roman" w:hAnsi="Times New Roman" w:eastAsia="仿宋_GB2312" w:cs="Times New Roman"/>
          <w:bCs/>
          <w:sz w:val="32"/>
          <w:szCs w:val="32"/>
        </w:rPr>
      </w:pPr>
      <w:r>
        <w:rPr>
          <w:rFonts w:hint="eastAsia" w:ascii="Times New Roman" w:hAnsi="Times New Roman" w:eastAsia="仿宋_GB2312" w:cs="Times New Roman"/>
          <w:sz w:val="32"/>
          <w:szCs w:val="32"/>
        </w:rPr>
        <w:t>市发展改革委会同市委组织部、市委宣传部与国家发展改革委综合运输研究所对接联系，确保项目有序开展。</w:t>
      </w:r>
    </w:p>
    <w:p w14:paraId="6E243631">
      <w:pPr>
        <w:adjustRightInd w:val="0"/>
        <w:snapToGrid w:val="0"/>
        <w:spacing w:line="578" w:lineRule="exact"/>
        <w:ind w:firstLine="640" w:firstLineChars="200"/>
        <w:rPr>
          <w:rFonts w:hint="eastAsia" w:ascii="仿宋_GB2312" w:hAnsi="宋体" w:eastAsia="仿宋_GB2312" w:cs="Times New Roman"/>
          <w:sz w:val="32"/>
          <w:szCs w:val="32"/>
          <w:lang w:val="zh-CN"/>
        </w:rPr>
      </w:pPr>
      <w:r>
        <w:rPr>
          <w:rFonts w:hint="eastAsia" w:ascii="黑体" w:hAnsi="宋体" w:eastAsia="黑体" w:cs="Times New Roman"/>
          <w:sz w:val="32"/>
          <w:szCs w:val="32"/>
        </w:rPr>
        <w:t>三、绩效分析</w:t>
      </w:r>
      <w:r>
        <w:rPr>
          <w:rFonts w:hint="eastAsia" w:ascii="仿宋_GB2312" w:hAnsi="宋体" w:eastAsia="仿宋_GB2312" w:cs="Times New Roman"/>
          <w:sz w:val="32"/>
          <w:szCs w:val="32"/>
          <w:lang w:val="zh-CN"/>
        </w:rPr>
        <w:tab/>
      </w:r>
    </w:p>
    <w:p w14:paraId="4C84DC07">
      <w:pPr>
        <w:spacing w:line="578" w:lineRule="exact"/>
        <w:ind w:firstLine="640"/>
        <w:rPr>
          <w:rFonts w:hint="eastAsia" w:ascii="楷体_GB2312" w:hAnsi="宋体" w:eastAsia="楷体_GB2312" w:cs="Times New Roman"/>
          <w:b/>
          <w:sz w:val="32"/>
          <w:szCs w:val="32"/>
        </w:rPr>
      </w:pPr>
      <w:r>
        <w:rPr>
          <w:rFonts w:hint="eastAsia" w:ascii="楷体_GB2312" w:hAnsi="宋体" w:eastAsia="楷体_GB2312" w:cs="Times New Roman"/>
          <w:b/>
          <w:sz w:val="32"/>
          <w:szCs w:val="32"/>
          <w:lang w:val="zh-CN"/>
        </w:rPr>
        <w:t>（一）</w:t>
      </w:r>
      <w:r>
        <w:rPr>
          <w:rFonts w:hint="eastAsia" w:ascii="楷体_GB2312" w:hAnsi="宋体" w:eastAsia="楷体_GB2312" w:cs="Times New Roman"/>
          <w:b/>
          <w:sz w:val="32"/>
          <w:szCs w:val="32"/>
        </w:rPr>
        <w:t>通用指标</w:t>
      </w:r>
      <w:r>
        <w:rPr>
          <w:rFonts w:ascii="Times New Roman" w:hAnsi="Times New Roman" w:eastAsia="楷体_GB2312" w:cs="Times New Roman"/>
          <w:b/>
          <w:bCs/>
          <w:color w:val="000000"/>
          <w:kern w:val="0"/>
          <w:sz w:val="32"/>
          <w:szCs w:val="32"/>
          <w:shd w:val="clear" w:color="auto" w:fill="FFFFFF"/>
          <w:lang w:val="zh-CN"/>
        </w:rPr>
        <w:t>绩效分析。</w:t>
      </w:r>
    </w:p>
    <w:p w14:paraId="399B1410">
      <w:pPr>
        <w:adjustRightInd w:val="0"/>
        <w:snapToGrid w:val="0"/>
        <w:spacing w:line="578" w:lineRule="exact"/>
        <w:ind w:firstLine="640" w:firstLineChars="200"/>
        <w:rPr>
          <w:rFonts w:hint="eastAsia" w:ascii="楷体_GB2312" w:hAnsi="楷体_GB2312" w:eastAsia="楷体_GB2312" w:cs="楷体_GB2312"/>
          <w:sz w:val="32"/>
          <w:szCs w:val="32"/>
        </w:rPr>
      </w:pPr>
      <w:r>
        <w:rPr>
          <w:rFonts w:hint="eastAsia" w:ascii="楷体_GB2312" w:hAnsi="楷体_GB2312" w:eastAsia="楷体_GB2312" w:cs="楷体_GB2312"/>
          <w:sz w:val="32"/>
          <w:szCs w:val="32"/>
        </w:rPr>
        <w:t>1.项目决策。</w:t>
      </w:r>
    </w:p>
    <w:p w14:paraId="0CD3E13B">
      <w:pPr>
        <w:adjustRightInd w:val="0"/>
        <w:snapToGrid w:val="0"/>
        <w:spacing w:line="578" w:lineRule="exact"/>
        <w:ind w:firstLine="640" w:firstLineChars="200"/>
        <w:rPr>
          <w:rFonts w:ascii="仿宋_GB2312" w:hAnsi="Times New Roman" w:eastAsia="仿宋_GB2312" w:cs="仿宋_GB2312"/>
          <w:sz w:val="32"/>
          <w:szCs w:val="32"/>
        </w:rPr>
      </w:pPr>
      <w:r>
        <w:rPr>
          <w:rFonts w:hint="eastAsia" w:ascii="仿宋_GB2312" w:hAnsi="Times New Roman" w:eastAsia="仿宋_GB2312" w:cs="仿宋_GB2312"/>
          <w:sz w:val="32"/>
          <w:szCs w:val="32"/>
        </w:rPr>
        <w:t>为统一全市领导干部思想，凝聚发展现代物流共识，增强开展现代物流工作能力和水平，按照市委宣传部、市委组织部关于印发《2023年度“蜀道大讲堂”专题讲座实施计划》的通知及有关工作安排，并经市领导同意，市发展改革委牵头邀请到国家发展改革委综合运输研究所所长汪鸣来广进行“现代物流发展趋势与广元产业高质量发展”专题讲座。</w:t>
      </w:r>
      <w:r>
        <w:rPr>
          <w:rFonts w:hint="eastAsia" w:ascii="Times New Roman" w:hAnsi="Times New Roman" w:eastAsia="仿宋_GB2312" w:cs="Times New Roman"/>
          <w:sz w:val="32"/>
          <w:szCs w:val="32"/>
        </w:rPr>
        <w:t>项目资金与经济社会发展相匹配，属于政府支持范围，未与其他同类项目或部门内部相关项目交叉重复。</w:t>
      </w:r>
      <w:r>
        <w:rPr>
          <w:rFonts w:hint="eastAsia" w:ascii="仿宋_GB2312" w:hAnsi="仿宋_GB2312" w:eastAsia="仿宋_GB2312" w:cs="仿宋_GB2312"/>
          <w:sz w:val="32"/>
          <w:szCs w:val="32"/>
        </w:rPr>
        <w:t>绩效分析得分18分。</w:t>
      </w:r>
    </w:p>
    <w:p w14:paraId="51E1043A">
      <w:pPr>
        <w:numPr>
          <w:ilvl w:val="0"/>
          <w:numId w:val="9"/>
        </w:numPr>
        <w:spacing w:line="578" w:lineRule="exact"/>
        <w:ind w:firstLine="640" w:firstLineChars="200"/>
        <w:rPr>
          <w:rFonts w:ascii="Times New Roman" w:hAnsi="Times New Roman" w:eastAsia="仿宋_GB2312" w:cs="Times New Roman"/>
          <w:color w:val="FF0000"/>
          <w:sz w:val="32"/>
          <w:szCs w:val="32"/>
        </w:rPr>
      </w:pPr>
      <w:r>
        <w:rPr>
          <w:rFonts w:hint="eastAsia" w:ascii="楷体_GB2312" w:hAnsi="楷体_GB2312" w:eastAsia="楷体_GB2312" w:cs="楷体_GB2312"/>
          <w:sz w:val="32"/>
          <w:szCs w:val="32"/>
        </w:rPr>
        <w:t>项目管理。</w:t>
      </w:r>
    </w:p>
    <w:p w14:paraId="356D8483">
      <w:pPr>
        <w:numPr>
          <w:ilvl w:val="0"/>
          <w:numId w:val="0"/>
        </w:numPr>
        <w:spacing w:line="578" w:lineRule="exact"/>
        <w:ind w:firstLine="640" w:firstLineChars="200"/>
        <w:rPr>
          <w:rFonts w:ascii="Times New Roman" w:hAnsi="Times New Roman" w:eastAsia="仿宋_GB2312" w:cs="Times New Roman"/>
          <w:color w:val="FF0000"/>
          <w:sz w:val="32"/>
          <w:szCs w:val="32"/>
        </w:rPr>
      </w:pPr>
      <w:r>
        <w:rPr>
          <w:rFonts w:hint="eastAsia" w:ascii="Times New Roman" w:hAnsi="Times New Roman" w:eastAsia="仿宋_GB2312" w:cs="Times New Roman"/>
          <w:sz w:val="32"/>
          <w:szCs w:val="32"/>
        </w:rPr>
        <w:t>本项目资金管理办法等管理制度体系健全完善，不存在管理制度缺失和管理制度过期等情况。按照中省要求全面完成了绩效目标（含事前评估）、绩效评价等。绩效分析得分18分。</w:t>
      </w:r>
    </w:p>
    <w:p w14:paraId="54F7440B">
      <w:pPr>
        <w:numPr>
          <w:ilvl w:val="0"/>
          <w:numId w:val="9"/>
        </w:numPr>
        <w:adjustRightInd w:val="0"/>
        <w:snapToGrid w:val="0"/>
        <w:spacing w:line="578" w:lineRule="exact"/>
        <w:ind w:left="0" w:leftChars="0" w:firstLine="640" w:firstLineChars="200"/>
        <w:rPr>
          <w:rFonts w:hint="eastAsia" w:ascii="楷体_GB2312" w:hAnsi="楷体_GB2312" w:eastAsia="楷体_GB2312" w:cs="楷体_GB2312"/>
          <w:sz w:val="32"/>
          <w:szCs w:val="32"/>
        </w:rPr>
      </w:pPr>
      <w:r>
        <w:rPr>
          <w:rFonts w:hint="eastAsia" w:ascii="楷体_GB2312" w:hAnsi="楷体_GB2312" w:eastAsia="楷体_GB2312" w:cs="楷体_GB2312"/>
          <w:sz w:val="32"/>
          <w:szCs w:val="32"/>
        </w:rPr>
        <w:t>项目实施。</w:t>
      </w:r>
    </w:p>
    <w:p w14:paraId="5AD9F4EA">
      <w:pPr>
        <w:numPr>
          <w:ilvl w:val="0"/>
          <w:numId w:val="0"/>
        </w:numPr>
        <w:adjustRightInd w:val="0"/>
        <w:snapToGrid w:val="0"/>
        <w:spacing w:line="578" w:lineRule="exact"/>
        <w:ind w:firstLine="640" w:firstLineChars="200"/>
        <w:rPr>
          <w:rFonts w:ascii="仿宋_GB2312" w:hAnsi="Times New Roman" w:eastAsia="仿宋_GB2312" w:cs="Times New Roman"/>
          <w:sz w:val="32"/>
          <w:szCs w:val="32"/>
        </w:rPr>
      </w:pPr>
      <w:r>
        <w:rPr>
          <w:rFonts w:hint="eastAsia" w:ascii="仿宋_GB2312" w:hAnsi="Times New Roman" w:eastAsia="仿宋_GB2312" w:cs="Times New Roman"/>
          <w:sz w:val="32"/>
          <w:szCs w:val="32"/>
        </w:rPr>
        <w:t>项目的实施包括会议组织、会场使用布置、邀请专家等。本次讲座产生会议费用19695元，财政拨付19695元，单位执行到位19695元。项目资金使用、拨付符合国家财经法规、财务管理制度及有关专项资金管理制度办法规定和审批程序。</w:t>
      </w:r>
      <w:r>
        <w:rPr>
          <w:rFonts w:hint="eastAsia" w:ascii="仿宋_GB2312" w:hAnsi="Times New Roman" w:eastAsia="仿宋_GB2312" w:cs="Times New Roman"/>
          <w:color w:val="000000"/>
          <w:sz w:val="32"/>
          <w:szCs w:val="32"/>
        </w:rPr>
        <w:t>绩效分析得分9分。</w:t>
      </w:r>
    </w:p>
    <w:p w14:paraId="70A06DF3">
      <w:pPr>
        <w:widowControl w:val="0"/>
        <w:numPr>
          <w:ilvl w:val="0"/>
          <w:numId w:val="9"/>
        </w:numPr>
        <w:spacing w:after="0" w:line="600" w:lineRule="exact"/>
        <w:ind w:left="0" w:leftChars="0" w:firstLine="640" w:firstLineChars="200"/>
        <w:jc w:val="both"/>
        <w:rPr>
          <w:rFonts w:hint="eastAsia" w:ascii="楷体_GB2312" w:hAnsi="楷体_GB2312" w:eastAsia="楷体_GB2312" w:cs="楷体_GB2312"/>
          <w:kern w:val="2"/>
          <w:sz w:val="32"/>
          <w:szCs w:val="32"/>
          <w:lang w:val="en-US" w:eastAsia="zh-CN" w:bidi="ar-SA"/>
        </w:rPr>
      </w:pPr>
      <w:r>
        <w:rPr>
          <w:rFonts w:hint="eastAsia" w:ascii="楷体_GB2312" w:hAnsi="楷体_GB2312" w:eastAsia="楷体_GB2312" w:cs="楷体_GB2312"/>
          <w:kern w:val="2"/>
          <w:sz w:val="32"/>
          <w:szCs w:val="32"/>
          <w:lang w:val="en-US" w:eastAsia="zh-CN" w:bidi="ar-SA"/>
        </w:rPr>
        <w:t>项目结果。</w:t>
      </w:r>
    </w:p>
    <w:p w14:paraId="6705AD73">
      <w:pPr>
        <w:widowControl w:val="0"/>
        <w:numPr>
          <w:ilvl w:val="0"/>
          <w:numId w:val="0"/>
        </w:numPr>
        <w:spacing w:after="0" w:line="600" w:lineRule="exact"/>
        <w:ind w:left="420" w:leftChars="200" w:firstLine="640" w:firstLineChars="200"/>
        <w:jc w:val="both"/>
        <w:rPr>
          <w:rFonts w:ascii="仿宋_GB2312" w:hAnsi="Times New Roman" w:eastAsia="仿宋_GB2312" w:cs="Arial"/>
          <w:kern w:val="2"/>
          <w:sz w:val="32"/>
          <w:szCs w:val="32"/>
          <w:lang w:val="en-US" w:eastAsia="zh-CN" w:bidi="ar-SA"/>
        </w:rPr>
      </w:pPr>
      <w:r>
        <w:rPr>
          <w:rFonts w:hint="eastAsia" w:ascii="仿宋_GB2312" w:hAnsi="仿宋_GB2312" w:eastAsia="仿宋_GB2312" w:cs="仿宋_GB2312"/>
          <w:kern w:val="2"/>
          <w:sz w:val="32"/>
          <w:szCs w:val="32"/>
          <w:lang w:val="en-US" w:eastAsia="zh-CN" w:bidi="ar-SA"/>
        </w:rPr>
        <w:t>国家发展改革委综合运输研究所所长汪鸣作“现代物流发展趋势与广元产业高质量发展”专题讲座，分析了当前现代物流前沿趋势并对我市现代物流高质量发展工作提出建议和指导，为下步工作指明方向。</w:t>
      </w:r>
      <w:r>
        <w:rPr>
          <w:rFonts w:hint="eastAsia" w:ascii="仿宋_GB2312" w:hAnsi="Times New Roman" w:eastAsia="仿宋_GB2312" w:cs="Times New Roman"/>
          <w:color w:val="000000"/>
          <w:kern w:val="2"/>
          <w:sz w:val="32"/>
          <w:szCs w:val="32"/>
          <w:lang w:val="en-US" w:eastAsia="zh-CN" w:bidi="ar-SA"/>
        </w:rPr>
        <w:t>绩效分析得分9分。</w:t>
      </w:r>
    </w:p>
    <w:p w14:paraId="0CCDB83F">
      <w:pPr>
        <w:adjustRightInd w:val="0"/>
        <w:snapToGrid w:val="0"/>
        <w:spacing w:line="578" w:lineRule="exact"/>
        <w:ind w:firstLine="643" w:firstLineChars="200"/>
        <w:rPr>
          <w:rFonts w:ascii="仿宋_GB2312" w:hAnsi="Times New Roman" w:eastAsia="仿宋_GB2312" w:cs="Times New Roman"/>
          <w:bCs/>
          <w:color w:val="000000"/>
          <w:sz w:val="32"/>
          <w:szCs w:val="32"/>
        </w:rPr>
      </w:pPr>
      <w:r>
        <w:rPr>
          <w:rFonts w:hint="eastAsia" w:ascii="楷体_GB2312" w:hAnsi="宋体" w:eastAsia="楷体_GB2312" w:cs="Times New Roman"/>
          <w:b/>
          <w:sz w:val="32"/>
          <w:szCs w:val="32"/>
          <w:lang w:val="zh-CN"/>
        </w:rPr>
        <w:t>（二）</w:t>
      </w:r>
      <w:r>
        <w:rPr>
          <w:rFonts w:hint="eastAsia" w:ascii="楷体_GB2312" w:hAnsi="宋体" w:eastAsia="楷体_GB2312" w:cs="Times New Roman"/>
          <w:b/>
          <w:sz w:val="32"/>
          <w:szCs w:val="32"/>
        </w:rPr>
        <w:t>专用指标</w:t>
      </w:r>
      <w:r>
        <w:rPr>
          <w:rFonts w:ascii="Times New Roman" w:hAnsi="Times New Roman" w:eastAsia="楷体_GB2312" w:cs="Times New Roman"/>
          <w:b/>
          <w:bCs/>
          <w:color w:val="000000"/>
          <w:kern w:val="0"/>
          <w:sz w:val="32"/>
          <w:szCs w:val="32"/>
          <w:shd w:val="clear" w:color="auto" w:fill="FFFFFF"/>
          <w:lang w:val="zh-CN"/>
        </w:rPr>
        <w:t>绩效分析。</w:t>
      </w:r>
    </w:p>
    <w:p w14:paraId="723849E5">
      <w:pPr>
        <w:adjustRightInd w:val="0"/>
        <w:snapToGrid w:val="0"/>
        <w:spacing w:line="578" w:lineRule="exact"/>
        <w:ind w:firstLine="640" w:firstLineChars="200"/>
        <w:rPr>
          <w:rFonts w:ascii="仿宋_GB2312" w:hAnsi="Times New Roman" w:eastAsia="仿宋_GB2312" w:cs="Times New Roman"/>
          <w:bCs/>
          <w:color w:val="000000"/>
          <w:sz w:val="32"/>
          <w:szCs w:val="32"/>
        </w:rPr>
      </w:pPr>
      <w:r>
        <w:rPr>
          <w:rFonts w:hint="eastAsia" w:ascii="仿宋_GB2312" w:hAnsi="仿宋_GB2312" w:eastAsia="仿宋_GB2312" w:cs="仿宋_GB2312"/>
          <w:sz w:val="32"/>
          <w:szCs w:val="32"/>
        </w:rPr>
        <w:t>现代物流是延伸产业链、提升价值链、打造供应链的重要支撑，在建设现代化经济体系中发挥着先导性、基础性、战略性作用。党的二十大报告提出，建设高效顺畅的流通体系，降低物流成本。国务院《“十四五”现代物流发展规划》聚焦构建供需适配、内外联通、安全高效、智慧绿色的现代物流体系，作出一系列具有创新性、前瞻性、可操作性的重大战略谋划。广元，位于成都、西安、重庆、兰州四大城市的几何中心，是国家规划建设的全国性综合交通枢纽城市、四川省第二大铁路枢纽，是连接“一带一路”、西部陆海新通道和长江经济带的重要支点城市，是四川省明确支持建设的成渝地区北向重要门户枢纽和能源粮食安全保障基地。近年来，广元市大力实施“1345”发展战略，高质量推进广元国际铁路港、广元公路物流港、广元嘉陵江物流港、广元航空物流港建设，全力培育创建国家物流枢纽承载城市，积极融入国家“通道+枢纽+网络”的现代物流运行体系，加快建设川陕甘结合部现代化中心城市。举办“</w:t>
      </w:r>
      <w:r>
        <w:rPr>
          <w:rFonts w:hint="eastAsia" w:ascii="Times New Roman" w:hAnsi="仿宋_GB2312" w:eastAsia="仿宋_GB2312" w:cs="仿宋_GB2312"/>
          <w:sz w:val="32"/>
          <w:szCs w:val="32"/>
        </w:rPr>
        <w:t>现代物流发展趋势与广元产业高质量发展”专题讲座，有利于</w:t>
      </w:r>
      <w:r>
        <w:rPr>
          <w:rFonts w:hint="eastAsia" w:ascii="Times New Roman" w:hAnsi="Times New Roman" w:eastAsia="仿宋_GB2312" w:cs="Arial"/>
          <w:sz w:val="32"/>
          <w:szCs w:val="32"/>
        </w:rPr>
        <w:t>分析了当前现代物流前沿趋势，并结合我市实际，提出对我市现代物流高质量发展工作提出建议和指导，助力我市现代物流产业发展，推进通道优势向经济优势转变。</w:t>
      </w:r>
      <w:r>
        <w:rPr>
          <w:rFonts w:hint="eastAsia" w:ascii="仿宋_GB2312" w:hAnsi="仿宋_GB2312" w:eastAsia="仿宋_GB2312" w:cs="仿宋_GB2312"/>
          <w:sz w:val="32"/>
          <w:szCs w:val="32"/>
        </w:rPr>
        <w:t>绩效分析得分30分。</w:t>
      </w:r>
    </w:p>
    <w:p w14:paraId="6008B9F8">
      <w:pPr>
        <w:spacing w:line="578" w:lineRule="exact"/>
        <w:ind w:firstLine="640"/>
        <w:rPr>
          <w:rFonts w:ascii="Times New Roman" w:hAnsi="Times New Roman" w:eastAsia="仿宋_GB2312" w:cs="Times New Roman"/>
          <w:sz w:val="32"/>
          <w:szCs w:val="32"/>
          <w:lang w:val="zh-CN"/>
        </w:rPr>
      </w:pPr>
      <w:r>
        <w:rPr>
          <w:rFonts w:hint="eastAsia" w:ascii="楷体_GB2312" w:hAnsi="宋体" w:eastAsia="楷体_GB2312" w:cs="Times New Roman"/>
          <w:b/>
          <w:sz w:val="32"/>
          <w:szCs w:val="32"/>
          <w:lang w:val="zh-CN"/>
        </w:rPr>
        <w:t>（三）</w:t>
      </w:r>
      <w:r>
        <w:rPr>
          <w:rFonts w:hint="eastAsia" w:ascii="楷体_GB2312" w:hAnsi="宋体" w:eastAsia="楷体_GB2312" w:cs="Times New Roman"/>
          <w:b/>
          <w:sz w:val="32"/>
          <w:szCs w:val="32"/>
        </w:rPr>
        <w:t>个性指标</w:t>
      </w:r>
      <w:r>
        <w:rPr>
          <w:rFonts w:ascii="Times New Roman" w:hAnsi="Times New Roman" w:eastAsia="楷体_GB2312" w:cs="Times New Roman"/>
          <w:b/>
          <w:bCs/>
          <w:color w:val="000000"/>
          <w:kern w:val="0"/>
          <w:sz w:val="32"/>
          <w:szCs w:val="32"/>
          <w:shd w:val="clear" w:color="auto" w:fill="FFFFFF"/>
          <w:lang w:val="zh-CN"/>
        </w:rPr>
        <w:t>绩效分析。</w:t>
      </w:r>
      <w:r>
        <w:rPr>
          <w:rFonts w:hint="eastAsia" w:ascii="Times New Roman" w:hAnsi="Times New Roman" w:eastAsia="仿宋_GB2312" w:cs="Arial"/>
          <w:sz w:val="32"/>
          <w:szCs w:val="32"/>
        </w:rPr>
        <w:t>2023年5月23日，市委组织部、市发展改革委组织承办了第68期蜀道大讲堂，邀请了国家发展改革委综合运输研究所所长汪鸣作“现代物流发展趋势与广元产业高质量发展”专题讲座，主会场市级有关部门518人参会，各县区设立分会场，讲座取得预期成效。</w:t>
      </w:r>
      <w:r>
        <w:rPr>
          <w:rFonts w:hint="eastAsia" w:ascii="仿宋_GB2312" w:hAnsi="仿宋_GB2312" w:eastAsia="仿宋_GB2312" w:cs="仿宋_GB2312"/>
          <w:sz w:val="32"/>
          <w:szCs w:val="32"/>
        </w:rPr>
        <w:t>绩效分析得分16分。</w:t>
      </w:r>
    </w:p>
    <w:p w14:paraId="7D257A2C">
      <w:pPr>
        <w:adjustRightInd w:val="0"/>
        <w:snapToGrid w:val="0"/>
        <w:spacing w:line="576" w:lineRule="exact"/>
        <w:ind w:firstLine="720"/>
        <w:rPr>
          <w:rFonts w:ascii="仿宋_GB2312" w:hAnsi="Times New Roman" w:eastAsia="仿宋_GB2312" w:cs="仿宋_GB2312"/>
          <w:sz w:val="32"/>
          <w:szCs w:val="32"/>
        </w:rPr>
      </w:pPr>
      <w:r>
        <w:rPr>
          <w:rFonts w:hint="eastAsia" w:ascii="黑体" w:hAnsi="宋体" w:eastAsia="黑体" w:cs="Times New Roman"/>
          <w:sz w:val="32"/>
          <w:szCs w:val="32"/>
        </w:rPr>
        <w:t>四、评价结论</w:t>
      </w:r>
    </w:p>
    <w:p w14:paraId="41DCF778">
      <w:pPr>
        <w:adjustRightInd w:val="0"/>
        <w:snapToGrid w:val="0"/>
        <w:spacing w:line="576" w:lineRule="exact"/>
        <w:ind w:firstLine="720"/>
        <w:rPr>
          <w:rFonts w:ascii="仿宋_GB2312" w:hAnsi="Times New Roman" w:eastAsia="仿宋_GB2312" w:cs="仿宋_GB2312"/>
          <w:sz w:val="32"/>
          <w:szCs w:val="32"/>
        </w:rPr>
      </w:pPr>
      <w:r>
        <w:rPr>
          <w:rFonts w:hint="eastAsia" w:ascii="Times New Roman" w:hAnsi="Times New Roman" w:eastAsia="仿宋_GB2312" w:cs="Arial"/>
          <w:sz w:val="32"/>
          <w:szCs w:val="32"/>
        </w:rPr>
        <w:t>我市依托现代物流发展趋势与广元产业高质量发展”专题讲座，进一步统一了全市领导干部思想，凝聚发展现代物流共识，增强了开展现代物流工作能力和水平。</w:t>
      </w:r>
      <w:r>
        <w:rPr>
          <w:rFonts w:hint="eastAsia" w:ascii="仿宋_GB2312" w:hAnsi="仿宋_GB2312" w:eastAsia="仿宋_GB2312" w:cs="仿宋_GB2312"/>
          <w:sz w:val="32"/>
          <w:szCs w:val="32"/>
        </w:rPr>
        <w:t>绩效分析评分100分。</w:t>
      </w:r>
    </w:p>
    <w:p w14:paraId="36885EED">
      <w:pPr>
        <w:widowControl/>
        <w:tabs>
          <w:tab w:val="left" w:pos="2160"/>
        </w:tabs>
        <w:spacing w:line="600" w:lineRule="exact"/>
        <w:ind w:firstLine="640" w:firstLineChars="200"/>
        <w:jc w:val="left"/>
        <w:rPr>
          <w:rFonts w:hint="eastAsia" w:ascii="黑体" w:hAnsi="宋体" w:eastAsia="黑体" w:cs="Times New Roman"/>
          <w:kern w:val="0"/>
          <w:position w:val="3"/>
          <w:sz w:val="32"/>
          <w:szCs w:val="32"/>
          <w:lang w:val="en-US" w:eastAsia="zh-CN" w:bidi="ar-SA"/>
        </w:rPr>
      </w:pPr>
      <w:r>
        <w:rPr>
          <w:rFonts w:hint="eastAsia" w:ascii="黑体" w:hAnsi="宋体" w:eastAsia="黑体" w:cs="Times New Roman"/>
          <w:kern w:val="0"/>
          <w:position w:val="3"/>
          <w:sz w:val="32"/>
          <w:szCs w:val="32"/>
          <w:lang w:val="en-US" w:eastAsia="zh-CN" w:bidi="ar-SA"/>
        </w:rPr>
        <w:t>五、存在主要问题</w:t>
      </w:r>
    </w:p>
    <w:p w14:paraId="67447242">
      <w:pPr>
        <w:spacing w:line="578" w:lineRule="exact"/>
        <w:ind w:firstLine="640"/>
        <w:rPr>
          <w:rFonts w:ascii="Times New Roman" w:hAnsi="Times New Roman" w:eastAsia="仿宋_GB2312" w:cs="Times New Roman"/>
          <w:sz w:val="32"/>
          <w:szCs w:val="32"/>
          <w:lang w:val="zh-CN"/>
        </w:rPr>
      </w:pPr>
      <w:r>
        <w:rPr>
          <w:rFonts w:hint="eastAsia" w:ascii="Times New Roman" w:hAnsi="Times New Roman" w:eastAsia="仿宋_GB2312" w:cs="Times New Roman"/>
          <w:sz w:val="32"/>
          <w:szCs w:val="32"/>
          <w:lang w:val="zh-CN"/>
        </w:rPr>
        <w:t>无。</w:t>
      </w:r>
    </w:p>
    <w:p w14:paraId="1E8C2136">
      <w:pPr>
        <w:widowControl/>
        <w:tabs>
          <w:tab w:val="left" w:pos="2160"/>
        </w:tabs>
        <w:spacing w:line="600" w:lineRule="exact"/>
        <w:ind w:firstLine="640" w:firstLineChars="200"/>
        <w:jc w:val="left"/>
        <w:rPr>
          <w:rFonts w:hint="eastAsia" w:ascii="黑体" w:hAnsi="宋体" w:eastAsia="黑体" w:cs="Times New Roman"/>
          <w:kern w:val="0"/>
          <w:position w:val="3"/>
          <w:sz w:val="32"/>
          <w:szCs w:val="32"/>
          <w:lang w:val="zh-CN" w:eastAsia="zh-CN" w:bidi="ar-SA"/>
        </w:rPr>
      </w:pPr>
      <w:r>
        <w:rPr>
          <w:rFonts w:hint="eastAsia" w:ascii="黑体" w:hAnsi="宋体" w:eastAsia="黑体" w:cs="Times New Roman"/>
          <w:kern w:val="0"/>
          <w:position w:val="3"/>
          <w:sz w:val="32"/>
          <w:szCs w:val="32"/>
          <w:lang w:val="zh-CN" w:eastAsia="zh-CN" w:bidi="ar-SA"/>
        </w:rPr>
        <w:t>六、改进建议</w:t>
      </w:r>
    </w:p>
    <w:p w14:paraId="683B4937">
      <w:pPr>
        <w:overflowPunct w:val="0"/>
        <w:adjustRightInd w:val="0"/>
        <w:snapToGrid w:val="0"/>
        <w:spacing w:line="600" w:lineRule="exact"/>
        <w:ind w:firstLine="640" w:firstLineChars="200"/>
        <w:textAlignment w:val="bottom"/>
        <w:rPr>
          <w:rFonts w:ascii="仿宋_GB2312" w:hAnsi="Times New Roman" w:eastAsia="仿宋_GB2312" w:cs="仿宋_GB2312"/>
          <w:sz w:val="32"/>
          <w:szCs w:val="32"/>
        </w:rPr>
      </w:pPr>
      <w:r>
        <w:rPr>
          <w:rFonts w:hint="eastAsia" w:ascii="仿宋_GB2312" w:hAnsi="Times New Roman" w:eastAsia="仿宋_GB2312" w:cs="Times New Roman"/>
          <w:sz w:val="32"/>
          <w:szCs w:val="32"/>
        </w:rPr>
        <w:t>无。</w:t>
      </w:r>
    </w:p>
    <w:p w14:paraId="17E863B3">
      <w:pPr>
        <w:tabs>
          <w:tab w:val="left" w:pos="1911"/>
        </w:tabs>
        <w:jc w:val="left"/>
        <w:rPr>
          <w:rFonts w:hint="eastAsia" w:ascii="仿宋_GB2312" w:hAnsi="仿宋_GB2312" w:eastAsia="仿宋_GB2312" w:cs="仿宋_GB2312"/>
          <w:kern w:val="0"/>
          <w:sz w:val="32"/>
          <w:szCs w:val="32"/>
          <w:lang w:val="en"/>
        </w:rPr>
      </w:pPr>
    </w:p>
    <w:p w14:paraId="0849709E">
      <w:pPr>
        <w:snapToGrid w:val="0"/>
        <w:spacing w:line="578" w:lineRule="exact"/>
        <w:ind w:firstLine="640" w:firstLineChars="200"/>
        <w:rPr>
          <w:rFonts w:ascii="Times New Roman" w:hAnsi="Times New Roman" w:eastAsia="仿宋_GB2312" w:cs="Times New Roman"/>
          <w:color w:val="000000"/>
          <w:kern w:val="0"/>
          <w:sz w:val="32"/>
          <w:szCs w:val="32"/>
          <w:shd w:val="clear" w:color="auto" w:fill="FFFFFF"/>
          <w:lang w:val="zh-CN"/>
        </w:rPr>
      </w:pPr>
    </w:p>
    <w:p w14:paraId="38983109">
      <w:pPr>
        <w:snapToGrid w:val="0"/>
        <w:spacing w:line="578" w:lineRule="exact"/>
        <w:ind w:firstLine="640" w:firstLineChars="200"/>
        <w:rPr>
          <w:rFonts w:ascii="Times New Roman" w:hAnsi="Times New Roman" w:eastAsia="仿宋_GB2312" w:cs="Times New Roman"/>
          <w:color w:val="000000"/>
          <w:kern w:val="0"/>
          <w:sz w:val="32"/>
          <w:szCs w:val="32"/>
          <w:shd w:val="clear" w:color="auto" w:fill="FFFFFF"/>
          <w:lang w:val="zh-CN"/>
        </w:rPr>
      </w:pPr>
      <w:r>
        <w:rPr>
          <w:rFonts w:hint="eastAsia" w:ascii="Times New Roman" w:hAnsi="Times New Roman" w:eastAsia="仿宋_GB2312" w:cs="Times New Roman"/>
          <w:color w:val="000000"/>
          <w:kern w:val="0"/>
          <w:sz w:val="32"/>
          <w:szCs w:val="32"/>
          <w:shd w:val="clear" w:color="auto" w:fill="FFFFFF"/>
        </w:rPr>
        <w:t>附表：专项预算项目绩效目标完成情况自评表</w:t>
      </w:r>
      <w:r>
        <w:rPr>
          <w:rFonts w:hint="eastAsia" w:ascii="Times New Roman" w:hAnsi="Times New Roman" w:eastAsia="仿宋_GB2312" w:cs="Times New Roman"/>
          <w:color w:val="000000"/>
          <w:kern w:val="0"/>
          <w:sz w:val="32"/>
          <w:szCs w:val="32"/>
          <w:shd w:val="clear" w:color="auto" w:fill="FFFFFF"/>
          <w:lang w:val="zh-CN"/>
        </w:rPr>
        <w:br w:type="page"/>
      </w:r>
    </w:p>
    <w:p w14:paraId="29EEF7C1">
      <w:pPr>
        <w:widowControl w:val="0"/>
        <w:spacing w:after="0" w:line="578" w:lineRule="exact"/>
        <w:ind w:left="0" w:leftChars="0" w:firstLine="0" w:firstLineChars="0"/>
        <w:jc w:val="both"/>
        <w:rPr>
          <w:rFonts w:ascii="Times New Roman" w:hAnsi="Times New Roman" w:eastAsia="黑体" w:cs="Times New Roman"/>
          <w:kern w:val="2"/>
          <w:sz w:val="32"/>
          <w:szCs w:val="24"/>
          <w:lang w:val="en-US" w:eastAsia="zh-CN" w:bidi="ar-SA"/>
        </w:rPr>
      </w:pPr>
      <w:r>
        <w:rPr>
          <w:rFonts w:ascii="Times New Roman" w:hAnsi="Times New Roman" w:eastAsia="黑体" w:cs="Times New Roman"/>
          <w:kern w:val="2"/>
          <w:sz w:val="32"/>
          <w:szCs w:val="24"/>
          <w:lang w:val="en-US" w:eastAsia="zh-CN" w:bidi="ar-SA"/>
        </w:rPr>
        <w:t>附表</w:t>
      </w:r>
    </w:p>
    <w:tbl>
      <w:tblPr>
        <w:tblStyle w:val="20"/>
        <w:tblW w:w="11070" w:type="dxa"/>
        <w:jc w:val="center"/>
        <w:tblLayout w:type="fixed"/>
        <w:tblCellMar>
          <w:top w:w="15" w:type="dxa"/>
          <w:left w:w="15" w:type="dxa"/>
          <w:bottom w:w="15" w:type="dxa"/>
          <w:right w:w="15" w:type="dxa"/>
        </w:tblCellMar>
      </w:tblPr>
      <w:tblGrid>
        <w:gridCol w:w="652"/>
        <w:gridCol w:w="663"/>
        <w:gridCol w:w="1198"/>
        <w:gridCol w:w="1445"/>
        <w:gridCol w:w="633"/>
        <w:gridCol w:w="2671"/>
        <w:gridCol w:w="634"/>
        <w:gridCol w:w="1197"/>
        <w:gridCol w:w="1977"/>
      </w:tblGrid>
      <w:tr w14:paraId="3D3B16D8">
        <w:tblPrEx>
          <w:tblCellMar>
            <w:top w:w="15" w:type="dxa"/>
            <w:left w:w="15" w:type="dxa"/>
            <w:bottom w:w="15" w:type="dxa"/>
            <w:right w:w="15" w:type="dxa"/>
          </w:tblCellMar>
        </w:tblPrEx>
        <w:trPr>
          <w:trHeight w:val="576" w:hRule="atLeast"/>
          <w:jc w:val="center"/>
        </w:trPr>
        <w:tc>
          <w:tcPr>
            <w:tcW w:w="11070" w:type="dxa"/>
            <w:gridSpan w:val="9"/>
            <w:shd w:val="clear" w:color="auto" w:fill="auto"/>
            <w:vAlign w:val="center"/>
          </w:tcPr>
          <w:p w14:paraId="2FB62377">
            <w:pPr>
              <w:keepNext w:val="0"/>
              <w:keepLines w:val="0"/>
              <w:widowControl/>
              <w:suppressLineNumbers w:val="0"/>
              <w:spacing w:before="0" w:beforeAutospacing="0" w:after="0" w:afterAutospacing="0" w:line="600" w:lineRule="exact"/>
              <w:ind w:left="0" w:right="0"/>
              <w:jc w:val="center"/>
              <w:textAlignment w:val="center"/>
              <w:rPr>
                <w:rFonts w:hint="eastAsia" w:ascii="黑体" w:hAnsi="宋体" w:eastAsia="黑体" w:cs="黑体"/>
                <w:color w:val="000000"/>
                <w:sz w:val="30"/>
                <w:szCs w:val="30"/>
              </w:rPr>
            </w:pPr>
            <w:r>
              <w:rPr>
                <w:rFonts w:hint="eastAsia" w:ascii="方正小标宋简体" w:hAnsi="方正小标宋简体" w:eastAsia="方正小标宋简体" w:cs="方正小标宋简体"/>
                <w:color w:val="000000"/>
                <w:kern w:val="0"/>
                <w:sz w:val="40"/>
                <w:szCs w:val="40"/>
                <w:lang w:bidi="ar"/>
              </w:rPr>
              <w:t>专项预算项目绩效目标完成情况自评表</w:t>
            </w:r>
          </w:p>
        </w:tc>
      </w:tr>
      <w:tr w14:paraId="73BAAD46">
        <w:tblPrEx>
          <w:tblCellMar>
            <w:top w:w="15" w:type="dxa"/>
            <w:left w:w="15" w:type="dxa"/>
            <w:bottom w:w="15" w:type="dxa"/>
            <w:right w:w="15" w:type="dxa"/>
          </w:tblCellMar>
        </w:tblPrEx>
        <w:trPr>
          <w:trHeight w:val="23" w:hRule="atLeast"/>
          <w:jc w:val="center"/>
        </w:trPr>
        <w:tc>
          <w:tcPr>
            <w:tcW w:w="3958"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6468FA68">
            <w:pPr>
              <w:keepNext w:val="0"/>
              <w:keepLines w:val="0"/>
              <w:widowControl/>
              <w:suppressLineNumbers w:val="0"/>
              <w:spacing w:before="0" w:beforeAutospacing="0" w:after="0" w:afterAutospacing="0" w:line="300" w:lineRule="exact"/>
              <w:ind w:left="0" w:right="0"/>
              <w:jc w:val="left"/>
              <w:textAlignment w:val="center"/>
              <w:rPr>
                <w:rFonts w:hint="eastAsia" w:ascii="宋体" w:hAnsi="宋体" w:eastAsia="宋体" w:cs="宋体"/>
                <w:color w:val="000000"/>
                <w:sz w:val="24"/>
                <w:szCs w:val="24"/>
              </w:rPr>
            </w:pPr>
            <w:r>
              <w:rPr>
                <w:rFonts w:hint="default" w:ascii="宋体" w:hAnsi="宋体" w:eastAsia="宋体" w:cs="宋体"/>
                <w:color w:val="000000"/>
                <w:sz w:val="24"/>
                <w:szCs w:val="24"/>
              </w:rPr>
              <w:t>项目名称</w:t>
            </w:r>
          </w:p>
        </w:tc>
        <w:tc>
          <w:tcPr>
            <w:tcW w:w="7112"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8F6DEFB">
            <w:pPr>
              <w:keepNext w:val="0"/>
              <w:keepLines w:val="0"/>
              <w:widowControl/>
              <w:suppressLineNumbers w:val="0"/>
              <w:spacing w:before="0" w:beforeAutospacing="0" w:after="0" w:afterAutospacing="0" w:line="300" w:lineRule="exact"/>
              <w:ind w:left="0" w:right="0"/>
              <w:jc w:val="left"/>
              <w:textAlignment w:val="center"/>
              <w:rPr>
                <w:rFonts w:hint="eastAsia" w:ascii="宋体" w:hAnsi="宋体" w:eastAsia="宋体" w:cs="宋体"/>
                <w:color w:val="000000"/>
                <w:sz w:val="24"/>
                <w:szCs w:val="24"/>
              </w:rPr>
            </w:pPr>
            <w:r>
              <w:rPr>
                <w:rFonts w:hint="eastAsia" w:ascii="宋体" w:hAnsi="宋体" w:eastAsia="宋体" w:cs="宋体"/>
                <w:color w:val="000000"/>
                <w:sz w:val="24"/>
                <w:szCs w:val="24"/>
              </w:rPr>
              <w:t>现代物流发展趋势与广元产业高质量发展专题讲座</w:t>
            </w:r>
          </w:p>
        </w:tc>
      </w:tr>
      <w:tr w14:paraId="6EDF0A6D">
        <w:tblPrEx>
          <w:tblCellMar>
            <w:top w:w="15" w:type="dxa"/>
            <w:left w:w="15" w:type="dxa"/>
            <w:bottom w:w="15" w:type="dxa"/>
            <w:right w:w="15" w:type="dxa"/>
          </w:tblCellMar>
        </w:tblPrEx>
        <w:trPr>
          <w:trHeight w:val="23" w:hRule="atLeast"/>
          <w:jc w:val="center"/>
        </w:trPr>
        <w:tc>
          <w:tcPr>
            <w:tcW w:w="3958"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269084B1">
            <w:pPr>
              <w:keepNext w:val="0"/>
              <w:keepLines w:val="0"/>
              <w:widowControl/>
              <w:suppressLineNumbers w:val="0"/>
              <w:spacing w:before="0" w:beforeAutospacing="0" w:after="0" w:afterAutospacing="0" w:line="300" w:lineRule="exact"/>
              <w:ind w:left="0" w:right="0"/>
              <w:jc w:val="left"/>
              <w:textAlignment w:val="center"/>
              <w:rPr>
                <w:rFonts w:hint="eastAsia" w:ascii="宋体" w:hAnsi="宋体" w:eastAsia="宋体" w:cs="宋体"/>
                <w:color w:val="000000"/>
                <w:sz w:val="24"/>
                <w:szCs w:val="24"/>
              </w:rPr>
            </w:pPr>
            <w:r>
              <w:rPr>
                <w:rFonts w:hint="default" w:ascii="宋体" w:hAnsi="宋体" w:eastAsia="宋体" w:cs="宋体"/>
                <w:color w:val="000000"/>
                <w:sz w:val="24"/>
                <w:szCs w:val="24"/>
              </w:rPr>
              <w:t>预算单位</w:t>
            </w:r>
          </w:p>
        </w:tc>
        <w:tc>
          <w:tcPr>
            <w:tcW w:w="7112"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55B92C0">
            <w:pPr>
              <w:keepNext w:val="0"/>
              <w:keepLines w:val="0"/>
              <w:widowControl/>
              <w:suppressLineNumbers w:val="0"/>
              <w:spacing w:before="0" w:beforeAutospacing="0" w:after="0" w:afterAutospacing="0" w:line="300" w:lineRule="exact"/>
              <w:ind w:left="0" w:right="0"/>
              <w:jc w:val="left"/>
              <w:textAlignment w:val="center"/>
              <w:rPr>
                <w:rFonts w:hint="eastAsia" w:ascii="宋体" w:hAnsi="宋体" w:eastAsia="宋体" w:cs="宋体"/>
                <w:color w:val="000000"/>
                <w:sz w:val="24"/>
                <w:szCs w:val="24"/>
              </w:rPr>
            </w:pPr>
            <w:r>
              <w:rPr>
                <w:rFonts w:hint="eastAsia" w:ascii="宋体" w:hAnsi="宋体" w:eastAsia="宋体" w:cs="宋体"/>
                <w:color w:val="000000"/>
                <w:sz w:val="24"/>
                <w:szCs w:val="24"/>
              </w:rPr>
              <w:t>广元市发展和改革委员会</w:t>
            </w:r>
          </w:p>
        </w:tc>
      </w:tr>
      <w:tr w14:paraId="3EFF3187">
        <w:tblPrEx>
          <w:tblCellMar>
            <w:top w:w="15" w:type="dxa"/>
            <w:left w:w="15" w:type="dxa"/>
            <w:bottom w:w="15" w:type="dxa"/>
            <w:right w:w="15" w:type="dxa"/>
          </w:tblCellMar>
        </w:tblPrEx>
        <w:trPr>
          <w:trHeight w:val="23" w:hRule="atLeast"/>
          <w:jc w:val="center"/>
        </w:trPr>
        <w:tc>
          <w:tcPr>
            <w:tcW w:w="3958"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6EEAB5C2">
            <w:pPr>
              <w:keepNext w:val="0"/>
              <w:keepLines w:val="0"/>
              <w:widowControl/>
              <w:suppressLineNumbers w:val="0"/>
              <w:spacing w:before="0" w:beforeAutospacing="0" w:after="0" w:afterAutospacing="0" w:line="300" w:lineRule="exact"/>
              <w:ind w:left="0" w:right="0"/>
              <w:jc w:val="left"/>
              <w:textAlignment w:val="center"/>
              <w:rPr>
                <w:rFonts w:hint="eastAsia" w:ascii="宋体" w:hAnsi="宋体" w:eastAsia="宋体" w:cs="宋体"/>
                <w:color w:val="000000"/>
                <w:sz w:val="24"/>
                <w:szCs w:val="24"/>
              </w:rPr>
            </w:pPr>
            <w:r>
              <w:rPr>
                <w:rFonts w:hint="default" w:ascii="宋体" w:hAnsi="宋体" w:eastAsia="宋体" w:cs="宋体"/>
                <w:color w:val="000000"/>
                <w:sz w:val="24"/>
                <w:szCs w:val="24"/>
              </w:rPr>
              <w:t>项目类型</w:t>
            </w:r>
          </w:p>
        </w:tc>
        <w:tc>
          <w:tcPr>
            <w:tcW w:w="7112"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0916E881">
            <w:pPr>
              <w:keepNext w:val="0"/>
              <w:keepLines w:val="0"/>
              <w:widowControl/>
              <w:suppressLineNumbers w:val="0"/>
              <w:spacing w:before="0" w:beforeAutospacing="0" w:after="0" w:afterAutospacing="0" w:line="300" w:lineRule="exact"/>
              <w:ind w:left="0" w:right="0"/>
              <w:jc w:val="left"/>
              <w:textAlignment w:val="center"/>
              <w:rPr>
                <w:rFonts w:hint="eastAsia" w:ascii="宋体" w:hAnsi="宋体" w:eastAsia="宋体" w:cs="宋体"/>
                <w:color w:val="000000"/>
                <w:sz w:val="24"/>
                <w:szCs w:val="24"/>
              </w:rPr>
            </w:pPr>
            <w:r>
              <w:rPr>
                <w:rFonts w:hint="eastAsia" w:ascii="宋体" w:hAnsi="宋体" w:eastAsia="宋体" w:cs="宋体"/>
                <w:color w:val="000000"/>
                <w:sz w:val="24"/>
                <w:szCs w:val="24"/>
              </w:rPr>
              <w:t>一次性项目</w:t>
            </w:r>
          </w:p>
        </w:tc>
      </w:tr>
      <w:tr w14:paraId="755C8150">
        <w:tblPrEx>
          <w:tblCellMar>
            <w:top w:w="15" w:type="dxa"/>
            <w:left w:w="15" w:type="dxa"/>
            <w:bottom w:w="15" w:type="dxa"/>
            <w:right w:w="15" w:type="dxa"/>
          </w:tblCellMar>
        </w:tblPrEx>
        <w:trPr>
          <w:trHeight w:val="23" w:hRule="atLeast"/>
          <w:jc w:val="center"/>
        </w:trPr>
        <w:tc>
          <w:tcPr>
            <w:tcW w:w="65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95E99B4">
            <w:pPr>
              <w:keepNext w:val="0"/>
              <w:keepLines w:val="0"/>
              <w:widowControl/>
              <w:suppressLineNumbers w:val="0"/>
              <w:spacing w:before="0" w:beforeAutospacing="0" w:after="0" w:afterAutospacing="0" w:line="300" w:lineRule="exact"/>
              <w:ind w:left="0" w:right="0"/>
              <w:jc w:val="center"/>
              <w:textAlignment w:val="center"/>
              <w:rPr>
                <w:rFonts w:hint="eastAsia" w:ascii="宋体" w:hAnsi="宋体" w:eastAsia="宋体" w:cs="宋体"/>
                <w:color w:val="000000"/>
                <w:sz w:val="24"/>
                <w:szCs w:val="24"/>
              </w:rPr>
            </w:pPr>
            <w:r>
              <w:rPr>
                <w:rFonts w:hint="default" w:ascii="宋体" w:hAnsi="宋体" w:eastAsia="宋体" w:cs="宋体"/>
                <w:color w:val="000000"/>
                <w:kern w:val="0"/>
                <w:sz w:val="24"/>
                <w:szCs w:val="24"/>
                <w:lang w:bidi="ar"/>
              </w:rPr>
              <w:t>项目 概况</w:t>
            </w:r>
          </w:p>
        </w:tc>
        <w:tc>
          <w:tcPr>
            <w:tcW w:w="3306"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F88CF75">
            <w:pPr>
              <w:keepNext w:val="0"/>
              <w:keepLines w:val="0"/>
              <w:widowControl/>
              <w:suppressLineNumbers w:val="0"/>
              <w:spacing w:before="0" w:beforeAutospacing="0" w:after="0" w:afterAutospacing="0" w:line="300" w:lineRule="exact"/>
              <w:ind w:left="0" w:right="0"/>
              <w:jc w:val="left"/>
              <w:textAlignment w:val="center"/>
              <w:rPr>
                <w:rFonts w:hint="eastAsia" w:ascii="宋体" w:hAnsi="宋体" w:eastAsia="宋体" w:cs="宋体"/>
                <w:color w:val="000000"/>
                <w:kern w:val="0"/>
                <w:sz w:val="24"/>
                <w:szCs w:val="24"/>
                <w:lang w:bidi="ar"/>
              </w:rPr>
            </w:pPr>
            <w:r>
              <w:rPr>
                <w:rFonts w:hint="default" w:ascii="宋体" w:hAnsi="宋体" w:eastAsia="宋体" w:cs="宋体"/>
                <w:color w:val="000000"/>
                <w:kern w:val="0"/>
                <w:sz w:val="24"/>
                <w:szCs w:val="24"/>
                <w:lang w:bidi="ar"/>
              </w:rPr>
              <w:t>中长期规划（名称、文号，仅指</w:t>
            </w:r>
          </w:p>
          <w:p w14:paraId="4CCA2C91">
            <w:pPr>
              <w:keepNext w:val="0"/>
              <w:keepLines w:val="0"/>
              <w:widowControl/>
              <w:suppressLineNumbers w:val="0"/>
              <w:spacing w:before="0" w:beforeAutospacing="0" w:after="0" w:afterAutospacing="0" w:line="300" w:lineRule="exact"/>
              <w:ind w:left="0" w:right="0"/>
              <w:jc w:val="left"/>
              <w:textAlignment w:val="center"/>
              <w:rPr>
                <w:rFonts w:hint="eastAsia" w:ascii="宋体" w:hAnsi="宋体" w:eastAsia="宋体" w:cs="宋体"/>
                <w:color w:val="000000"/>
                <w:sz w:val="24"/>
                <w:szCs w:val="24"/>
              </w:rPr>
            </w:pPr>
            <w:r>
              <w:rPr>
                <w:rFonts w:hint="default" w:ascii="宋体" w:hAnsi="宋体" w:eastAsia="宋体" w:cs="宋体"/>
                <w:color w:val="000000"/>
                <w:kern w:val="0"/>
                <w:sz w:val="24"/>
                <w:szCs w:val="24"/>
                <w:lang w:bidi="ar"/>
              </w:rPr>
              <w:t>常年项目）</w:t>
            </w:r>
          </w:p>
        </w:tc>
        <w:tc>
          <w:tcPr>
            <w:tcW w:w="7112"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047992BB">
            <w:pPr>
              <w:keepNext w:val="0"/>
              <w:keepLines w:val="0"/>
              <w:suppressLineNumbers w:val="0"/>
              <w:spacing w:before="0" w:beforeAutospacing="0" w:after="0" w:afterAutospacing="0" w:line="300" w:lineRule="exact"/>
              <w:ind w:left="0" w:right="0"/>
              <w:jc w:val="left"/>
              <w:rPr>
                <w:rFonts w:hint="eastAsia" w:ascii="宋体" w:hAnsi="宋体" w:eastAsia="宋体" w:cs="宋体"/>
                <w:color w:val="000000"/>
                <w:sz w:val="24"/>
                <w:szCs w:val="24"/>
              </w:rPr>
            </w:pPr>
          </w:p>
        </w:tc>
      </w:tr>
      <w:tr w14:paraId="6B8029CD">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FF0359">
            <w:pPr>
              <w:keepNext w:val="0"/>
              <w:keepLines w:val="0"/>
              <w:suppressLineNumbers w:val="0"/>
              <w:spacing w:before="0" w:beforeAutospacing="0" w:after="0" w:afterAutospacing="0" w:line="300" w:lineRule="exact"/>
              <w:ind w:left="0" w:right="0"/>
              <w:rPr>
                <w:rFonts w:hint="eastAsia" w:ascii="宋体" w:hAnsi="宋体" w:eastAsia="宋体" w:cs="宋体"/>
                <w:color w:val="000000"/>
                <w:sz w:val="24"/>
                <w:szCs w:val="24"/>
              </w:rPr>
            </w:pPr>
          </w:p>
        </w:tc>
        <w:tc>
          <w:tcPr>
            <w:tcW w:w="3306"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EBD6AA6">
            <w:pPr>
              <w:keepNext w:val="0"/>
              <w:keepLines w:val="0"/>
              <w:widowControl/>
              <w:suppressLineNumbers w:val="0"/>
              <w:spacing w:before="0" w:beforeAutospacing="0" w:after="0" w:afterAutospacing="0" w:line="300" w:lineRule="exact"/>
              <w:ind w:left="0" w:right="0"/>
              <w:jc w:val="left"/>
              <w:textAlignment w:val="center"/>
              <w:rPr>
                <w:rFonts w:hint="eastAsia" w:ascii="宋体" w:hAnsi="宋体" w:eastAsia="宋体" w:cs="宋体"/>
                <w:color w:val="000000"/>
                <w:sz w:val="24"/>
                <w:szCs w:val="24"/>
              </w:rPr>
            </w:pPr>
            <w:r>
              <w:rPr>
                <w:rFonts w:hint="default" w:ascii="宋体" w:hAnsi="宋体" w:eastAsia="宋体" w:cs="宋体"/>
                <w:color w:val="000000"/>
                <w:kern w:val="0"/>
                <w:sz w:val="24"/>
                <w:szCs w:val="24"/>
                <w:lang w:bidi="ar"/>
              </w:rPr>
              <w:t>资金管理办法（名称、文号）</w:t>
            </w:r>
          </w:p>
        </w:tc>
        <w:tc>
          <w:tcPr>
            <w:tcW w:w="7112"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AFBE9B5">
            <w:pPr>
              <w:keepNext w:val="0"/>
              <w:keepLines w:val="0"/>
              <w:suppressLineNumbers w:val="0"/>
              <w:spacing w:before="0" w:beforeAutospacing="0" w:after="0" w:afterAutospacing="0" w:line="300" w:lineRule="exact"/>
              <w:ind w:left="0" w:right="0"/>
              <w:jc w:val="left"/>
              <w:rPr>
                <w:rFonts w:hint="eastAsia" w:ascii="宋体" w:hAnsi="宋体" w:eastAsia="宋体" w:cs="宋体"/>
                <w:color w:val="000000"/>
                <w:sz w:val="24"/>
                <w:szCs w:val="24"/>
              </w:rPr>
            </w:pPr>
          </w:p>
        </w:tc>
      </w:tr>
      <w:tr w14:paraId="59C37ACB">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1A113E">
            <w:pPr>
              <w:keepNext w:val="0"/>
              <w:keepLines w:val="0"/>
              <w:suppressLineNumbers w:val="0"/>
              <w:spacing w:before="0" w:beforeAutospacing="0" w:after="0" w:afterAutospacing="0" w:line="300" w:lineRule="exact"/>
              <w:ind w:left="0" w:right="0"/>
              <w:rPr>
                <w:rFonts w:hint="eastAsia" w:ascii="宋体" w:hAnsi="宋体" w:eastAsia="宋体" w:cs="宋体"/>
                <w:color w:val="000000"/>
                <w:sz w:val="24"/>
                <w:szCs w:val="24"/>
              </w:rPr>
            </w:pPr>
          </w:p>
        </w:tc>
        <w:tc>
          <w:tcPr>
            <w:tcW w:w="3306"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59DB955">
            <w:pPr>
              <w:keepNext w:val="0"/>
              <w:keepLines w:val="0"/>
              <w:widowControl/>
              <w:suppressLineNumbers w:val="0"/>
              <w:spacing w:before="0" w:beforeAutospacing="0" w:after="0" w:afterAutospacing="0" w:line="300" w:lineRule="exact"/>
              <w:ind w:left="0" w:right="0"/>
              <w:jc w:val="left"/>
              <w:textAlignment w:val="center"/>
              <w:rPr>
                <w:rFonts w:hint="eastAsia" w:ascii="宋体" w:hAnsi="宋体" w:eastAsia="宋体" w:cs="宋体"/>
                <w:color w:val="000000"/>
                <w:sz w:val="24"/>
                <w:szCs w:val="24"/>
              </w:rPr>
            </w:pPr>
            <w:r>
              <w:rPr>
                <w:rFonts w:hint="default" w:ascii="宋体" w:hAnsi="宋体" w:eastAsia="宋体" w:cs="宋体"/>
                <w:color w:val="000000"/>
                <w:kern w:val="0"/>
                <w:sz w:val="24"/>
                <w:szCs w:val="24"/>
                <w:lang w:bidi="ar"/>
              </w:rPr>
              <w:t>绩效分配方式</w:t>
            </w:r>
          </w:p>
        </w:tc>
        <w:tc>
          <w:tcPr>
            <w:tcW w:w="6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78677E">
            <w:pPr>
              <w:keepNext w:val="0"/>
              <w:keepLines w:val="0"/>
              <w:widowControl/>
              <w:suppressLineNumbers w:val="0"/>
              <w:spacing w:before="0" w:beforeAutospacing="0" w:after="0" w:afterAutospacing="0" w:line="300" w:lineRule="exact"/>
              <w:ind w:left="0" w:right="0"/>
              <w:jc w:val="left"/>
              <w:textAlignment w:val="center"/>
              <w:rPr>
                <w:rFonts w:hint="default" w:ascii="Wingdings 2" w:hAnsi="Wingdings 2" w:eastAsia="Wingdings 2" w:cs="Wingdings 2"/>
                <w:color w:val="000000"/>
                <w:sz w:val="24"/>
                <w:szCs w:val="24"/>
              </w:rPr>
            </w:pPr>
            <w:r>
              <w:rPr>
                <w:rFonts w:hint="default" w:ascii="Wingdings 2" w:hAnsi="Wingdings 2" w:eastAsia="Wingdings 2" w:cs="Wingdings 2"/>
                <w:color w:val="000000"/>
                <w:kern w:val="0"/>
                <w:sz w:val="24"/>
                <w:szCs w:val="24"/>
                <w:lang w:bidi="ar"/>
              </w:rPr>
              <w:t>£</w:t>
            </w:r>
            <w:r>
              <w:rPr>
                <w:rFonts w:hint="default" w:ascii="宋体" w:hAnsi="宋体" w:eastAsia="宋体" w:cs="宋体"/>
                <w:color w:val="000000"/>
                <w:kern w:val="0"/>
                <w:sz w:val="24"/>
                <w:szCs w:val="24"/>
                <w:lang w:bidi="ar"/>
              </w:rPr>
              <w:t>因素法</w:t>
            </w:r>
          </w:p>
        </w:tc>
        <w:tc>
          <w:tcPr>
            <w:tcW w:w="330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D810341">
            <w:pPr>
              <w:keepNext w:val="0"/>
              <w:keepLines w:val="0"/>
              <w:widowControl/>
              <w:suppressLineNumbers w:val="0"/>
              <w:spacing w:before="0" w:beforeAutospacing="0" w:after="0" w:afterAutospacing="0" w:line="300" w:lineRule="exact"/>
              <w:ind w:left="0" w:right="0"/>
              <w:jc w:val="center"/>
              <w:textAlignment w:val="center"/>
              <w:rPr>
                <w:rFonts w:hint="default" w:ascii="Wingdings 2" w:hAnsi="Wingdings 2" w:eastAsia="Wingdings 2" w:cs="Wingdings 2"/>
                <w:color w:val="000000"/>
                <w:sz w:val="24"/>
                <w:szCs w:val="24"/>
              </w:rPr>
            </w:pPr>
            <w:r>
              <w:rPr>
                <w:rFonts w:hint="default" w:ascii="Wingdings 2" w:hAnsi="Wingdings 2" w:eastAsia="Wingdings 2" w:cs="Wingdings 2"/>
                <w:kern w:val="0"/>
                <w:sz w:val="24"/>
                <w:szCs w:val="24"/>
              </w:rPr>
              <w:sym w:font="Wingdings 2" w:char="00A3"/>
            </w:r>
            <w:r>
              <w:rPr>
                <w:rFonts w:hint="default" w:ascii="Wingdings 2" w:hAnsi="Wingdings 2" w:eastAsia="Wingdings 2" w:cs="Wingdings 2"/>
                <w:color w:val="000000"/>
                <w:kern w:val="0"/>
                <w:sz w:val="24"/>
                <w:szCs w:val="24"/>
                <w:lang w:bidi="ar"/>
              </w:rPr>
              <w:t>项目法</w:t>
            </w:r>
          </w:p>
        </w:tc>
        <w:tc>
          <w:tcPr>
            <w:tcW w:w="11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CBC2A2">
            <w:pPr>
              <w:keepNext w:val="0"/>
              <w:keepLines w:val="0"/>
              <w:widowControl/>
              <w:suppressLineNumbers w:val="0"/>
              <w:spacing w:before="0" w:beforeAutospacing="0" w:after="0" w:afterAutospacing="0" w:line="300" w:lineRule="exact"/>
              <w:ind w:left="0" w:right="0"/>
              <w:jc w:val="center"/>
              <w:textAlignment w:val="center"/>
              <w:rPr>
                <w:rFonts w:hint="default" w:ascii="Wingdings 2" w:hAnsi="Wingdings 2" w:eastAsia="Wingdings 2" w:cs="Wingdings 2"/>
                <w:color w:val="000000"/>
                <w:sz w:val="24"/>
                <w:szCs w:val="24"/>
              </w:rPr>
            </w:pPr>
            <w:r>
              <w:rPr>
                <w:rFonts w:hint="default" w:ascii="Wingdings 2" w:hAnsi="Wingdings 2" w:eastAsia="Wingdings 2" w:cs="Wingdings 2"/>
                <w:color w:val="000000"/>
                <w:kern w:val="0"/>
                <w:sz w:val="24"/>
                <w:szCs w:val="24"/>
                <w:lang w:bidi="ar"/>
              </w:rPr>
              <w:t>£</w:t>
            </w:r>
            <w:r>
              <w:rPr>
                <w:rFonts w:hint="default" w:ascii="宋体" w:hAnsi="宋体" w:eastAsia="宋体" w:cs="宋体"/>
                <w:color w:val="000000"/>
                <w:kern w:val="0"/>
                <w:sz w:val="24"/>
                <w:szCs w:val="24"/>
                <w:lang w:bidi="ar"/>
              </w:rPr>
              <w:t>据实据效</w:t>
            </w:r>
          </w:p>
        </w:tc>
        <w:tc>
          <w:tcPr>
            <w:tcW w:w="19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54FB6A">
            <w:pPr>
              <w:keepNext w:val="0"/>
              <w:keepLines w:val="0"/>
              <w:widowControl/>
              <w:suppressLineNumbers w:val="0"/>
              <w:spacing w:before="0" w:beforeAutospacing="0" w:after="0" w:afterAutospacing="0" w:line="300" w:lineRule="exact"/>
              <w:ind w:left="0" w:right="0"/>
              <w:jc w:val="center"/>
              <w:textAlignment w:val="center"/>
              <w:rPr>
                <w:rFonts w:hint="default" w:ascii="Wingdings 2" w:hAnsi="Wingdings 2" w:eastAsia="Wingdings 2" w:cs="Wingdings 2"/>
                <w:color w:val="000000"/>
                <w:sz w:val="24"/>
                <w:szCs w:val="24"/>
              </w:rPr>
            </w:pPr>
            <w:r>
              <w:rPr>
                <w:rFonts w:hint="default" w:ascii="Wingdings 2" w:hAnsi="Wingdings 2" w:eastAsia="Wingdings 2" w:cs="Wingdings 2"/>
                <w:color w:val="000000"/>
                <w:kern w:val="0"/>
                <w:sz w:val="24"/>
                <w:szCs w:val="24"/>
                <w:lang w:bidi="ar"/>
              </w:rPr>
              <w:t>£</w:t>
            </w:r>
            <w:r>
              <w:rPr>
                <w:rFonts w:hint="default" w:ascii="宋体" w:hAnsi="宋体" w:eastAsia="宋体" w:cs="宋体"/>
                <w:color w:val="000000"/>
                <w:kern w:val="0"/>
                <w:sz w:val="24"/>
                <w:szCs w:val="24"/>
                <w:lang w:bidi="ar"/>
              </w:rPr>
              <w:t>因素法与项目法相结合</w:t>
            </w:r>
          </w:p>
        </w:tc>
      </w:tr>
      <w:tr w14:paraId="760223FC">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E3DB73">
            <w:pPr>
              <w:keepNext w:val="0"/>
              <w:keepLines w:val="0"/>
              <w:suppressLineNumbers w:val="0"/>
              <w:spacing w:before="0" w:beforeAutospacing="0" w:after="0" w:afterAutospacing="0" w:line="300" w:lineRule="exact"/>
              <w:ind w:left="0" w:right="0"/>
              <w:rPr>
                <w:rFonts w:hint="eastAsia" w:ascii="宋体" w:hAnsi="宋体" w:eastAsia="宋体" w:cs="宋体"/>
                <w:color w:val="000000"/>
                <w:sz w:val="24"/>
                <w:szCs w:val="24"/>
              </w:rPr>
            </w:pPr>
          </w:p>
        </w:tc>
        <w:tc>
          <w:tcPr>
            <w:tcW w:w="3306"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4A8D50A">
            <w:pPr>
              <w:keepNext w:val="0"/>
              <w:keepLines w:val="0"/>
              <w:widowControl/>
              <w:suppressLineNumbers w:val="0"/>
              <w:spacing w:before="0" w:beforeAutospacing="0" w:after="0" w:afterAutospacing="0" w:line="300" w:lineRule="exact"/>
              <w:ind w:left="0" w:right="0"/>
              <w:jc w:val="left"/>
              <w:textAlignment w:val="center"/>
              <w:rPr>
                <w:rFonts w:hint="eastAsia" w:ascii="宋体" w:hAnsi="宋体" w:eastAsia="宋体" w:cs="宋体"/>
                <w:color w:val="000000"/>
                <w:sz w:val="24"/>
                <w:szCs w:val="24"/>
              </w:rPr>
            </w:pPr>
            <w:r>
              <w:rPr>
                <w:rFonts w:hint="default" w:ascii="宋体" w:hAnsi="宋体" w:eastAsia="宋体" w:cs="宋体"/>
                <w:color w:val="000000"/>
                <w:kern w:val="0"/>
                <w:sz w:val="24"/>
                <w:szCs w:val="24"/>
                <w:lang w:bidi="ar"/>
              </w:rPr>
              <w:t>立项依据</w:t>
            </w:r>
          </w:p>
        </w:tc>
        <w:tc>
          <w:tcPr>
            <w:tcW w:w="7112"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2562E723">
            <w:pPr>
              <w:keepNext w:val="0"/>
              <w:keepLines w:val="0"/>
              <w:suppressLineNumbers w:val="0"/>
              <w:spacing w:before="0" w:beforeAutospacing="0" w:after="0" w:afterAutospacing="0" w:line="300" w:lineRule="exact"/>
              <w:ind w:left="0" w:right="0"/>
              <w:jc w:val="left"/>
              <w:rPr>
                <w:rFonts w:hint="eastAsia" w:ascii="宋体" w:hAnsi="宋体" w:eastAsia="宋体" w:cs="宋体"/>
                <w:color w:val="000000"/>
                <w:sz w:val="24"/>
                <w:szCs w:val="24"/>
              </w:rPr>
            </w:pPr>
            <w:r>
              <w:rPr>
                <w:rFonts w:hint="eastAsia" w:ascii="宋体" w:hAnsi="宋体" w:eastAsia="宋体" w:cs="宋体"/>
                <w:color w:val="000000"/>
                <w:sz w:val="24"/>
                <w:szCs w:val="24"/>
              </w:rPr>
              <w:t>根据市委组织部《关于印发2023年市级重点专题培训项目计划的通知》（广组训〔2023〕10号）及有关工作安排</w:t>
            </w:r>
          </w:p>
        </w:tc>
      </w:tr>
      <w:tr w14:paraId="0C25A599">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46D3BE">
            <w:pPr>
              <w:keepNext w:val="0"/>
              <w:keepLines w:val="0"/>
              <w:suppressLineNumbers w:val="0"/>
              <w:spacing w:before="0" w:beforeAutospacing="0" w:after="0" w:afterAutospacing="0" w:line="300" w:lineRule="exact"/>
              <w:ind w:left="0" w:right="0"/>
              <w:rPr>
                <w:rFonts w:hint="eastAsia" w:ascii="宋体" w:hAnsi="宋体" w:eastAsia="宋体" w:cs="宋体"/>
                <w:color w:val="000000"/>
                <w:sz w:val="24"/>
                <w:szCs w:val="24"/>
              </w:rPr>
            </w:pPr>
          </w:p>
        </w:tc>
        <w:tc>
          <w:tcPr>
            <w:tcW w:w="3306"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1E29C2C">
            <w:pPr>
              <w:keepNext w:val="0"/>
              <w:keepLines w:val="0"/>
              <w:widowControl/>
              <w:suppressLineNumbers w:val="0"/>
              <w:spacing w:before="0" w:beforeAutospacing="0" w:after="0" w:afterAutospacing="0" w:line="300" w:lineRule="exact"/>
              <w:ind w:left="0" w:right="0"/>
              <w:jc w:val="left"/>
              <w:textAlignment w:val="center"/>
              <w:rPr>
                <w:rFonts w:hint="eastAsia" w:ascii="宋体" w:hAnsi="宋体" w:eastAsia="宋体" w:cs="宋体"/>
                <w:color w:val="000000"/>
                <w:sz w:val="24"/>
                <w:szCs w:val="24"/>
              </w:rPr>
            </w:pPr>
            <w:r>
              <w:rPr>
                <w:rFonts w:hint="default" w:ascii="宋体" w:hAnsi="宋体" w:eastAsia="宋体" w:cs="宋体"/>
                <w:color w:val="000000"/>
                <w:kern w:val="0"/>
                <w:sz w:val="24"/>
                <w:szCs w:val="24"/>
                <w:lang w:bidi="ar"/>
              </w:rPr>
              <w:t>使用范围</w:t>
            </w:r>
          </w:p>
        </w:tc>
        <w:tc>
          <w:tcPr>
            <w:tcW w:w="7112"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2B2E520B">
            <w:pPr>
              <w:keepNext w:val="0"/>
              <w:keepLines w:val="0"/>
              <w:suppressLineNumbers w:val="0"/>
              <w:spacing w:before="0" w:beforeAutospacing="0" w:after="0" w:afterAutospacing="0" w:line="300" w:lineRule="exact"/>
              <w:ind w:left="0" w:right="0"/>
              <w:jc w:val="left"/>
              <w:rPr>
                <w:rFonts w:hint="eastAsia" w:ascii="宋体" w:hAnsi="宋体" w:eastAsia="宋体" w:cs="宋体"/>
                <w:color w:val="000000"/>
                <w:sz w:val="24"/>
                <w:szCs w:val="24"/>
              </w:rPr>
            </w:pPr>
          </w:p>
        </w:tc>
      </w:tr>
      <w:tr w14:paraId="68D4879F">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F99090">
            <w:pPr>
              <w:keepNext w:val="0"/>
              <w:keepLines w:val="0"/>
              <w:suppressLineNumbers w:val="0"/>
              <w:spacing w:before="0" w:beforeAutospacing="0" w:after="0" w:afterAutospacing="0" w:line="300" w:lineRule="exact"/>
              <w:ind w:left="0" w:right="0"/>
              <w:rPr>
                <w:rFonts w:hint="eastAsia" w:ascii="宋体" w:hAnsi="宋体" w:eastAsia="宋体" w:cs="宋体"/>
                <w:color w:val="000000"/>
                <w:sz w:val="24"/>
                <w:szCs w:val="24"/>
              </w:rPr>
            </w:pPr>
          </w:p>
        </w:tc>
        <w:tc>
          <w:tcPr>
            <w:tcW w:w="3306"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09F051A">
            <w:pPr>
              <w:keepNext w:val="0"/>
              <w:keepLines w:val="0"/>
              <w:widowControl/>
              <w:suppressLineNumbers w:val="0"/>
              <w:spacing w:before="0" w:beforeAutospacing="0" w:after="0" w:afterAutospacing="0" w:line="300" w:lineRule="exact"/>
              <w:ind w:left="0" w:right="0"/>
              <w:jc w:val="left"/>
              <w:textAlignment w:val="center"/>
              <w:rPr>
                <w:rFonts w:hint="eastAsia" w:ascii="宋体" w:hAnsi="宋体" w:eastAsia="宋体" w:cs="宋体"/>
                <w:color w:val="000000"/>
                <w:sz w:val="24"/>
                <w:szCs w:val="24"/>
              </w:rPr>
            </w:pPr>
            <w:r>
              <w:rPr>
                <w:rFonts w:hint="default" w:ascii="宋体" w:hAnsi="宋体" w:eastAsia="宋体" w:cs="宋体"/>
                <w:color w:val="000000"/>
                <w:kern w:val="0"/>
                <w:sz w:val="24"/>
                <w:szCs w:val="24"/>
                <w:lang w:bidi="ar"/>
              </w:rPr>
              <w:t>申报（补助）条件</w:t>
            </w:r>
          </w:p>
        </w:tc>
        <w:tc>
          <w:tcPr>
            <w:tcW w:w="7112"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7180EA15">
            <w:pPr>
              <w:keepNext w:val="0"/>
              <w:keepLines w:val="0"/>
              <w:suppressLineNumbers w:val="0"/>
              <w:spacing w:before="0" w:beforeAutospacing="0" w:after="0" w:afterAutospacing="0" w:line="300" w:lineRule="exact"/>
              <w:ind w:left="0" w:right="0"/>
              <w:jc w:val="left"/>
              <w:rPr>
                <w:rFonts w:hint="eastAsia" w:ascii="宋体" w:hAnsi="宋体" w:eastAsia="宋体" w:cs="宋体"/>
                <w:color w:val="000000"/>
                <w:sz w:val="24"/>
                <w:szCs w:val="24"/>
              </w:rPr>
            </w:pPr>
          </w:p>
        </w:tc>
      </w:tr>
      <w:tr w14:paraId="24DE3ECE">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364AA5">
            <w:pPr>
              <w:keepNext w:val="0"/>
              <w:keepLines w:val="0"/>
              <w:suppressLineNumbers w:val="0"/>
              <w:spacing w:before="0" w:beforeAutospacing="0" w:after="0" w:afterAutospacing="0" w:line="300" w:lineRule="exact"/>
              <w:ind w:left="0" w:right="0"/>
              <w:rPr>
                <w:rFonts w:hint="eastAsia" w:ascii="宋体" w:hAnsi="宋体" w:eastAsia="宋体" w:cs="宋体"/>
                <w:color w:val="000000"/>
                <w:sz w:val="24"/>
                <w:szCs w:val="24"/>
              </w:rPr>
            </w:pPr>
          </w:p>
        </w:tc>
        <w:tc>
          <w:tcPr>
            <w:tcW w:w="3306"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D935100">
            <w:pPr>
              <w:keepNext w:val="0"/>
              <w:keepLines w:val="0"/>
              <w:widowControl/>
              <w:suppressLineNumbers w:val="0"/>
              <w:spacing w:before="0" w:beforeAutospacing="0" w:after="0" w:afterAutospacing="0" w:line="300" w:lineRule="exact"/>
              <w:ind w:left="0" w:right="0"/>
              <w:jc w:val="left"/>
              <w:textAlignment w:val="center"/>
              <w:rPr>
                <w:rFonts w:hint="eastAsia" w:ascii="宋体" w:hAnsi="宋体" w:eastAsia="宋体" w:cs="宋体"/>
                <w:color w:val="000000"/>
                <w:sz w:val="24"/>
                <w:szCs w:val="24"/>
              </w:rPr>
            </w:pPr>
            <w:r>
              <w:rPr>
                <w:rFonts w:hint="default" w:ascii="宋体" w:hAnsi="宋体" w:eastAsia="宋体" w:cs="宋体"/>
                <w:color w:val="000000"/>
                <w:kern w:val="0"/>
                <w:sz w:val="24"/>
                <w:szCs w:val="24"/>
                <w:lang w:bidi="ar"/>
              </w:rPr>
              <w:t>项目起止年限</w:t>
            </w:r>
          </w:p>
        </w:tc>
        <w:tc>
          <w:tcPr>
            <w:tcW w:w="7112"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A8E57BE">
            <w:pPr>
              <w:keepNext w:val="0"/>
              <w:keepLines w:val="0"/>
              <w:suppressLineNumbers w:val="0"/>
              <w:spacing w:before="0" w:beforeAutospacing="0" w:after="0" w:afterAutospacing="0" w:line="300" w:lineRule="exact"/>
              <w:ind w:left="0" w:right="0"/>
              <w:rPr>
                <w:rFonts w:hint="eastAsia" w:ascii="宋体" w:hAnsi="宋体" w:eastAsia="宋体" w:cs="宋体"/>
                <w:color w:val="000000"/>
                <w:sz w:val="24"/>
                <w:szCs w:val="24"/>
              </w:rPr>
            </w:pPr>
            <w:r>
              <w:rPr>
                <w:rFonts w:hint="default" w:ascii="宋体" w:hAnsi="宋体" w:eastAsia="宋体" w:cs="宋体"/>
                <w:color w:val="000000"/>
                <w:sz w:val="24"/>
                <w:szCs w:val="24"/>
              </w:rPr>
              <w:t>202</w:t>
            </w:r>
            <w:r>
              <w:rPr>
                <w:rFonts w:hint="eastAsia" w:ascii="宋体" w:hAnsi="宋体" w:eastAsia="宋体" w:cs="宋体"/>
                <w:color w:val="000000"/>
                <w:sz w:val="24"/>
                <w:szCs w:val="24"/>
              </w:rPr>
              <w:t>3</w:t>
            </w:r>
            <w:r>
              <w:rPr>
                <w:rFonts w:hint="default" w:ascii="宋体" w:hAnsi="宋体" w:eastAsia="宋体" w:cs="宋体"/>
                <w:color w:val="000000"/>
                <w:sz w:val="24"/>
                <w:szCs w:val="24"/>
              </w:rPr>
              <w:t>年</w:t>
            </w:r>
            <w:r>
              <w:rPr>
                <w:rFonts w:hint="eastAsia" w:ascii="宋体" w:hAnsi="宋体" w:eastAsia="宋体" w:cs="宋体"/>
                <w:color w:val="000000"/>
                <w:sz w:val="24"/>
                <w:szCs w:val="24"/>
              </w:rPr>
              <w:t>5</w:t>
            </w:r>
            <w:r>
              <w:rPr>
                <w:rFonts w:hint="default" w:ascii="宋体" w:hAnsi="宋体" w:eastAsia="宋体" w:cs="宋体"/>
                <w:color w:val="000000"/>
                <w:sz w:val="24"/>
                <w:szCs w:val="24"/>
              </w:rPr>
              <w:t>月</w:t>
            </w:r>
          </w:p>
        </w:tc>
      </w:tr>
      <w:tr w14:paraId="04386427">
        <w:tblPrEx>
          <w:tblCellMar>
            <w:top w:w="15" w:type="dxa"/>
            <w:left w:w="15" w:type="dxa"/>
            <w:bottom w:w="15" w:type="dxa"/>
            <w:right w:w="15" w:type="dxa"/>
          </w:tblCellMar>
        </w:tblPrEx>
        <w:trPr>
          <w:trHeight w:val="23" w:hRule="atLeast"/>
          <w:jc w:val="center"/>
        </w:trPr>
        <w:tc>
          <w:tcPr>
            <w:tcW w:w="1315" w:type="dxa"/>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387B8AA">
            <w:pPr>
              <w:keepNext w:val="0"/>
              <w:keepLines w:val="0"/>
              <w:widowControl/>
              <w:suppressLineNumbers w:val="0"/>
              <w:spacing w:before="0" w:beforeAutospacing="0" w:after="0" w:afterAutospacing="0" w:line="300" w:lineRule="exact"/>
              <w:ind w:left="0" w:right="0"/>
              <w:jc w:val="center"/>
              <w:textAlignment w:val="center"/>
              <w:rPr>
                <w:rFonts w:hint="eastAsia" w:ascii="宋体" w:hAnsi="宋体" w:eastAsia="宋体" w:cs="宋体"/>
                <w:color w:val="000000"/>
                <w:kern w:val="0"/>
                <w:sz w:val="24"/>
                <w:szCs w:val="24"/>
                <w:lang w:bidi="ar"/>
              </w:rPr>
            </w:pPr>
            <w:r>
              <w:rPr>
                <w:rFonts w:hint="default" w:ascii="宋体" w:hAnsi="宋体" w:eastAsia="宋体" w:cs="宋体"/>
                <w:color w:val="000000"/>
                <w:kern w:val="0"/>
                <w:sz w:val="24"/>
                <w:szCs w:val="24"/>
                <w:lang w:bidi="ar"/>
              </w:rPr>
              <w:t>项目资金</w:t>
            </w:r>
          </w:p>
          <w:p w14:paraId="54E90D2F">
            <w:pPr>
              <w:keepNext w:val="0"/>
              <w:keepLines w:val="0"/>
              <w:widowControl/>
              <w:suppressLineNumbers w:val="0"/>
              <w:spacing w:before="0" w:beforeAutospacing="0" w:after="0" w:afterAutospacing="0" w:line="300" w:lineRule="exact"/>
              <w:ind w:left="0" w:right="0"/>
              <w:jc w:val="center"/>
              <w:textAlignment w:val="center"/>
              <w:rPr>
                <w:rFonts w:hint="eastAsia" w:ascii="宋体" w:hAnsi="宋体" w:eastAsia="宋体" w:cs="宋体"/>
                <w:color w:val="000000"/>
                <w:sz w:val="24"/>
                <w:szCs w:val="24"/>
              </w:rPr>
            </w:pPr>
            <w:r>
              <w:rPr>
                <w:rFonts w:hint="default" w:ascii="宋体" w:hAnsi="宋体" w:eastAsia="宋体" w:cs="宋体"/>
                <w:color w:val="000000"/>
                <w:kern w:val="0"/>
                <w:sz w:val="24"/>
                <w:szCs w:val="24"/>
                <w:lang w:bidi="ar"/>
              </w:rPr>
              <w:t>（万元）</w:t>
            </w:r>
          </w:p>
        </w:tc>
        <w:tc>
          <w:tcPr>
            <w:tcW w:w="264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6840FCB">
            <w:pPr>
              <w:keepNext w:val="0"/>
              <w:keepLines w:val="0"/>
              <w:widowControl/>
              <w:suppressLineNumbers w:val="0"/>
              <w:spacing w:before="0" w:beforeAutospacing="0" w:after="0" w:afterAutospacing="0" w:line="300" w:lineRule="exact"/>
              <w:ind w:left="0" w:right="0"/>
              <w:jc w:val="left"/>
              <w:textAlignment w:val="center"/>
              <w:rPr>
                <w:rFonts w:hint="eastAsia" w:ascii="宋体" w:hAnsi="宋体" w:eastAsia="宋体" w:cs="宋体"/>
                <w:color w:val="000000"/>
                <w:sz w:val="24"/>
                <w:szCs w:val="24"/>
              </w:rPr>
            </w:pPr>
            <w:r>
              <w:rPr>
                <w:rFonts w:hint="default" w:ascii="宋体" w:hAnsi="宋体" w:eastAsia="宋体" w:cs="宋体"/>
                <w:color w:val="000000"/>
                <w:kern w:val="0"/>
                <w:sz w:val="24"/>
                <w:szCs w:val="24"/>
                <w:lang w:bidi="ar"/>
              </w:rPr>
              <w:t xml:space="preserve">  年度资金总额：</w:t>
            </w:r>
          </w:p>
        </w:tc>
        <w:tc>
          <w:tcPr>
            <w:tcW w:w="7112"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21CE7F27">
            <w:pPr>
              <w:keepNext w:val="0"/>
              <w:keepLines w:val="0"/>
              <w:suppressLineNumbers w:val="0"/>
              <w:spacing w:before="0" w:beforeAutospacing="0" w:after="0" w:afterAutospacing="0" w:line="300" w:lineRule="exact"/>
              <w:ind w:left="0" w:right="0"/>
              <w:jc w:val="left"/>
              <w:rPr>
                <w:rFonts w:hint="eastAsia" w:ascii="宋体" w:hAnsi="宋体" w:eastAsia="宋体" w:cs="宋体"/>
                <w:color w:val="000000"/>
                <w:sz w:val="24"/>
                <w:szCs w:val="24"/>
              </w:rPr>
            </w:pPr>
            <w:r>
              <w:rPr>
                <w:rFonts w:hint="eastAsia" w:ascii="宋体" w:hAnsi="宋体" w:eastAsia="宋体" w:cs="宋体"/>
                <w:color w:val="000000"/>
                <w:sz w:val="24"/>
                <w:szCs w:val="24"/>
              </w:rPr>
              <w:t>1.97</w:t>
            </w:r>
          </w:p>
        </w:tc>
      </w:tr>
      <w:tr w14:paraId="11404D09">
        <w:tblPrEx>
          <w:tblCellMar>
            <w:top w:w="15" w:type="dxa"/>
            <w:left w:w="15" w:type="dxa"/>
            <w:bottom w:w="15" w:type="dxa"/>
            <w:right w:w="15" w:type="dxa"/>
          </w:tblCellMar>
        </w:tblPrEx>
        <w:trPr>
          <w:trHeight w:val="23" w:hRule="atLeast"/>
          <w:jc w:val="center"/>
        </w:trPr>
        <w:tc>
          <w:tcPr>
            <w:tcW w:w="1315"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9D6F3B">
            <w:pPr>
              <w:keepNext w:val="0"/>
              <w:keepLines w:val="0"/>
              <w:suppressLineNumbers w:val="0"/>
              <w:spacing w:before="0" w:beforeAutospacing="0" w:after="0" w:afterAutospacing="0" w:line="300" w:lineRule="exact"/>
              <w:ind w:left="0" w:right="0"/>
              <w:rPr>
                <w:rFonts w:hint="eastAsia" w:ascii="宋体" w:hAnsi="宋体" w:eastAsia="宋体" w:cs="宋体"/>
                <w:color w:val="000000"/>
                <w:sz w:val="24"/>
                <w:szCs w:val="24"/>
              </w:rPr>
            </w:pPr>
          </w:p>
        </w:tc>
        <w:tc>
          <w:tcPr>
            <w:tcW w:w="264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618CDC5">
            <w:pPr>
              <w:keepNext w:val="0"/>
              <w:keepLines w:val="0"/>
              <w:widowControl/>
              <w:suppressLineNumbers w:val="0"/>
              <w:spacing w:before="0" w:beforeAutospacing="0" w:after="0" w:afterAutospacing="0" w:line="300" w:lineRule="exact"/>
              <w:ind w:left="0" w:right="0"/>
              <w:jc w:val="left"/>
              <w:textAlignment w:val="center"/>
              <w:rPr>
                <w:rFonts w:hint="eastAsia" w:ascii="宋体" w:hAnsi="宋体" w:eastAsia="宋体" w:cs="宋体"/>
                <w:color w:val="000000"/>
                <w:sz w:val="24"/>
                <w:szCs w:val="24"/>
              </w:rPr>
            </w:pPr>
            <w:r>
              <w:rPr>
                <w:rFonts w:hint="default" w:ascii="宋体" w:hAnsi="宋体" w:eastAsia="宋体" w:cs="宋体"/>
                <w:color w:val="000000"/>
                <w:kern w:val="0"/>
                <w:sz w:val="24"/>
                <w:szCs w:val="24"/>
                <w:lang w:bidi="ar"/>
              </w:rPr>
              <w:t xml:space="preserve">     </w:t>
            </w:r>
            <w:r>
              <w:rPr>
                <w:rFonts w:hint="eastAsia" w:ascii="宋体" w:hAnsi="宋体" w:eastAsia="宋体" w:cs="宋体"/>
                <w:color w:val="000000"/>
                <w:kern w:val="0"/>
                <w:sz w:val="24"/>
                <w:szCs w:val="24"/>
                <w:lang w:bidi="ar"/>
              </w:rPr>
              <w:t xml:space="preserve"> </w:t>
            </w:r>
            <w:r>
              <w:rPr>
                <w:rFonts w:hint="default" w:ascii="宋体" w:hAnsi="宋体" w:eastAsia="宋体" w:cs="宋体"/>
                <w:color w:val="000000"/>
                <w:kern w:val="0"/>
                <w:sz w:val="24"/>
                <w:szCs w:val="24"/>
                <w:lang w:bidi="ar"/>
              </w:rPr>
              <w:t>其中：财政拨款</w:t>
            </w:r>
          </w:p>
        </w:tc>
        <w:tc>
          <w:tcPr>
            <w:tcW w:w="7112"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56C051D0">
            <w:pPr>
              <w:keepNext w:val="0"/>
              <w:keepLines w:val="0"/>
              <w:suppressLineNumbers w:val="0"/>
              <w:spacing w:before="0" w:beforeAutospacing="0" w:after="0" w:afterAutospacing="0" w:line="300" w:lineRule="exact"/>
              <w:ind w:left="0" w:right="0"/>
              <w:jc w:val="left"/>
              <w:rPr>
                <w:rFonts w:hint="eastAsia" w:ascii="宋体" w:hAnsi="宋体" w:eastAsia="宋体" w:cs="宋体"/>
                <w:color w:val="000000"/>
                <w:sz w:val="24"/>
                <w:szCs w:val="24"/>
              </w:rPr>
            </w:pPr>
            <w:r>
              <w:rPr>
                <w:rFonts w:hint="eastAsia" w:ascii="宋体" w:hAnsi="宋体" w:eastAsia="宋体" w:cs="宋体"/>
                <w:color w:val="000000"/>
                <w:sz w:val="24"/>
                <w:szCs w:val="24"/>
              </w:rPr>
              <w:t>1.97</w:t>
            </w:r>
          </w:p>
        </w:tc>
      </w:tr>
      <w:tr w14:paraId="40B27351">
        <w:tblPrEx>
          <w:tblCellMar>
            <w:top w:w="15" w:type="dxa"/>
            <w:left w:w="15" w:type="dxa"/>
            <w:bottom w:w="15" w:type="dxa"/>
            <w:right w:w="15" w:type="dxa"/>
          </w:tblCellMar>
        </w:tblPrEx>
        <w:trPr>
          <w:trHeight w:val="23" w:hRule="atLeast"/>
          <w:jc w:val="center"/>
        </w:trPr>
        <w:tc>
          <w:tcPr>
            <w:tcW w:w="1315"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29E87A">
            <w:pPr>
              <w:keepNext w:val="0"/>
              <w:keepLines w:val="0"/>
              <w:suppressLineNumbers w:val="0"/>
              <w:spacing w:before="0" w:beforeAutospacing="0" w:after="0" w:afterAutospacing="0" w:line="300" w:lineRule="exact"/>
              <w:ind w:left="0" w:right="0"/>
              <w:rPr>
                <w:rFonts w:hint="eastAsia" w:ascii="宋体" w:hAnsi="宋体" w:eastAsia="宋体" w:cs="宋体"/>
                <w:color w:val="000000"/>
                <w:sz w:val="24"/>
                <w:szCs w:val="24"/>
              </w:rPr>
            </w:pPr>
          </w:p>
        </w:tc>
        <w:tc>
          <w:tcPr>
            <w:tcW w:w="264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99A5EF0">
            <w:pPr>
              <w:keepNext w:val="0"/>
              <w:keepLines w:val="0"/>
              <w:widowControl/>
              <w:suppressLineNumbers w:val="0"/>
              <w:spacing w:before="0" w:beforeAutospacing="0" w:after="0" w:afterAutospacing="0" w:line="300" w:lineRule="exact"/>
              <w:ind w:left="0" w:right="0"/>
              <w:jc w:val="left"/>
              <w:textAlignment w:val="center"/>
              <w:rPr>
                <w:rFonts w:hint="eastAsia" w:ascii="宋体" w:hAnsi="宋体" w:eastAsia="宋体" w:cs="宋体"/>
                <w:color w:val="000000"/>
                <w:sz w:val="24"/>
                <w:szCs w:val="24"/>
              </w:rPr>
            </w:pPr>
            <w:r>
              <w:rPr>
                <w:rFonts w:hint="default" w:ascii="宋体" w:hAnsi="宋体" w:eastAsia="宋体" w:cs="宋体"/>
                <w:color w:val="000000"/>
                <w:kern w:val="0"/>
                <w:sz w:val="24"/>
                <w:szCs w:val="24"/>
                <w:lang w:bidi="ar"/>
              </w:rPr>
              <w:t xml:space="preserve">            其他资金</w:t>
            </w:r>
          </w:p>
        </w:tc>
        <w:tc>
          <w:tcPr>
            <w:tcW w:w="7112"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3BDD179">
            <w:pPr>
              <w:keepNext w:val="0"/>
              <w:keepLines w:val="0"/>
              <w:suppressLineNumbers w:val="0"/>
              <w:spacing w:before="0" w:beforeAutospacing="0" w:after="0" w:afterAutospacing="0" w:line="300" w:lineRule="exact"/>
              <w:ind w:left="0" w:right="0"/>
              <w:jc w:val="left"/>
              <w:rPr>
                <w:rFonts w:hint="eastAsia" w:ascii="宋体" w:hAnsi="宋体" w:eastAsia="宋体" w:cs="宋体"/>
                <w:color w:val="000000"/>
                <w:sz w:val="24"/>
                <w:szCs w:val="24"/>
              </w:rPr>
            </w:pPr>
            <w:r>
              <w:rPr>
                <w:rFonts w:hint="eastAsia" w:ascii="宋体" w:hAnsi="宋体" w:eastAsia="宋体" w:cs="宋体"/>
                <w:color w:val="000000"/>
                <w:sz w:val="24"/>
                <w:szCs w:val="24"/>
              </w:rPr>
              <w:t>0</w:t>
            </w:r>
          </w:p>
        </w:tc>
      </w:tr>
      <w:tr w14:paraId="5DAD57DE">
        <w:tblPrEx>
          <w:tblCellMar>
            <w:top w:w="15" w:type="dxa"/>
            <w:left w:w="15" w:type="dxa"/>
            <w:bottom w:w="15" w:type="dxa"/>
            <w:right w:w="15" w:type="dxa"/>
          </w:tblCellMar>
        </w:tblPrEx>
        <w:trPr>
          <w:trHeight w:val="23" w:hRule="atLeast"/>
          <w:jc w:val="center"/>
        </w:trPr>
        <w:tc>
          <w:tcPr>
            <w:tcW w:w="65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CA6ED99">
            <w:pPr>
              <w:keepNext w:val="0"/>
              <w:keepLines w:val="0"/>
              <w:widowControl/>
              <w:suppressLineNumbers w:val="0"/>
              <w:spacing w:before="0" w:beforeAutospacing="0" w:after="0" w:afterAutospacing="0" w:line="300" w:lineRule="exact"/>
              <w:ind w:left="0" w:right="0"/>
              <w:jc w:val="center"/>
              <w:textAlignment w:val="center"/>
              <w:rPr>
                <w:rFonts w:hint="eastAsia" w:ascii="宋体" w:hAnsi="宋体" w:eastAsia="宋体" w:cs="宋体"/>
                <w:color w:val="000000"/>
                <w:sz w:val="24"/>
                <w:szCs w:val="24"/>
              </w:rPr>
            </w:pPr>
            <w:r>
              <w:rPr>
                <w:rFonts w:hint="default" w:ascii="宋体" w:hAnsi="宋体" w:eastAsia="宋体" w:cs="宋体"/>
                <w:color w:val="000000"/>
                <w:kern w:val="0"/>
                <w:sz w:val="24"/>
                <w:szCs w:val="24"/>
                <w:lang w:bidi="ar"/>
              </w:rPr>
              <w:t>总体 目标</w:t>
            </w:r>
          </w:p>
        </w:tc>
        <w:tc>
          <w:tcPr>
            <w:tcW w:w="10418"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7B066AA9">
            <w:pPr>
              <w:keepNext w:val="0"/>
              <w:keepLines w:val="0"/>
              <w:widowControl/>
              <w:suppressLineNumbers w:val="0"/>
              <w:spacing w:before="0" w:beforeAutospacing="0" w:after="0" w:afterAutospacing="0" w:line="300" w:lineRule="exact"/>
              <w:ind w:left="0" w:right="0"/>
              <w:jc w:val="center"/>
              <w:textAlignment w:val="center"/>
              <w:rPr>
                <w:rFonts w:hint="eastAsia" w:ascii="宋体" w:hAnsi="宋体" w:eastAsia="宋体" w:cs="宋体"/>
                <w:color w:val="000000"/>
                <w:sz w:val="24"/>
                <w:szCs w:val="24"/>
              </w:rPr>
            </w:pPr>
            <w:r>
              <w:rPr>
                <w:rFonts w:hint="default" w:ascii="宋体" w:hAnsi="宋体" w:eastAsia="宋体" w:cs="宋体"/>
                <w:color w:val="000000"/>
                <w:kern w:val="0"/>
                <w:sz w:val="24"/>
                <w:szCs w:val="24"/>
                <w:lang w:bidi="ar"/>
              </w:rPr>
              <w:t>年度目标</w:t>
            </w:r>
          </w:p>
        </w:tc>
      </w:tr>
      <w:tr w14:paraId="475EDBD7">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9BB3B46">
            <w:pPr>
              <w:keepNext w:val="0"/>
              <w:keepLines w:val="0"/>
              <w:suppressLineNumbers w:val="0"/>
              <w:spacing w:before="0" w:beforeAutospacing="0" w:after="0" w:afterAutospacing="0" w:line="300" w:lineRule="exact"/>
              <w:ind w:left="0" w:right="0"/>
              <w:rPr>
                <w:rFonts w:hint="eastAsia" w:ascii="宋体" w:hAnsi="宋体" w:eastAsia="宋体" w:cs="宋体"/>
                <w:color w:val="000000"/>
                <w:sz w:val="24"/>
                <w:szCs w:val="24"/>
              </w:rPr>
            </w:pPr>
          </w:p>
        </w:tc>
        <w:tc>
          <w:tcPr>
            <w:tcW w:w="10418"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1E48482A">
            <w:pPr>
              <w:keepNext w:val="0"/>
              <w:keepLines w:val="0"/>
              <w:suppressLineNumbers w:val="0"/>
              <w:spacing w:before="0" w:beforeAutospacing="0" w:after="0" w:afterAutospacing="0" w:line="300" w:lineRule="exact"/>
              <w:ind w:left="0" w:right="0"/>
              <w:rPr>
                <w:rFonts w:hint="eastAsia" w:ascii="宋体" w:hAnsi="宋体" w:eastAsia="宋体" w:cs="宋体"/>
                <w:color w:val="000000"/>
                <w:sz w:val="24"/>
                <w:szCs w:val="24"/>
              </w:rPr>
            </w:pPr>
            <w:r>
              <w:rPr>
                <w:rFonts w:hint="eastAsia" w:ascii="宋体" w:hAnsi="宋体" w:eastAsia="宋体" w:cs="宋体"/>
                <w:color w:val="000000"/>
                <w:sz w:val="24"/>
                <w:szCs w:val="24"/>
              </w:rPr>
              <w:t>根据市委组织部《关于印发2023年市级重点专题培训项目计划的通知》（广组训〔2023〕10号）安排，组织承办第68期蜀道大讲堂，并邀请专家围绕广元市物流产业发展现状与对策建议有关方面作专题讲座。</w:t>
            </w:r>
          </w:p>
        </w:tc>
      </w:tr>
      <w:tr w14:paraId="789978CE">
        <w:tblPrEx>
          <w:tblCellMar>
            <w:top w:w="15" w:type="dxa"/>
            <w:left w:w="15" w:type="dxa"/>
            <w:bottom w:w="15" w:type="dxa"/>
            <w:right w:w="15" w:type="dxa"/>
          </w:tblCellMar>
        </w:tblPrEx>
        <w:trPr>
          <w:trHeight w:val="23" w:hRule="atLeast"/>
          <w:jc w:val="center"/>
        </w:trPr>
        <w:tc>
          <w:tcPr>
            <w:tcW w:w="652" w:type="dxa"/>
            <w:vMerge w:val="restart"/>
            <w:tcBorders>
              <w:top w:val="single" w:color="000000" w:sz="4" w:space="0"/>
              <w:left w:val="single" w:color="000000" w:sz="4" w:space="0"/>
              <w:bottom w:val="single" w:color="000000" w:sz="4" w:space="0"/>
            </w:tcBorders>
            <w:shd w:val="clear" w:color="auto" w:fill="auto"/>
            <w:vAlign w:val="center"/>
          </w:tcPr>
          <w:p w14:paraId="392F751B">
            <w:pPr>
              <w:keepNext w:val="0"/>
              <w:keepLines w:val="0"/>
              <w:widowControl/>
              <w:suppressLineNumbers w:val="0"/>
              <w:spacing w:before="0" w:beforeAutospacing="0" w:after="0" w:afterAutospacing="0" w:line="300" w:lineRule="exact"/>
              <w:ind w:left="0" w:right="0"/>
              <w:jc w:val="center"/>
              <w:textAlignment w:val="center"/>
              <w:rPr>
                <w:rFonts w:hint="eastAsia" w:ascii="宋体" w:hAnsi="宋体" w:eastAsia="宋体" w:cs="宋体"/>
                <w:color w:val="000000"/>
                <w:sz w:val="24"/>
                <w:szCs w:val="24"/>
              </w:rPr>
            </w:pPr>
            <w:r>
              <w:rPr>
                <w:rFonts w:hint="default" w:ascii="宋体" w:hAnsi="宋体" w:eastAsia="宋体" w:cs="宋体"/>
                <w:color w:val="000000"/>
                <w:kern w:val="0"/>
                <w:sz w:val="24"/>
                <w:szCs w:val="24"/>
                <w:lang w:bidi="ar"/>
              </w:rPr>
              <w:t>绩效 指标</w:t>
            </w:r>
            <w:r>
              <w:rPr>
                <w:rFonts w:hint="eastAsia" w:ascii="宋体" w:hAnsi="宋体" w:eastAsia="宋体" w:cs="宋体"/>
                <w:color w:val="000000"/>
                <w:kern w:val="0"/>
                <w:sz w:val="24"/>
                <w:szCs w:val="24"/>
                <w:lang w:bidi="ar"/>
              </w:rPr>
              <w:t>（90份）</w:t>
            </w:r>
          </w:p>
        </w:tc>
        <w:tc>
          <w:tcPr>
            <w:tcW w:w="6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D1794B">
            <w:pPr>
              <w:keepNext w:val="0"/>
              <w:keepLines w:val="0"/>
              <w:widowControl/>
              <w:suppressLineNumbers w:val="0"/>
              <w:spacing w:before="0" w:beforeAutospacing="0" w:after="0" w:afterAutospacing="0" w:line="300" w:lineRule="exact"/>
              <w:ind w:left="0" w:right="0"/>
              <w:jc w:val="center"/>
              <w:textAlignment w:val="center"/>
              <w:rPr>
                <w:rFonts w:hint="eastAsia" w:ascii="宋体" w:hAnsi="宋体" w:eastAsia="宋体" w:cs="宋体"/>
                <w:color w:val="000000"/>
                <w:sz w:val="24"/>
                <w:szCs w:val="24"/>
              </w:rPr>
            </w:pPr>
            <w:r>
              <w:rPr>
                <w:rFonts w:hint="default" w:ascii="宋体" w:hAnsi="宋体" w:eastAsia="宋体" w:cs="宋体"/>
                <w:color w:val="000000"/>
                <w:kern w:val="0"/>
                <w:sz w:val="24"/>
                <w:szCs w:val="24"/>
                <w:lang w:bidi="ar"/>
              </w:rPr>
              <w:t>一级指标</w:t>
            </w:r>
          </w:p>
        </w:tc>
        <w:tc>
          <w:tcPr>
            <w:tcW w:w="1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EF7783">
            <w:pPr>
              <w:keepNext w:val="0"/>
              <w:keepLines w:val="0"/>
              <w:widowControl/>
              <w:suppressLineNumbers w:val="0"/>
              <w:spacing w:before="0" w:beforeAutospacing="0" w:after="0" w:afterAutospacing="0" w:line="300" w:lineRule="exact"/>
              <w:ind w:left="0" w:right="0"/>
              <w:jc w:val="center"/>
              <w:textAlignment w:val="center"/>
              <w:rPr>
                <w:rFonts w:hint="eastAsia" w:ascii="宋体" w:hAnsi="宋体" w:eastAsia="宋体" w:cs="宋体"/>
                <w:color w:val="000000"/>
                <w:sz w:val="24"/>
                <w:szCs w:val="24"/>
              </w:rPr>
            </w:pPr>
            <w:r>
              <w:rPr>
                <w:rFonts w:hint="default" w:ascii="宋体" w:hAnsi="宋体" w:eastAsia="宋体" w:cs="宋体"/>
                <w:color w:val="000000"/>
                <w:kern w:val="0"/>
                <w:sz w:val="24"/>
                <w:szCs w:val="24"/>
                <w:lang w:bidi="ar"/>
              </w:rPr>
              <w:t>二级指标</w:t>
            </w:r>
          </w:p>
        </w:tc>
        <w:tc>
          <w:tcPr>
            <w:tcW w:w="1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F1AB8F">
            <w:pPr>
              <w:keepNext w:val="0"/>
              <w:keepLines w:val="0"/>
              <w:widowControl/>
              <w:suppressLineNumbers w:val="0"/>
              <w:spacing w:before="0" w:beforeAutospacing="0" w:after="0" w:afterAutospacing="0" w:line="300" w:lineRule="exact"/>
              <w:ind w:left="0" w:right="0"/>
              <w:jc w:val="center"/>
              <w:textAlignment w:val="center"/>
              <w:rPr>
                <w:rFonts w:hint="eastAsia" w:ascii="宋体" w:hAnsi="宋体" w:eastAsia="宋体" w:cs="宋体"/>
                <w:color w:val="000000"/>
                <w:sz w:val="24"/>
                <w:szCs w:val="24"/>
              </w:rPr>
            </w:pPr>
            <w:r>
              <w:rPr>
                <w:rFonts w:hint="default" w:ascii="宋体" w:hAnsi="宋体" w:eastAsia="宋体" w:cs="宋体"/>
                <w:color w:val="000000"/>
                <w:kern w:val="0"/>
                <w:sz w:val="24"/>
                <w:szCs w:val="24"/>
                <w:lang w:bidi="ar"/>
              </w:rPr>
              <w:t>三级指标</w:t>
            </w:r>
          </w:p>
        </w:tc>
        <w:tc>
          <w:tcPr>
            <w:tcW w:w="6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400C4F">
            <w:pPr>
              <w:keepNext w:val="0"/>
              <w:keepLines w:val="0"/>
              <w:widowControl/>
              <w:suppressLineNumbers w:val="0"/>
              <w:spacing w:before="0" w:beforeAutospacing="0" w:after="0" w:afterAutospacing="0" w:line="300" w:lineRule="exact"/>
              <w:ind w:left="0" w:right="0"/>
              <w:jc w:val="center"/>
              <w:textAlignment w:val="center"/>
              <w:rPr>
                <w:rFonts w:hint="eastAsia" w:ascii="宋体" w:hAnsi="宋体" w:eastAsia="宋体" w:cs="宋体"/>
                <w:color w:val="000000"/>
                <w:sz w:val="24"/>
                <w:szCs w:val="24"/>
              </w:rPr>
            </w:pPr>
            <w:r>
              <w:rPr>
                <w:rFonts w:hint="default" w:ascii="宋体" w:hAnsi="宋体" w:eastAsia="宋体" w:cs="宋体"/>
                <w:color w:val="000000"/>
                <w:kern w:val="0"/>
                <w:sz w:val="24"/>
                <w:szCs w:val="24"/>
                <w:lang w:bidi="ar"/>
              </w:rPr>
              <w:t>指标性质</w:t>
            </w:r>
          </w:p>
        </w:tc>
        <w:tc>
          <w:tcPr>
            <w:tcW w:w="26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62B920">
            <w:pPr>
              <w:keepNext w:val="0"/>
              <w:keepLines w:val="0"/>
              <w:widowControl/>
              <w:suppressLineNumbers w:val="0"/>
              <w:spacing w:before="0" w:beforeAutospacing="0" w:after="0" w:afterAutospacing="0" w:line="300" w:lineRule="exact"/>
              <w:ind w:left="0" w:right="0"/>
              <w:jc w:val="center"/>
              <w:textAlignment w:val="center"/>
              <w:rPr>
                <w:rFonts w:hint="eastAsia" w:ascii="宋体" w:hAnsi="宋体" w:eastAsia="宋体" w:cs="宋体"/>
                <w:color w:val="000000"/>
                <w:sz w:val="24"/>
                <w:szCs w:val="24"/>
              </w:rPr>
            </w:pPr>
            <w:r>
              <w:rPr>
                <w:rFonts w:hint="default" w:ascii="宋体" w:hAnsi="宋体" w:eastAsia="宋体" w:cs="宋体"/>
                <w:color w:val="000000"/>
                <w:kern w:val="0"/>
                <w:sz w:val="24"/>
                <w:szCs w:val="24"/>
                <w:lang w:bidi="ar"/>
              </w:rPr>
              <w:t>指标值</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CE5F9B">
            <w:pPr>
              <w:keepNext w:val="0"/>
              <w:keepLines w:val="0"/>
              <w:widowControl/>
              <w:suppressLineNumbers w:val="0"/>
              <w:spacing w:before="0" w:beforeAutospacing="0" w:after="0" w:afterAutospacing="0" w:line="300" w:lineRule="exact"/>
              <w:ind w:left="0" w:right="0"/>
              <w:jc w:val="center"/>
              <w:textAlignment w:val="center"/>
              <w:rPr>
                <w:rFonts w:hint="eastAsia" w:ascii="宋体" w:hAnsi="宋体" w:eastAsia="宋体" w:cs="宋体"/>
                <w:color w:val="000000"/>
                <w:sz w:val="24"/>
                <w:szCs w:val="24"/>
              </w:rPr>
            </w:pPr>
            <w:r>
              <w:rPr>
                <w:rFonts w:hint="default" w:ascii="宋体" w:hAnsi="宋体" w:eastAsia="宋体" w:cs="宋体"/>
                <w:color w:val="000000"/>
                <w:kern w:val="0"/>
                <w:sz w:val="24"/>
                <w:szCs w:val="24"/>
                <w:lang w:bidi="ar"/>
              </w:rPr>
              <w:t>度量单位</w:t>
            </w:r>
          </w:p>
        </w:tc>
        <w:tc>
          <w:tcPr>
            <w:tcW w:w="11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294667">
            <w:pPr>
              <w:keepNext w:val="0"/>
              <w:keepLines w:val="0"/>
              <w:widowControl/>
              <w:suppressLineNumbers w:val="0"/>
              <w:spacing w:before="0" w:beforeAutospacing="0" w:after="0" w:afterAutospacing="0" w:line="300" w:lineRule="exact"/>
              <w:ind w:left="0" w:right="0"/>
              <w:jc w:val="center"/>
              <w:textAlignment w:val="center"/>
              <w:rPr>
                <w:rFonts w:hint="eastAsia" w:ascii="宋体" w:hAnsi="宋体" w:eastAsia="宋体" w:cs="宋体"/>
                <w:color w:val="000000"/>
                <w:sz w:val="24"/>
                <w:szCs w:val="24"/>
              </w:rPr>
            </w:pPr>
            <w:r>
              <w:rPr>
                <w:rFonts w:hint="default" w:ascii="宋体" w:hAnsi="宋体" w:eastAsia="宋体" w:cs="宋体"/>
                <w:color w:val="000000"/>
                <w:kern w:val="0"/>
                <w:sz w:val="24"/>
                <w:szCs w:val="24"/>
                <w:lang w:bidi="ar"/>
              </w:rPr>
              <w:t>权重</w:t>
            </w:r>
          </w:p>
        </w:tc>
        <w:tc>
          <w:tcPr>
            <w:tcW w:w="19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6CFA5D">
            <w:pPr>
              <w:keepNext w:val="0"/>
              <w:keepLines w:val="0"/>
              <w:widowControl/>
              <w:suppressLineNumbers w:val="0"/>
              <w:spacing w:before="0" w:beforeAutospacing="0" w:after="0" w:afterAutospacing="0" w:line="300" w:lineRule="exact"/>
              <w:ind w:left="0" w:right="0"/>
              <w:jc w:val="center"/>
              <w:textAlignment w:val="center"/>
              <w:rPr>
                <w:rFonts w:hint="eastAsia" w:ascii="宋体" w:hAnsi="宋体" w:eastAsia="宋体" w:cs="宋体"/>
                <w:color w:val="000000"/>
                <w:sz w:val="24"/>
                <w:szCs w:val="24"/>
              </w:rPr>
            </w:pPr>
            <w:r>
              <w:rPr>
                <w:rFonts w:hint="default" w:ascii="宋体" w:hAnsi="宋体" w:eastAsia="宋体" w:cs="宋体"/>
                <w:color w:val="000000"/>
                <w:kern w:val="0"/>
                <w:sz w:val="24"/>
                <w:szCs w:val="24"/>
                <w:lang w:bidi="ar"/>
              </w:rPr>
              <w:t>实际完成指标值</w:t>
            </w:r>
          </w:p>
        </w:tc>
      </w:tr>
      <w:tr w14:paraId="5250C327">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24D71405">
            <w:pPr>
              <w:keepNext w:val="0"/>
              <w:keepLines w:val="0"/>
              <w:suppressLineNumbers w:val="0"/>
              <w:spacing w:before="0" w:beforeAutospacing="0" w:after="0" w:afterAutospacing="0" w:line="300" w:lineRule="exact"/>
              <w:ind w:left="0" w:right="0"/>
              <w:jc w:val="center"/>
              <w:rPr>
                <w:rFonts w:hint="eastAsia" w:ascii="宋体" w:hAnsi="宋体" w:eastAsia="宋体" w:cs="宋体"/>
                <w:color w:val="000000"/>
                <w:sz w:val="24"/>
                <w:szCs w:val="24"/>
              </w:rPr>
            </w:pPr>
          </w:p>
        </w:tc>
        <w:tc>
          <w:tcPr>
            <w:tcW w:w="66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FF75B57">
            <w:pPr>
              <w:keepNext w:val="0"/>
              <w:keepLines w:val="0"/>
              <w:widowControl/>
              <w:suppressLineNumbers w:val="0"/>
              <w:spacing w:before="0" w:beforeAutospacing="0" w:after="0" w:afterAutospacing="0" w:line="300" w:lineRule="exact"/>
              <w:ind w:left="0" w:right="0"/>
              <w:jc w:val="center"/>
              <w:textAlignment w:val="center"/>
              <w:rPr>
                <w:rFonts w:hint="eastAsia" w:ascii="宋体" w:hAnsi="宋体" w:eastAsia="宋体" w:cs="宋体"/>
                <w:color w:val="000000"/>
                <w:sz w:val="24"/>
                <w:szCs w:val="24"/>
              </w:rPr>
            </w:pPr>
            <w:r>
              <w:rPr>
                <w:rFonts w:hint="default" w:ascii="宋体" w:hAnsi="宋体" w:eastAsia="宋体" w:cs="宋体"/>
                <w:color w:val="000000"/>
                <w:kern w:val="0"/>
                <w:sz w:val="24"/>
                <w:szCs w:val="24"/>
                <w:lang w:bidi="ar"/>
              </w:rPr>
              <w:t>产出指标</w:t>
            </w:r>
          </w:p>
        </w:tc>
        <w:tc>
          <w:tcPr>
            <w:tcW w:w="1198" w:type="dxa"/>
            <w:vMerge w:val="restart"/>
            <w:tcBorders>
              <w:top w:val="single" w:color="000000" w:sz="4" w:space="0"/>
              <w:left w:val="single" w:color="000000" w:sz="4" w:space="0"/>
              <w:right w:val="single" w:color="000000" w:sz="4" w:space="0"/>
            </w:tcBorders>
            <w:shd w:val="clear" w:color="auto" w:fill="auto"/>
            <w:vAlign w:val="center"/>
          </w:tcPr>
          <w:p w14:paraId="38B29D53">
            <w:pPr>
              <w:keepNext w:val="0"/>
              <w:keepLines w:val="0"/>
              <w:widowControl/>
              <w:suppressLineNumbers w:val="0"/>
              <w:spacing w:before="0" w:beforeAutospacing="0" w:after="0" w:afterAutospacing="0" w:line="300" w:lineRule="exact"/>
              <w:ind w:left="0" w:right="0"/>
              <w:jc w:val="center"/>
              <w:textAlignment w:val="center"/>
              <w:rPr>
                <w:rFonts w:hint="eastAsia" w:ascii="宋体" w:hAnsi="宋体" w:eastAsia="宋体" w:cs="宋体"/>
                <w:color w:val="000000"/>
                <w:sz w:val="24"/>
                <w:szCs w:val="24"/>
              </w:rPr>
            </w:pPr>
            <w:r>
              <w:rPr>
                <w:rFonts w:hint="default" w:ascii="宋体" w:hAnsi="宋体" w:eastAsia="宋体" w:cs="宋体"/>
                <w:color w:val="000000"/>
                <w:kern w:val="0"/>
                <w:sz w:val="24"/>
                <w:szCs w:val="24"/>
                <w:lang w:bidi="ar"/>
              </w:rPr>
              <w:t>数量指标</w:t>
            </w:r>
          </w:p>
        </w:tc>
        <w:tc>
          <w:tcPr>
            <w:tcW w:w="1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B420C3">
            <w:pPr>
              <w:keepNext w:val="0"/>
              <w:keepLines w:val="0"/>
              <w:suppressLineNumbers w:val="0"/>
              <w:spacing w:before="0" w:beforeAutospacing="0" w:after="0" w:afterAutospacing="0" w:line="300" w:lineRule="exact"/>
              <w:ind w:left="0" w:right="0"/>
              <w:rPr>
                <w:rFonts w:hint="eastAsia" w:ascii="宋体" w:hAnsi="宋体" w:eastAsia="宋体" w:cs="宋体"/>
                <w:color w:val="000000"/>
                <w:sz w:val="24"/>
                <w:szCs w:val="24"/>
              </w:rPr>
            </w:pPr>
            <w:r>
              <w:rPr>
                <w:rFonts w:hint="eastAsia" w:ascii="宋体" w:hAnsi="宋体" w:eastAsia="宋体" w:cs="宋体"/>
                <w:color w:val="000000"/>
                <w:sz w:val="24"/>
                <w:szCs w:val="24"/>
              </w:rPr>
              <w:t>指标1：组织召开现代物流发展趋势与广元产业高质量发展专题讲座</w:t>
            </w:r>
          </w:p>
        </w:tc>
        <w:tc>
          <w:tcPr>
            <w:tcW w:w="6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06B039">
            <w:pPr>
              <w:keepNext w:val="0"/>
              <w:keepLines w:val="0"/>
              <w:suppressLineNumbers w:val="0"/>
              <w:spacing w:before="0" w:beforeAutospacing="0" w:after="0" w:afterAutospacing="0" w:line="300" w:lineRule="exact"/>
              <w:ind w:left="0" w:right="0"/>
              <w:jc w:val="center"/>
              <w:rPr>
                <w:rFonts w:hint="eastAsia" w:ascii="宋体" w:hAnsi="宋体" w:eastAsia="宋体" w:cs="宋体"/>
                <w:color w:val="000000"/>
                <w:sz w:val="24"/>
                <w:szCs w:val="24"/>
              </w:rPr>
            </w:pPr>
            <w:r>
              <w:rPr>
                <w:rFonts w:hint="eastAsia" w:ascii="宋体" w:hAnsi="宋体" w:eastAsia="宋体" w:cs="宋体"/>
                <w:color w:val="000000"/>
                <w:sz w:val="24"/>
                <w:szCs w:val="24"/>
              </w:rPr>
              <w:t>定量</w:t>
            </w:r>
          </w:p>
        </w:tc>
        <w:tc>
          <w:tcPr>
            <w:tcW w:w="26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4ACCBC">
            <w:pPr>
              <w:keepNext w:val="0"/>
              <w:keepLines w:val="0"/>
              <w:suppressLineNumbers w:val="0"/>
              <w:spacing w:before="0" w:beforeAutospacing="0" w:after="0" w:afterAutospacing="0" w:line="300" w:lineRule="exact"/>
              <w:ind w:left="0" w:right="0"/>
              <w:jc w:val="center"/>
              <w:rPr>
                <w:rFonts w:hint="eastAsia" w:ascii="宋体" w:hAnsi="宋体" w:eastAsia="宋体" w:cs="宋体"/>
                <w:color w:val="000000"/>
                <w:sz w:val="24"/>
                <w:szCs w:val="24"/>
              </w:rPr>
            </w:pPr>
            <w:r>
              <w:rPr>
                <w:rFonts w:hint="default" w:ascii="宋体" w:hAnsi="宋体" w:eastAsia="宋体" w:cs="宋体"/>
                <w:color w:val="000000"/>
                <w:sz w:val="24"/>
                <w:szCs w:val="24"/>
              </w:rPr>
              <w:t>1</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EC0612">
            <w:pPr>
              <w:keepNext w:val="0"/>
              <w:keepLines w:val="0"/>
              <w:suppressLineNumbers w:val="0"/>
              <w:spacing w:before="0" w:beforeAutospacing="0" w:after="0" w:afterAutospacing="0" w:line="300" w:lineRule="exact"/>
              <w:ind w:left="0" w:right="0"/>
              <w:jc w:val="center"/>
              <w:rPr>
                <w:rFonts w:hint="eastAsia" w:ascii="宋体" w:hAnsi="宋体" w:eastAsia="宋体" w:cs="宋体"/>
                <w:color w:val="000000"/>
                <w:sz w:val="24"/>
                <w:szCs w:val="24"/>
              </w:rPr>
            </w:pPr>
            <w:r>
              <w:rPr>
                <w:rFonts w:hint="eastAsia" w:ascii="宋体" w:hAnsi="宋体" w:eastAsia="宋体" w:cs="宋体"/>
                <w:color w:val="000000"/>
                <w:sz w:val="24"/>
                <w:szCs w:val="24"/>
              </w:rPr>
              <w:t>场</w:t>
            </w:r>
          </w:p>
        </w:tc>
        <w:tc>
          <w:tcPr>
            <w:tcW w:w="11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31111B">
            <w:pPr>
              <w:keepNext w:val="0"/>
              <w:keepLines w:val="0"/>
              <w:suppressLineNumbers w:val="0"/>
              <w:spacing w:before="0" w:beforeAutospacing="0" w:after="0" w:afterAutospacing="0" w:line="300" w:lineRule="exact"/>
              <w:ind w:left="0" w:right="0"/>
              <w:jc w:val="center"/>
              <w:rPr>
                <w:rFonts w:hint="eastAsia" w:ascii="宋体" w:hAnsi="宋体" w:eastAsia="宋体" w:cs="宋体"/>
                <w:color w:val="000000"/>
                <w:sz w:val="24"/>
                <w:szCs w:val="24"/>
              </w:rPr>
            </w:pPr>
            <w:r>
              <w:rPr>
                <w:rFonts w:hint="eastAsia" w:ascii="宋体" w:hAnsi="宋体" w:eastAsia="宋体" w:cs="宋体"/>
                <w:color w:val="000000"/>
                <w:sz w:val="24"/>
                <w:szCs w:val="24"/>
              </w:rPr>
              <w:t>15</w:t>
            </w:r>
          </w:p>
        </w:tc>
        <w:tc>
          <w:tcPr>
            <w:tcW w:w="19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0C2854">
            <w:pPr>
              <w:keepNext w:val="0"/>
              <w:keepLines w:val="0"/>
              <w:suppressLineNumbers w:val="0"/>
              <w:spacing w:before="0" w:beforeAutospacing="0" w:after="0" w:afterAutospacing="0" w:line="300" w:lineRule="exact"/>
              <w:ind w:left="0" w:right="0"/>
              <w:jc w:val="left"/>
              <w:rPr>
                <w:rFonts w:hint="eastAsia" w:ascii="宋体" w:hAnsi="宋体" w:eastAsia="宋体" w:cs="宋体"/>
                <w:color w:val="000000"/>
                <w:sz w:val="24"/>
                <w:szCs w:val="24"/>
              </w:rPr>
            </w:pPr>
            <w:r>
              <w:rPr>
                <w:rFonts w:hint="eastAsia" w:ascii="宋体" w:hAnsi="宋体" w:eastAsia="宋体" w:cs="宋体"/>
                <w:color w:val="000000"/>
                <w:sz w:val="24"/>
                <w:szCs w:val="24"/>
              </w:rPr>
              <w:t>已完成，已于2023年5月23日举办。</w:t>
            </w:r>
          </w:p>
        </w:tc>
      </w:tr>
      <w:tr w14:paraId="485A6BE5">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3F17A2E4">
            <w:pPr>
              <w:keepNext w:val="0"/>
              <w:keepLines w:val="0"/>
              <w:suppressLineNumbers w:val="0"/>
              <w:spacing w:before="0" w:beforeAutospacing="0" w:after="0" w:afterAutospacing="0" w:line="300" w:lineRule="exact"/>
              <w:ind w:left="0" w:right="0"/>
              <w:jc w:val="center"/>
              <w:rPr>
                <w:rFonts w:hint="eastAsia" w:ascii="宋体" w:hAnsi="宋体" w:eastAsia="宋体" w:cs="宋体"/>
                <w:color w:val="000000"/>
                <w:sz w:val="24"/>
                <w:szCs w:val="24"/>
              </w:rPr>
            </w:pPr>
          </w:p>
        </w:tc>
        <w:tc>
          <w:tcPr>
            <w:tcW w:w="66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ADDDDF">
            <w:pPr>
              <w:keepNext w:val="0"/>
              <w:keepLines w:val="0"/>
              <w:suppressLineNumbers w:val="0"/>
              <w:spacing w:before="0" w:beforeAutospacing="0" w:after="0" w:afterAutospacing="0" w:line="300" w:lineRule="exact"/>
              <w:ind w:left="0" w:right="0"/>
              <w:jc w:val="center"/>
              <w:rPr>
                <w:rFonts w:hint="eastAsia" w:ascii="宋体" w:hAnsi="宋体" w:eastAsia="宋体" w:cs="宋体"/>
                <w:color w:val="000000"/>
                <w:sz w:val="24"/>
                <w:szCs w:val="24"/>
              </w:rPr>
            </w:pPr>
          </w:p>
        </w:tc>
        <w:tc>
          <w:tcPr>
            <w:tcW w:w="1198" w:type="dxa"/>
            <w:vMerge w:val="continue"/>
            <w:tcBorders>
              <w:left w:val="single" w:color="000000" w:sz="4" w:space="0"/>
              <w:right w:val="single" w:color="000000" w:sz="4" w:space="0"/>
            </w:tcBorders>
            <w:shd w:val="clear" w:color="auto" w:fill="auto"/>
            <w:vAlign w:val="center"/>
          </w:tcPr>
          <w:p w14:paraId="1F3D357F">
            <w:pPr>
              <w:keepNext w:val="0"/>
              <w:keepLines w:val="0"/>
              <w:suppressLineNumbers w:val="0"/>
              <w:spacing w:before="0" w:beforeAutospacing="0" w:after="0" w:afterAutospacing="0" w:line="300" w:lineRule="exact"/>
              <w:ind w:left="0" w:right="0"/>
              <w:jc w:val="center"/>
              <w:rPr>
                <w:rFonts w:hint="eastAsia" w:ascii="宋体" w:hAnsi="宋体" w:eastAsia="宋体" w:cs="宋体"/>
                <w:color w:val="000000"/>
                <w:sz w:val="24"/>
                <w:szCs w:val="24"/>
              </w:rPr>
            </w:pPr>
          </w:p>
        </w:tc>
        <w:tc>
          <w:tcPr>
            <w:tcW w:w="1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914B59">
            <w:pPr>
              <w:keepNext w:val="0"/>
              <w:keepLines w:val="0"/>
              <w:suppressLineNumbers w:val="0"/>
              <w:spacing w:before="0" w:beforeAutospacing="0" w:after="0" w:afterAutospacing="0" w:line="300" w:lineRule="exact"/>
              <w:ind w:left="0" w:right="0"/>
              <w:rPr>
                <w:rFonts w:hint="eastAsia" w:ascii="宋体" w:hAnsi="宋体" w:eastAsia="宋体" w:cs="宋体"/>
                <w:color w:val="000000"/>
                <w:sz w:val="24"/>
                <w:szCs w:val="24"/>
              </w:rPr>
            </w:pPr>
            <w:r>
              <w:rPr>
                <w:rFonts w:hint="eastAsia" w:ascii="宋体" w:hAnsi="宋体" w:eastAsia="宋体" w:cs="宋体"/>
                <w:color w:val="000000"/>
                <w:sz w:val="24"/>
                <w:szCs w:val="24"/>
              </w:rPr>
              <w:t>指标2：邀请专家</w:t>
            </w:r>
          </w:p>
        </w:tc>
        <w:tc>
          <w:tcPr>
            <w:tcW w:w="6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F306EC">
            <w:pPr>
              <w:keepNext w:val="0"/>
              <w:keepLines w:val="0"/>
              <w:suppressLineNumbers w:val="0"/>
              <w:spacing w:before="0" w:beforeAutospacing="0" w:after="0" w:afterAutospacing="0" w:line="300" w:lineRule="exact"/>
              <w:ind w:left="0" w:right="0"/>
              <w:jc w:val="center"/>
              <w:rPr>
                <w:rFonts w:hint="eastAsia" w:ascii="宋体" w:hAnsi="宋体" w:eastAsia="宋体" w:cs="宋体"/>
                <w:color w:val="000000"/>
                <w:sz w:val="24"/>
                <w:szCs w:val="24"/>
              </w:rPr>
            </w:pPr>
            <w:r>
              <w:rPr>
                <w:rFonts w:hint="eastAsia" w:ascii="宋体" w:hAnsi="宋体" w:eastAsia="宋体" w:cs="宋体"/>
                <w:color w:val="000000"/>
                <w:sz w:val="24"/>
                <w:szCs w:val="24"/>
              </w:rPr>
              <w:t>定量</w:t>
            </w:r>
          </w:p>
        </w:tc>
        <w:tc>
          <w:tcPr>
            <w:tcW w:w="26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1B3020">
            <w:pPr>
              <w:keepNext w:val="0"/>
              <w:keepLines w:val="0"/>
              <w:suppressLineNumbers w:val="0"/>
              <w:spacing w:before="0" w:beforeAutospacing="0" w:after="0" w:afterAutospacing="0" w:line="300" w:lineRule="exact"/>
              <w:ind w:left="0" w:right="0"/>
              <w:jc w:val="center"/>
              <w:rPr>
                <w:rFonts w:hint="eastAsia" w:ascii="宋体" w:hAnsi="宋体" w:eastAsia="宋体" w:cs="宋体"/>
                <w:color w:val="000000"/>
                <w:sz w:val="24"/>
                <w:szCs w:val="24"/>
              </w:rPr>
            </w:pPr>
            <w:r>
              <w:rPr>
                <w:rFonts w:hint="eastAsia" w:ascii="宋体" w:hAnsi="宋体" w:eastAsia="宋体" w:cs="宋体"/>
                <w:color w:val="000000"/>
                <w:sz w:val="24"/>
                <w:szCs w:val="24"/>
              </w:rPr>
              <w:t>1</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80AF3C">
            <w:pPr>
              <w:keepNext w:val="0"/>
              <w:keepLines w:val="0"/>
              <w:suppressLineNumbers w:val="0"/>
              <w:spacing w:before="0" w:beforeAutospacing="0" w:after="0" w:afterAutospacing="0" w:line="300" w:lineRule="exact"/>
              <w:ind w:left="0" w:right="0"/>
              <w:jc w:val="center"/>
              <w:rPr>
                <w:rFonts w:hint="eastAsia" w:ascii="宋体" w:hAnsi="宋体" w:eastAsia="宋体" w:cs="宋体"/>
                <w:color w:val="000000"/>
                <w:sz w:val="24"/>
                <w:szCs w:val="24"/>
              </w:rPr>
            </w:pPr>
            <w:r>
              <w:rPr>
                <w:rFonts w:hint="eastAsia" w:ascii="宋体" w:hAnsi="宋体" w:eastAsia="宋体" w:cs="宋体"/>
                <w:color w:val="000000"/>
                <w:sz w:val="24"/>
                <w:szCs w:val="24"/>
              </w:rPr>
              <w:t>人</w:t>
            </w:r>
          </w:p>
        </w:tc>
        <w:tc>
          <w:tcPr>
            <w:tcW w:w="11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D2CFCD">
            <w:pPr>
              <w:keepNext w:val="0"/>
              <w:keepLines w:val="0"/>
              <w:suppressLineNumbers w:val="0"/>
              <w:spacing w:before="0" w:beforeAutospacing="0" w:after="0" w:afterAutospacing="0" w:line="300" w:lineRule="exact"/>
              <w:ind w:left="0" w:right="0"/>
              <w:jc w:val="center"/>
              <w:rPr>
                <w:rFonts w:hint="eastAsia" w:ascii="宋体" w:hAnsi="宋体" w:eastAsia="宋体" w:cs="宋体"/>
                <w:color w:val="000000"/>
                <w:sz w:val="24"/>
                <w:szCs w:val="24"/>
              </w:rPr>
            </w:pPr>
            <w:r>
              <w:rPr>
                <w:rFonts w:hint="eastAsia" w:ascii="宋体" w:hAnsi="宋体" w:eastAsia="宋体" w:cs="宋体"/>
                <w:color w:val="000000"/>
                <w:sz w:val="24"/>
                <w:szCs w:val="24"/>
              </w:rPr>
              <w:t>10</w:t>
            </w:r>
          </w:p>
        </w:tc>
        <w:tc>
          <w:tcPr>
            <w:tcW w:w="19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70E415">
            <w:pPr>
              <w:keepNext w:val="0"/>
              <w:keepLines w:val="0"/>
              <w:suppressLineNumbers w:val="0"/>
              <w:spacing w:before="0" w:beforeAutospacing="0" w:after="0" w:afterAutospacing="0" w:line="300" w:lineRule="exact"/>
              <w:ind w:left="0" w:right="0"/>
              <w:jc w:val="left"/>
              <w:rPr>
                <w:rFonts w:hint="eastAsia" w:ascii="宋体" w:hAnsi="宋体" w:eastAsia="宋体" w:cs="宋体"/>
                <w:color w:val="000000"/>
                <w:sz w:val="24"/>
                <w:szCs w:val="24"/>
              </w:rPr>
            </w:pPr>
            <w:r>
              <w:rPr>
                <w:rFonts w:hint="eastAsia" w:ascii="宋体" w:hAnsi="宋体" w:eastAsia="宋体" w:cs="宋体"/>
                <w:color w:val="000000"/>
                <w:sz w:val="24"/>
                <w:szCs w:val="24"/>
              </w:rPr>
              <w:t>已完成，邀请到国家发展改革委综合运输研究所所长汪明作“现代物流发展趋势与广元产业高质量发展”专题讲座。</w:t>
            </w:r>
          </w:p>
        </w:tc>
      </w:tr>
      <w:tr w14:paraId="2AA4B3DF">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08945047">
            <w:pPr>
              <w:keepNext w:val="0"/>
              <w:keepLines w:val="0"/>
              <w:suppressLineNumbers w:val="0"/>
              <w:spacing w:before="0" w:beforeAutospacing="0" w:after="0" w:afterAutospacing="0" w:line="300" w:lineRule="exact"/>
              <w:ind w:left="0" w:right="0"/>
              <w:jc w:val="center"/>
              <w:rPr>
                <w:rFonts w:hint="eastAsia" w:ascii="宋体" w:hAnsi="宋体" w:eastAsia="宋体" w:cs="宋体"/>
                <w:color w:val="000000"/>
                <w:sz w:val="24"/>
                <w:szCs w:val="24"/>
              </w:rPr>
            </w:pPr>
          </w:p>
        </w:tc>
        <w:tc>
          <w:tcPr>
            <w:tcW w:w="66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04EAB9">
            <w:pPr>
              <w:keepNext w:val="0"/>
              <w:keepLines w:val="0"/>
              <w:suppressLineNumbers w:val="0"/>
              <w:spacing w:before="0" w:beforeAutospacing="0" w:after="0" w:afterAutospacing="0" w:line="300" w:lineRule="exact"/>
              <w:ind w:left="0" w:right="0"/>
              <w:jc w:val="center"/>
              <w:rPr>
                <w:rFonts w:hint="eastAsia" w:ascii="宋体" w:hAnsi="宋体" w:eastAsia="宋体" w:cs="宋体"/>
                <w:color w:val="000000"/>
                <w:sz w:val="24"/>
                <w:szCs w:val="24"/>
              </w:rPr>
            </w:pPr>
          </w:p>
        </w:tc>
        <w:tc>
          <w:tcPr>
            <w:tcW w:w="1198" w:type="dxa"/>
            <w:vMerge w:val="continue"/>
            <w:tcBorders>
              <w:left w:val="single" w:color="000000" w:sz="4" w:space="0"/>
              <w:right w:val="single" w:color="000000" w:sz="4" w:space="0"/>
            </w:tcBorders>
            <w:shd w:val="clear" w:color="auto" w:fill="auto"/>
            <w:vAlign w:val="center"/>
          </w:tcPr>
          <w:p w14:paraId="093F7E49">
            <w:pPr>
              <w:keepNext w:val="0"/>
              <w:keepLines w:val="0"/>
              <w:suppressLineNumbers w:val="0"/>
              <w:spacing w:before="0" w:beforeAutospacing="0" w:after="0" w:afterAutospacing="0" w:line="300" w:lineRule="exact"/>
              <w:ind w:left="0" w:right="0"/>
              <w:jc w:val="center"/>
              <w:rPr>
                <w:rFonts w:hint="eastAsia" w:ascii="宋体" w:hAnsi="宋体" w:eastAsia="宋体" w:cs="宋体"/>
                <w:color w:val="000000"/>
                <w:sz w:val="24"/>
                <w:szCs w:val="24"/>
              </w:rPr>
            </w:pPr>
          </w:p>
        </w:tc>
        <w:tc>
          <w:tcPr>
            <w:tcW w:w="1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5532C3">
            <w:pPr>
              <w:keepNext w:val="0"/>
              <w:keepLines w:val="0"/>
              <w:suppressLineNumbers w:val="0"/>
              <w:spacing w:before="0" w:beforeAutospacing="0" w:after="0" w:afterAutospacing="0" w:line="300" w:lineRule="exact"/>
              <w:ind w:left="0" w:right="0"/>
              <w:rPr>
                <w:rFonts w:hint="eastAsia" w:ascii="宋体" w:hAnsi="宋体" w:eastAsia="宋体" w:cs="宋体"/>
                <w:color w:val="000000"/>
                <w:sz w:val="24"/>
                <w:szCs w:val="24"/>
              </w:rPr>
            </w:pPr>
            <w:r>
              <w:rPr>
                <w:rFonts w:hint="eastAsia" w:ascii="宋体" w:hAnsi="宋体" w:eastAsia="宋体" w:cs="宋体"/>
                <w:color w:val="000000"/>
                <w:sz w:val="24"/>
                <w:szCs w:val="24"/>
              </w:rPr>
              <w:t>指标3：组织分会场</w:t>
            </w:r>
          </w:p>
        </w:tc>
        <w:tc>
          <w:tcPr>
            <w:tcW w:w="6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4B2950">
            <w:pPr>
              <w:keepNext w:val="0"/>
              <w:keepLines w:val="0"/>
              <w:suppressLineNumbers w:val="0"/>
              <w:spacing w:before="0" w:beforeAutospacing="0" w:after="0" w:afterAutospacing="0" w:line="300" w:lineRule="exact"/>
              <w:ind w:left="0" w:right="0"/>
              <w:jc w:val="center"/>
              <w:rPr>
                <w:rFonts w:hint="eastAsia" w:ascii="宋体" w:hAnsi="宋体" w:eastAsia="宋体" w:cs="宋体"/>
                <w:color w:val="000000"/>
                <w:sz w:val="24"/>
                <w:szCs w:val="24"/>
              </w:rPr>
            </w:pPr>
            <w:r>
              <w:rPr>
                <w:rFonts w:hint="eastAsia" w:ascii="宋体" w:hAnsi="宋体" w:eastAsia="宋体" w:cs="宋体"/>
                <w:color w:val="000000"/>
                <w:sz w:val="24"/>
                <w:szCs w:val="24"/>
              </w:rPr>
              <w:t>定量</w:t>
            </w:r>
          </w:p>
        </w:tc>
        <w:tc>
          <w:tcPr>
            <w:tcW w:w="26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7FC291">
            <w:pPr>
              <w:keepNext w:val="0"/>
              <w:keepLines w:val="0"/>
              <w:suppressLineNumbers w:val="0"/>
              <w:spacing w:before="0" w:beforeAutospacing="0" w:after="0" w:afterAutospacing="0" w:line="300" w:lineRule="exact"/>
              <w:ind w:left="0" w:right="0"/>
              <w:jc w:val="center"/>
              <w:rPr>
                <w:rFonts w:hint="eastAsia" w:ascii="宋体" w:hAnsi="宋体" w:eastAsia="宋体" w:cs="宋体"/>
                <w:color w:val="000000"/>
                <w:sz w:val="24"/>
                <w:szCs w:val="24"/>
              </w:rPr>
            </w:pPr>
            <w:r>
              <w:rPr>
                <w:rFonts w:hint="eastAsia" w:ascii="宋体" w:hAnsi="宋体" w:eastAsia="宋体" w:cs="宋体"/>
                <w:color w:val="000000"/>
                <w:sz w:val="24"/>
                <w:szCs w:val="24"/>
              </w:rPr>
              <w:t>≥5</w:t>
            </w:r>
            <w:r>
              <w:rPr>
                <w:rFonts w:hint="default" w:ascii="宋体" w:hAnsi="宋体" w:eastAsia="宋体" w:cs="宋体"/>
                <w:color w:val="000000"/>
                <w:sz w:val="24"/>
                <w:szCs w:val="24"/>
              </w:rPr>
              <w:t>00</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EB15C3">
            <w:pPr>
              <w:keepNext w:val="0"/>
              <w:keepLines w:val="0"/>
              <w:suppressLineNumbers w:val="0"/>
              <w:spacing w:before="0" w:beforeAutospacing="0" w:after="0" w:afterAutospacing="0" w:line="300" w:lineRule="exact"/>
              <w:ind w:left="0" w:right="0"/>
              <w:jc w:val="center"/>
              <w:rPr>
                <w:rFonts w:hint="eastAsia" w:ascii="宋体" w:hAnsi="宋体" w:eastAsia="宋体" w:cs="宋体"/>
                <w:color w:val="000000"/>
                <w:sz w:val="24"/>
                <w:szCs w:val="24"/>
              </w:rPr>
            </w:pPr>
            <w:r>
              <w:rPr>
                <w:rFonts w:hint="eastAsia" w:ascii="宋体" w:hAnsi="宋体" w:eastAsia="宋体" w:cs="宋体"/>
                <w:color w:val="000000"/>
                <w:sz w:val="24"/>
                <w:szCs w:val="24"/>
              </w:rPr>
              <w:t>个</w:t>
            </w:r>
          </w:p>
        </w:tc>
        <w:tc>
          <w:tcPr>
            <w:tcW w:w="11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5E3C06">
            <w:pPr>
              <w:keepNext w:val="0"/>
              <w:keepLines w:val="0"/>
              <w:suppressLineNumbers w:val="0"/>
              <w:spacing w:before="0" w:beforeAutospacing="0" w:after="0" w:afterAutospacing="0" w:line="300" w:lineRule="exact"/>
              <w:ind w:left="0" w:right="0"/>
              <w:jc w:val="center"/>
              <w:rPr>
                <w:rFonts w:hint="eastAsia" w:ascii="宋体" w:hAnsi="宋体" w:eastAsia="宋体" w:cs="宋体"/>
                <w:color w:val="000000"/>
                <w:sz w:val="24"/>
                <w:szCs w:val="24"/>
              </w:rPr>
            </w:pPr>
            <w:r>
              <w:rPr>
                <w:rFonts w:hint="eastAsia" w:ascii="宋体" w:hAnsi="宋体" w:eastAsia="宋体" w:cs="宋体"/>
                <w:color w:val="000000"/>
                <w:sz w:val="24"/>
                <w:szCs w:val="24"/>
              </w:rPr>
              <w:t>10</w:t>
            </w:r>
          </w:p>
        </w:tc>
        <w:tc>
          <w:tcPr>
            <w:tcW w:w="19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361AE6">
            <w:pPr>
              <w:keepNext w:val="0"/>
              <w:keepLines w:val="0"/>
              <w:suppressLineNumbers w:val="0"/>
              <w:spacing w:before="0" w:beforeAutospacing="0" w:after="0" w:afterAutospacing="0" w:line="300" w:lineRule="exact"/>
              <w:ind w:left="0" w:right="0"/>
              <w:jc w:val="left"/>
              <w:rPr>
                <w:rFonts w:hint="eastAsia" w:ascii="宋体" w:hAnsi="宋体" w:eastAsia="宋体" w:cs="宋体"/>
                <w:color w:val="000000"/>
                <w:sz w:val="24"/>
                <w:szCs w:val="24"/>
              </w:rPr>
            </w:pPr>
            <w:r>
              <w:rPr>
                <w:rFonts w:hint="eastAsia" w:ascii="宋体" w:hAnsi="宋体" w:eastAsia="宋体" w:cs="宋体"/>
                <w:color w:val="000000"/>
                <w:sz w:val="24"/>
                <w:szCs w:val="24"/>
              </w:rPr>
              <w:t>已完成，主会场市级有关部门518人参会，各县区设立分会场。</w:t>
            </w:r>
          </w:p>
        </w:tc>
      </w:tr>
      <w:tr w14:paraId="32195B64">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04355EE7">
            <w:pPr>
              <w:keepNext w:val="0"/>
              <w:keepLines w:val="0"/>
              <w:suppressLineNumbers w:val="0"/>
              <w:spacing w:before="0" w:beforeAutospacing="0" w:after="0" w:afterAutospacing="0" w:line="300" w:lineRule="exact"/>
              <w:ind w:left="0" w:right="0"/>
              <w:jc w:val="center"/>
              <w:rPr>
                <w:rFonts w:hint="eastAsia" w:ascii="宋体" w:hAnsi="宋体" w:eastAsia="宋体" w:cs="宋体"/>
                <w:color w:val="000000"/>
                <w:sz w:val="24"/>
                <w:szCs w:val="24"/>
              </w:rPr>
            </w:pPr>
          </w:p>
        </w:tc>
        <w:tc>
          <w:tcPr>
            <w:tcW w:w="66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B70656">
            <w:pPr>
              <w:keepNext w:val="0"/>
              <w:keepLines w:val="0"/>
              <w:suppressLineNumbers w:val="0"/>
              <w:spacing w:before="0" w:beforeAutospacing="0" w:after="0" w:afterAutospacing="0" w:line="300" w:lineRule="exact"/>
              <w:ind w:left="0" w:right="0"/>
              <w:jc w:val="center"/>
              <w:rPr>
                <w:rFonts w:hint="eastAsia" w:ascii="宋体" w:hAnsi="宋体" w:eastAsia="宋体" w:cs="宋体"/>
                <w:color w:val="000000"/>
                <w:sz w:val="24"/>
                <w:szCs w:val="24"/>
              </w:rPr>
            </w:pPr>
          </w:p>
        </w:tc>
        <w:tc>
          <w:tcPr>
            <w:tcW w:w="1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57C68D">
            <w:pPr>
              <w:keepNext w:val="0"/>
              <w:keepLines w:val="0"/>
              <w:widowControl/>
              <w:suppressLineNumbers w:val="0"/>
              <w:spacing w:before="0" w:beforeAutospacing="0" w:after="0" w:afterAutospacing="0" w:line="300" w:lineRule="exact"/>
              <w:ind w:left="0" w:right="0"/>
              <w:jc w:val="center"/>
              <w:textAlignment w:val="center"/>
              <w:rPr>
                <w:rFonts w:hint="eastAsia" w:ascii="宋体" w:hAnsi="宋体" w:eastAsia="宋体" w:cs="宋体"/>
                <w:color w:val="000000"/>
                <w:sz w:val="24"/>
                <w:szCs w:val="24"/>
              </w:rPr>
            </w:pPr>
            <w:r>
              <w:rPr>
                <w:rFonts w:hint="default" w:ascii="宋体" w:hAnsi="宋体" w:eastAsia="宋体" w:cs="宋体"/>
                <w:color w:val="000000"/>
                <w:kern w:val="0"/>
                <w:sz w:val="24"/>
                <w:szCs w:val="24"/>
                <w:lang w:bidi="ar"/>
              </w:rPr>
              <w:t>质量指标</w:t>
            </w:r>
          </w:p>
        </w:tc>
        <w:tc>
          <w:tcPr>
            <w:tcW w:w="1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B22C49">
            <w:pPr>
              <w:keepNext w:val="0"/>
              <w:keepLines w:val="0"/>
              <w:suppressLineNumbers w:val="0"/>
              <w:spacing w:before="0" w:beforeAutospacing="0" w:after="0" w:afterAutospacing="0" w:line="300" w:lineRule="exact"/>
              <w:ind w:left="0" w:right="0"/>
              <w:rPr>
                <w:rFonts w:hint="eastAsia" w:ascii="宋体" w:hAnsi="宋体" w:eastAsia="宋体" w:cs="宋体"/>
                <w:color w:val="000000"/>
                <w:sz w:val="24"/>
                <w:szCs w:val="24"/>
              </w:rPr>
            </w:pPr>
            <w:r>
              <w:rPr>
                <w:rFonts w:hint="eastAsia" w:ascii="宋体" w:hAnsi="宋体" w:eastAsia="宋体" w:cs="宋体"/>
                <w:color w:val="000000"/>
                <w:sz w:val="24"/>
                <w:szCs w:val="24"/>
              </w:rPr>
              <w:t>指标1：会议质量</w:t>
            </w:r>
          </w:p>
        </w:tc>
        <w:tc>
          <w:tcPr>
            <w:tcW w:w="6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DCF876">
            <w:pPr>
              <w:keepNext w:val="0"/>
              <w:keepLines w:val="0"/>
              <w:suppressLineNumbers w:val="0"/>
              <w:spacing w:before="0" w:beforeAutospacing="0" w:after="0" w:afterAutospacing="0" w:line="300" w:lineRule="exact"/>
              <w:ind w:left="0" w:right="0"/>
              <w:jc w:val="center"/>
              <w:rPr>
                <w:rFonts w:hint="eastAsia" w:ascii="宋体" w:hAnsi="宋体" w:eastAsia="宋体" w:cs="宋体"/>
                <w:color w:val="000000"/>
                <w:sz w:val="24"/>
                <w:szCs w:val="24"/>
              </w:rPr>
            </w:pPr>
            <w:r>
              <w:rPr>
                <w:rFonts w:hint="eastAsia" w:ascii="宋体" w:hAnsi="宋体" w:eastAsia="宋体" w:cs="宋体"/>
                <w:color w:val="000000"/>
                <w:sz w:val="24"/>
                <w:szCs w:val="24"/>
              </w:rPr>
              <w:t>定性</w:t>
            </w:r>
          </w:p>
        </w:tc>
        <w:tc>
          <w:tcPr>
            <w:tcW w:w="26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E13D63">
            <w:pPr>
              <w:keepNext w:val="0"/>
              <w:keepLines w:val="0"/>
              <w:suppressLineNumbers w:val="0"/>
              <w:spacing w:before="0" w:beforeAutospacing="0" w:after="0" w:afterAutospacing="0" w:line="300" w:lineRule="exact"/>
              <w:ind w:left="0" w:right="0"/>
              <w:jc w:val="center"/>
              <w:rPr>
                <w:rFonts w:hint="eastAsia" w:ascii="宋体" w:hAnsi="宋体" w:eastAsia="宋体" w:cs="宋体"/>
                <w:color w:val="000000"/>
                <w:sz w:val="24"/>
                <w:szCs w:val="24"/>
              </w:rPr>
            </w:pPr>
            <w:r>
              <w:rPr>
                <w:rFonts w:hint="eastAsia" w:ascii="宋体" w:hAnsi="宋体" w:eastAsia="宋体" w:cs="宋体"/>
                <w:color w:val="000000"/>
                <w:sz w:val="24"/>
                <w:szCs w:val="24"/>
              </w:rPr>
              <w:t>成功组织召开。</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2BEF0E">
            <w:pPr>
              <w:keepNext w:val="0"/>
              <w:keepLines w:val="0"/>
              <w:suppressLineNumbers w:val="0"/>
              <w:spacing w:before="0" w:beforeAutospacing="0" w:after="0" w:afterAutospacing="0" w:line="300" w:lineRule="exact"/>
              <w:ind w:left="0" w:right="0"/>
              <w:jc w:val="center"/>
              <w:rPr>
                <w:rFonts w:hint="eastAsia" w:ascii="宋体" w:hAnsi="宋体" w:eastAsia="宋体" w:cs="宋体"/>
                <w:color w:val="000000"/>
                <w:sz w:val="24"/>
                <w:szCs w:val="24"/>
              </w:rPr>
            </w:pPr>
            <w:r>
              <w:rPr>
                <w:rFonts w:hint="eastAsia" w:ascii="宋体" w:hAnsi="宋体" w:eastAsia="宋体" w:cs="宋体"/>
                <w:color w:val="000000"/>
                <w:sz w:val="24"/>
                <w:szCs w:val="24"/>
              </w:rPr>
              <w:t>/</w:t>
            </w:r>
          </w:p>
        </w:tc>
        <w:tc>
          <w:tcPr>
            <w:tcW w:w="11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981B09">
            <w:pPr>
              <w:keepNext w:val="0"/>
              <w:keepLines w:val="0"/>
              <w:suppressLineNumbers w:val="0"/>
              <w:spacing w:before="0" w:beforeAutospacing="0" w:after="0" w:afterAutospacing="0" w:line="300" w:lineRule="exact"/>
              <w:ind w:left="0" w:right="0"/>
              <w:jc w:val="center"/>
              <w:rPr>
                <w:rFonts w:hint="eastAsia" w:ascii="宋体" w:hAnsi="宋体" w:eastAsia="宋体" w:cs="宋体"/>
                <w:color w:val="000000"/>
                <w:sz w:val="24"/>
                <w:szCs w:val="24"/>
              </w:rPr>
            </w:pPr>
            <w:r>
              <w:rPr>
                <w:rFonts w:hint="eastAsia" w:ascii="宋体" w:hAnsi="宋体" w:eastAsia="宋体" w:cs="宋体"/>
                <w:color w:val="000000"/>
                <w:sz w:val="24"/>
                <w:szCs w:val="24"/>
              </w:rPr>
              <w:t>10</w:t>
            </w:r>
          </w:p>
        </w:tc>
        <w:tc>
          <w:tcPr>
            <w:tcW w:w="19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F5AAC3">
            <w:pPr>
              <w:keepNext w:val="0"/>
              <w:keepLines w:val="0"/>
              <w:suppressLineNumbers w:val="0"/>
              <w:spacing w:before="0" w:beforeAutospacing="0" w:after="0" w:afterAutospacing="0" w:line="300" w:lineRule="exact"/>
              <w:ind w:left="0" w:right="0"/>
              <w:jc w:val="left"/>
              <w:rPr>
                <w:rFonts w:hint="eastAsia" w:ascii="宋体" w:hAnsi="宋体" w:eastAsia="宋体" w:cs="宋体"/>
                <w:color w:val="000000"/>
                <w:sz w:val="24"/>
                <w:szCs w:val="24"/>
              </w:rPr>
            </w:pPr>
            <w:r>
              <w:rPr>
                <w:rFonts w:hint="eastAsia" w:ascii="宋体" w:hAnsi="宋体" w:eastAsia="宋体" w:cs="宋体"/>
                <w:color w:val="000000"/>
                <w:sz w:val="24"/>
                <w:szCs w:val="24"/>
              </w:rPr>
              <w:t>已完成，已于2023年5月23日举办。</w:t>
            </w:r>
          </w:p>
        </w:tc>
      </w:tr>
      <w:tr w14:paraId="0DF66734">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399AB978">
            <w:pPr>
              <w:keepNext w:val="0"/>
              <w:keepLines w:val="0"/>
              <w:suppressLineNumbers w:val="0"/>
              <w:spacing w:before="0" w:beforeAutospacing="0" w:after="0" w:afterAutospacing="0" w:line="300" w:lineRule="exact"/>
              <w:ind w:left="0" w:right="0"/>
              <w:jc w:val="center"/>
              <w:rPr>
                <w:rFonts w:hint="eastAsia" w:ascii="宋体" w:hAnsi="宋体" w:eastAsia="宋体" w:cs="宋体"/>
                <w:color w:val="000000"/>
                <w:sz w:val="24"/>
                <w:szCs w:val="24"/>
              </w:rPr>
            </w:pPr>
          </w:p>
        </w:tc>
        <w:tc>
          <w:tcPr>
            <w:tcW w:w="66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5EA797">
            <w:pPr>
              <w:keepNext w:val="0"/>
              <w:keepLines w:val="0"/>
              <w:suppressLineNumbers w:val="0"/>
              <w:spacing w:before="0" w:beforeAutospacing="0" w:after="0" w:afterAutospacing="0" w:line="300" w:lineRule="exact"/>
              <w:ind w:left="0" w:right="0"/>
              <w:jc w:val="center"/>
              <w:rPr>
                <w:rFonts w:hint="eastAsia" w:ascii="宋体" w:hAnsi="宋体" w:eastAsia="宋体" w:cs="宋体"/>
                <w:color w:val="000000"/>
                <w:sz w:val="24"/>
                <w:szCs w:val="24"/>
              </w:rPr>
            </w:pPr>
          </w:p>
        </w:tc>
        <w:tc>
          <w:tcPr>
            <w:tcW w:w="1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098E32">
            <w:pPr>
              <w:keepNext w:val="0"/>
              <w:keepLines w:val="0"/>
              <w:widowControl/>
              <w:suppressLineNumbers w:val="0"/>
              <w:spacing w:before="0" w:beforeAutospacing="0" w:after="0" w:afterAutospacing="0" w:line="300" w:lineRule="exact"/>
              <w:ind w:left="0" w:right="0"/>
              <w:jc w:val="center"/>
              <w:textAlignment w:val="center"/>
              <w:rPr>
                <w:rFonts w:hint="eastAsia" w:ascii="宋体" w:hAnsi="宋体" w:eastAsia="宋体" w:cs="宋体"/>
                <w:color w:val="000000"/>
                <w:sz w:val="24"/>
                <w:szCs w:val="24"/>
              </w:rPr>
            </w:pPr>
            <w:r>
              <w:rPr>
                <w:rFonts w:hint="default" w:ascii="宋体" w:hAnsi="宋体" w:eastAsia="宋体" w:cs="宋体"/>
                <w:color w:val="000000"/>
                <w:kern w:val="0"/>
                <w:sz w:val="24"/>
                <w:szCs w:val="24"/>
                <w:lang w:bidi="ar"/>
              </w:rPr>
              <w:t>时效指标</w:t>
            </w:r>
          </w:p>
        </w:tc>
        <w:tc>
          <w:tcPr>
            <w:tcW w:w="1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5AF37E">
            <w:pPr>
              <w:keepNext w:val="0"/>
              <w:keepLines w:val="0"/>
              <w:suppressLineNumbers w:val="0"/>
              <w:spacing w:before="0" w:beforeAutospacing="0" w:after="0" w:afterAutospacing="0" w:line="300" w:lineRule="exact"/>
              <w:ind w:left="0" w:right="0"/>
              <w:rPr>
                <w:rFonts w:hint="eastAsia" w:ascii="宋体" w:hAnsi="宋体" w:eastAsia="宋体" w:cs="宋体"/>
                <w:color w:val="000000"/>
                <w:sz w:val="24"/>
                <w:szCs w:val="24"/>
              </w:rPr>
            </w:pPr>
            <w:r>
              <w:rPr>
                <w:rFonts w:hint="eastAsia" w:ascii="宋体" w:hAnsi="宋体" w:eastAsia="宋体" w:cs="宋体"/>
                <w:color w:val="000000"/>
                <w:sz w:val="24"/>
                <w:szCs w:val="24"/>
              </w:rPr>
              <w:t>指标1：完成时间</w:t>
            </w:r>
          </w:p>
        </w:tc>
        <w:tc>
          <w:tcPr>
            <w:tcW w:w="6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E39AC8">
            <w:pPr>
              <w:keepNext w:val="0"/>
              <w:keepLines w:val="0"/>
              <w:suppressLineNumbers w:val="0"/>
              <w:spacing w:before="0" w:beforeAutospacing="0" w:after="0" w:afterAutospacing="0" w:line="300" w:lineRule="exact"/>
              <w:ind w:left="0" w:right="0"/>
              <w:jc w:val="center"/>
              <w:rPr>
                <w:rFonts w:hint="eastAsia" w:ascii="宋体" w:hAnsi="宋体" w:eastAsia="宋体" w:cs="宋体"/>
                <w:color w:val="000000"/>
                <w:sz w:val="24"/>
                <w:szCs w:val="24"/>
              </w:rPr>
            </w:pPr>
            <w:r>
              <w:rPr>
                <w:rFonts w:hint="eastAsia" w:ascii="宋体" w:hAnsi="宋体" w:eastAsia="宋体" w:cs="宋体"/>
                <w:color w:val="000000"/>
                <w:sz w:val="24"/>
                <w:szCs w:val="24"/>
              </w:rPr>
              <w:t>定量</w:t>
            </w:r>
          </w:p>
        </w:tc>
        <w:tc>
          <w:tcPr>
            <w:tcW w:w="26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8EC398">
            <w:pPr>
              <w:keepNext w:val="0"/>
              <w:keepLines w:val="0"/>
              <w:suppressLineNumbers w:val="0"/>
              <w:spacing w:before="0" w:beforeAutospacing="0" w:after="0" w:afterAutospacing="0" w:line="300" w:lineRule="exact"/>
              <w:ind w:left="0" w:right="0"/>
              <w:jc w:val="center"/>
              <w:rPr>
                <w:rFonts w:hint="eastAsia" w:ascii="宋体" w:hAnsi="宋体" w:eastAsia="宋体" w:cs="宋体"/>
                <w:color w:val="000000"/>
                <w:sz w:val="24"/>
                <w:szCs w:val="24"/>
              </w:rPr>
            </w:pPr>
            <w:r>
              <w:rPr>
                <w:rFonts w:hint="eastAsia" w:ascii="宋体" w:hAnsi="宋体" w:eastAsia="宋体" w:cs="宋体"/>
                <w:color w:val="000000"/>
                <w:sz w:val="24"/>
                <w:szCs w:val="24"/>
              </w:rPr>
              <w:t>≤5</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94BECC">
            <w:pPr>
              <w:keepNext w:val="0"/>
              <w:keepLines w:val="0"/>
              <w:suppressLineNumbers w:val="0"/>
              <w:spacing w:before="0" w:beforeAutospacing="0" w:after="0" w:afterAutospacing="0" w:line="300" w:lineRule="exact"/>
              <w:ind w:left="0" w:right="0"/>
              <w:jc w:val="center"/>
              <w:rPr>
                <w:rFonts w:hint="eastAsia" w:ascii="宋体" w:hAnsi="宋体" w:eastAsia="宋体" w:cs="宋体"/>
                <w:color w:val="000000"/>
                <w:sz w:val="24"/>
                <w:szCs w:val="24"/>
              </w:rPr>
            </w:pPr>
            <w:r>
              <w:rPr>
                <w:rFonts w:hint="eastAsia" w:ascii="宋体" w:hAnsi="宋体" w:eastAsia="宋体" w:cs="宋体"/>
                <w:color w:val="000000"/>
                <w:sz w:val="24"/>
                <w:szCs w:val="24"/>
              </w:rPr>
              <w:t>月</w:t>
            </w:r>
          </w:p>
        </w:tc>
        <w:tc>
          <w:tcPr>
            <w:tcW w:w="11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75A8B6">
            <w:pPr>
              <w:keepNext w:val="0"/>
              <w:keepLines w:val="0"/>
              <w:suppressLineNumbers w:val="0"/>
              <w:spacing w:before="0" w:beforeAutospacing="0" w:after="0" w:afterAutospacing="0" w:line="300" w:lineRule="exact"/>
              <w:ind w:left="0" w:right="0"/>
              <w:jc w:val="center"/>
              <w:rPr>
                <w:rFonts w:hint="eastAsia" w:ascii="宋体" w:hAnsi="宋体" w:eastAsia="宋体" w:cs="宋体"/>
                <w:color w:val="000000"/>
                <w:sz w:val="24"/>
                <w:szCs w:val="24"/>
              </w:rPr>
            </w:pPr>
            <w:r>
              <w:rPr>
                <w:rFonts w:hint="eastAsia" w:ascii="宋体" w:hAnsi="宋体" w:eastAsia="宋体" w:cs="宋体"/>
                <w:color w:val="000000"/>
                <w:sz w:val="24"/>
                <w:szCs w:val="24"/>
              </w:rPr>
              <w:t>10</w:t>
            </w:r>
          </w:p>
        </w:tc>
        <w:tc>
          <w:tcPr>
            <w:tcW w:w="19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3C055A">
            <w:pPr>
              <w:keepNext w:val="0"/>
              <w:keepLines w:val="0"/>
              <w:suppressLineNumbers w:val="0"/>
              <w:spacing w:before="0" w:beforeAutospacing="0" w:after="0" w:afterAutospacing="0" w:line="300" w:lineRule="exact"/>
              <w:ind w:left="0" w:right="0"/>
              <w:jc w:val="left"/>
              <w:rPr>
                <w:rFonts w:hint="eastAsia" w:ascii="宋体" w:hAnsi="宋体" w:eastAsia="宋体" w:cs="宋体"/>
                <w:color w:val="000000"/>
                <w:sz w:val="24"/>
                <w:szCs w:val="24"/>
              </w:rPr>
            </w:pPr>
            <w:r>
              <w:rPr>
                <w:rFonts w:hint="eastAsia" w:ascii="宋体" w:hAnsi="宋体" w:eastAsia="宋体" w:cs="宋体"/>
                <w:color w:val="000000"/>
                <w:sz w:val="24"/>
                <w:szCs w:val="24"/>
              </w:rPr>
              <w:t>已完成，已于2023年5月23日举办。</w:t>
            </w:r>
          </w:p>
        </w:tc>
      </w:tr>
      <w:tr w14:paraId="64FA0587">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6E905735">
            <w:pPr>
              <w:keepNext w:val="0"/>
              <w:keepLines w:val="0"/>
              <w:suppressLineNumbers w:val="0"/>
              <w:spacing w:before="0" w:beforeAutospacing="0" w:after="0" w:afterAutospacing="0" w:line="300" w:lineRule="exact"/>
              <w:ind w:left="0" w:right="0"/>
              <w:jc w:val="center"/>
              <w:rPr>
                <w:rFonts w:hint="eastAsia" w:ascii="宋体" w:hAnsi="宋体" w:eastAsia="宋体" w:cs="宋体"/>
                <w:color w:val="000000"/>
                <w:sz w:val="24"/>
                <w:szCs w:val="24"/>
              </w:rPr>
            </w:pPr>
          </w:p>
        </w:tc>
        <w:tc>
          <w:tcPr>
            <w:tcW w:w="663" w:type="dxa"/>
            <w:vMerge w:val="restart"/>
            <w:tcBorders>
              <w:top w:val="single" w:color="000000" w:sz="4" w:space="0"/>
              <w:left w:val="single" w:color="000000" w:sz="4" w:space="0"/>
              <w:right w:val="single" w:color="000000" w:sz="4" w:space="0"/>
            </w:tcBorders>
            <w:shd w:val="clear" w:color="auto" w:fill="auto"/>
            <w:vAlign w:val="center"/>
          </w:tcPr>
          <w:p w14:paraId="201657C9">
            <w:pPr>
              <w:keepNext w:val="0"/>
              <w:keepLines w:val="0"/>
              <w:widowControl/>
              <w:suppressLineNumbers w:val="0"/>
              <w:spacing w:before="0" w:beforeAutospacing="0" w:after="0" w:afterAutospacing="0" w:line="300" w:lineRule="exact"/>
              <w:ind w:left="0" w:right="0"/>
              <w:jc w:val="center"/>
              <w:textAlignment w:val="center"/>
              <w:rPr>
                <w:rFonts w:hint="eastAsia" w:ascii="宋体" w:hAnsi="宋体" w:eastAsia="宋体" w:cs="宋体"/>
                <w:color w:val="000000"/>
                <w:sz w:val="24"/>
                <w:szCs w:val="24"/>
              </w:rPr>
            </w:pPr>
            <w:r>
              <w:rPr>
                <w:rFonts w:hint="default" w:ascii="宋体" w:hAnsi="宋体" w:eastAsia="宋体" w:cs="宋体"/>
                <w:color w:val="000000"/>
                <w:kern w:val="0"/>
                <w:sz w:val="24"/>
                <w:szCs w:val="24"/>
                <w:lang w:bidi="ar"/>
              </w:rPr>
              <w:t>效益指标</w:t>
            </w:r>
          </w:p>
        </w:tc>
        <w:tc>
          <w:tcPr>
            <w:tcW w:w="1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0F557D">
            <w:pPr>
              <w:keepNext w:val="0"/>
              <w:keepLines w:val="0"/>
              <w:widowControl/>
              <w:suppressLineNumbers w:val="0"/>
              <w:spacing w:before="0" w:beforeAutospacing="0" w:after="0" w:afterAutospacing="0" w:line="300" w:lineRule="exact"/>
              <w:ind w:left="0" w:right="0"/>
              <w:jc w:val="center"/>
              <w:textAlignment w:val="center"/>
              <w:rPr>
                <w:rFonts w:hint="eastAsia" w:ascii="宋体" w:hAnsi="宋体" w:eastAsia="宋体" w:cs="宋体"/>
                <w:color w:val="000000"/>
                <w:kern w:val="0"/>
                <w:sz w:val="24"/>
                <w:szCs w:val="24"/>
                <w:lang w:bidi="ar"/>
              </w:rPr>
            </w:pPr>
            <w:r>
              <w:rPr>
                <w:rFonts w:hint="default" w:ascii="宋体" w:hAnsi="宋体" w:eastAsia="宋体" w:cs="宋体"/>
                <w:color w:val="000000"/>
                <w:kern w:val="0"/>
                <w:sz w:val="24"/>
                <w:szCs w:val="24"/>
                <w:lang w:bidi="ar"/>
              </w:rPr>
              <w:t>经济效益</w:t>
            </w:r>
          </w:p>
          <w:p w14:paraId="1FCE3F52">
            <w:pPr>
              <w:keepNext w:val="0"/>
              <w:keepLines w:val="0"/>
              <w:widowControl/>
              <w:suppressLineNumbers w:val="0"/>
              <w:spacing w:before="0" w:beforeAutospacing="0" w:after="0" w:afterAutospacing="0" w:line="300" w:lineRule="exact"/>
              <w:ind w:left="0" w:right="0"/>
              <w:jc w:val="center"/>
              <w:textAlignment w:val="center"/>
              <w:rPr>
                <w:rFonts w:hint="eastAsia" w:ascii="宋体" w:hAnsi="宋体" w:eastAsia="宋体" w:cs="宋体"/>
                <w:color w:val="000000"/>
                <w:sz w:val="24"/>
                <w:szCs w:val="24"/>
              </w:rPr>
            </w:pPr>
            <w:r>
              <w:rPr>
                <w:rFonts w:hint="default" w:ascii="宋体" w:hAnsi="宋体" w:eastAsia="宋体" w:cs="宋体"/>
                <w:color w:val="000000"/>
                <w:kern w:val="0"/>
                <w:sz w:val="24"/>
                <w:szCs w:val="24"/>
                <w:lang w:bidi="ar"/>
              </w:rPr>
              <w:t>指标</w:t>
            </w:r>
          </w:p>
        </w:tc>
        <w:tc>
          <w:tcPr>
            <w:tcW w:w="1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98AC71">
            <w:pPr>
              <w:keepNext w:val="0"/>
              <w:keepLines w:val="0"/>
              <w:suppressLineNumbers w:val="0"/>
              <w:spacing w:before="0" w:beforeAutospacing="0" w:after="0" w:afterAutospacing="0" w:line="300" w:lineRule="exact"/>
              <w:ind w:left="0" w:right="0"/>
              <w:rPr>
                <w:rFonts w:hint="eastAsia" w:ascii="宋体" w:hAnsi="宋体" w:eastAsia="宋体" w:cs="宋体"/>
                <w:color w:val="000000"/>
                <w:sz w:val="24"/>
                <w:szCs w:val="24"/>
              </w:rPr>
            </w:pPr>
            <w:r>
              <w:rPr>
                <w:rFonts w:hint="eastAsia" w:ascii="宋体" w:hAnsi="宋体" w:eastAsia="宋体" w:cs="宋体"/>
                <w:color w:val="000000"/>
                <w:sz w:val="24"/>
                <w:szCs w:val="24"/>
              </w:rPr>
              <w:t>指标1：统一思想凝聚共识</w:t>
            </w:r>
          </w:p>
        </w:tc>
        <w:tc>
          <w:tcPr>
            <w:tcW w:w="6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D49373">
            <w:pPr>
              <w:keepNext w:val="0"/>
              <w:keepLines w:val="0"/>
              <w:suppressLineNumbers w:val="0"/>
              <w:spacing w:before="0" w:beforeAutospacing="0" w:after="0" w:afterAutospacing="0" w:line="300" w:lineRule="exact"/>
              <w:ind w:left="0" w:right="0"/>
              <w:jc w:val="center"/>
              <w:rPr>
                <w:rFonts w:hint="eastAsia" w:ascii="宋体" w:hAnsi="宋体" w:eastAsia="宋体" w:cs="宋体"/>
                <w:color w:val="000000"/>
                <w:sz w:val="24"/>
                <w:szCs w:val="24"/>
              </w:rPr>
            </w:pPr>
            <w:r>
              <w:rPr>
                <w:rFonts w:hint="eastAsia" w:ascii="宋体" w:hAnsi="宋体" w:eastAsia="宋体" w:cs="宋体"/>
                <w:color w:val="000000"/>
                <w:sz w:val="24"/>
                <w:szCs w:val="24"/>
              </w:rPr>
              <w:t>定性</w:t>
            </w:r>
          </w:p>
        </w:tc>
        <w:tc>
          <w:tcPr>
            <w:tcW w:w="26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F23AF2">
            <w:pPr>
              <w:keepNext w:val="0"/>
              <w:keepLines w:val="0"/>
              <w:suppressLineNumbers w:val="0"/>
              <w:spacing w:before="0" w:beforeAutospacing="0" w:after="0" w:afterAutospacing="0" w:line="300" w:lineRule="exact"/>
              <w:ind w:left="0" w:right="0"/>
              <w:jc w:val="left"/>
              <w:rPr>
                <w:rFonts w:hint="eastAsia" w:ascii="宋体" w:hAnsi="宋体" w:eastAsia="宋体" w:cs="宋体"/>
                <w:color w:val="000000"/>
                <w:sz w:val="24"/>
                <w:szCs w:val="24"/>
              </w:rPr>
            </w:pPr>
            <w:r>
              <w:rPr>
                <w:rFonts w:hint="eastAsia" w:ascii="宋体" w:hAnsi="宋体" w:eastAsia="宋体" w:cs="宋体"/>
                <w:color w:val="000000"/>
                <w:sz w:val="24"/>
                <w:szCs w:val="24"/>
              </w:rPr>
              <w:t>通过讲座进一步统一全市领导干部思想，凝聚发展现代物流共识，增强开展现代物流工作能力和水平。</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0DE243">
            <w:pPr>
              <w:keepNext w:val="0"/>
              <w:keepLines w:val="0"/>
              <w:suppressLineNumbers w:val="0"/>
              <w:spacing w:before="0" w:beforeAutospacing="0" w:after="0" w:afterAutospacing="0" w:line="300" w:lineRule="exact"/>
              <w:ind w:left="0" w:right="0"/>
              <w:jc w:val="center"/>
              <w:rPr>
                <w:rFonts w:hint="eastAsia" w:ascii="宋体" w:hAnsi="宋体" w:eastAsia="宋体" w:cs="宋体"/>
                <w:color w:val="000000"/>
                <w:sz w:val="24"/>
                <w:szCs w:val="24"/>
              </w:rPr>
            </w:pPr>
            <w:r>
              <w:rPr>
                <w:rFonts w:hint="eastAsia" w:ascii="宋体" w:hAnsi="宋体" w:eastAsia="宋体" w:cs="宋体"/>
                <w:color w:val="000000"/>
                <w:sz w:val="24"/>
                <w:szCs w:val="24"/>
              </w:rPr>
              <w:t>/</w:t>
            </w:r>
          </w:p>
        </w:tc>
        <w:tc>
          <w:tcPr>
            <w:tcW w:w="11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8CE08C">
            <w:pPr>
              <w:keepNext w:val="0"/>
              <w:keepLines w:val="0"/>
              <w:suppressLineNumbers w:val="0"/>
              <w:spacing w:before="0" w:beforeAutospacing="0" w:after="0" w:afterAutospacing="0" w:line="300" w:lineRule="exact"/>
              <w:ind w:left="0" w:right="0"/>
              <w:jc w:val="center"/>
              <w:rPr>
                <w:rFonts w:hint="eastAsia" w:ascii="宋体" w:hAnsi="宋体" w:eastAsia="宋体" w:cs="宋体"/>
                <w:color w:val="000000"/>
                <w:sz w:val="24"/>
                <w:szCs w:val="24"/>
              </w:rPr>
            </w:pPr>
            <w:r>
              <w:rPr>
                <w:rFonts w:hint="eastAsia" w:ascii="宋体" w:hAnsi="宋体" w:eastAsia="宋体" w:cs="宋体"/>
                <w:color w:val="000000"/>
                <w:sz w:val="24"/>
                <w:szCs w:val="24"/>
              </w:rPr>
              <w:t>10</w:t>
            </w:r>
          </w:p>
        </w:tc>
        <w:tc>
          <w:tcPr>
            <w:tcW w:w="19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3CD6E8">
            <w:pPr>
              <w:keepNext w:val="0"/>
              <w:keepLines w:val="0"/>
              <w:suppressLineNumbers w:val="0"/>
              <w:spacing w:before="0" w:beforeAutospacing="0" w:after="0" w:afterAutospacing="0" w:line="300" w:lineRule="exact"/>
              <w:ind w:left="0" w:right="0"/>
              <w:jc w:val="left"/>
              <w:rPr>
                <w:rFonts w:hint="eastAsia" w:ascii="宋体" w:hAnsi="宋体" w:eastAsia="宋体" w:cs="宋体"/>
                <w:color w:val="000000"/>
                <w:sz w:val="24"/>
                <w:szCs w:val="24"/>
              </w:rPr>
            </w:pPr>
            <w:r>
              <w:rPr>
                <w:rFonts w:hint="eastAsia" w:ascii="宋体" w:hAnsi="宋体" w:eastAsia="宋体" w:cs="宋体"/>
                <w:color w:val="000000"/>
                <w:sz w:val="24"/>
                <w:szCs w:val="24"/>
              </w:rPr>
              <w:t>已完成，通过此次讲座，进一步统一了全市领导干部思想，凝聚了发展现代物流共识，增强了开展现代物流工作能力和水平。</w:t>
            </w:r>
          </w:p>
        </w:tc>
      </w:tr>
      <w:tr w14:paraId="168D23E5">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2B8662D5">
            <w:pPr>
              <w:keepNext w:val="0"/>
              <w:keepLines w:val="0"/>
              <w:suppressLineNumbers w:val="0"/>
              <w:spacing w:before="0" w:beforeAutospacing="0" w:after="0" w:afterAutospacing="0" w:line="300" w:lineRule="exact"/>
              <w:ind w:left="0" w:right="0"/>
              <w:jc w:val="center"/>
              <w:rPr>
                <w:rFonts w:hint="eastAsia" w:ascii="宋体" w:hAnsi="宋体" w:eastAsia="宋体" w:cs="宋体"/>
                <w:color w:val="000000"/>
                <w:sz w:val="24"/>
                <w:szCs w:val="24"/>
              </w:rPr>
            </w:pPr>
          </w:p>
        </w:tc>
        <w:tc>
          <w:tcPr>
            <w:tcW w:w="663" w:type="dxa"/>
            <w:vMerge w:val="continue"/>
            <w:tcBorders>
              <w:left w:val="single" w:color="000000" w:sz="4" w:space="0"/>
              <w:bottom w:val="single" w:color="000000" w:sz="4" w:space="0"/>
              <w:right w:val="single" w:color="000000" w:sz="4" w:space="0"/>
            </w:tcBorders>
            <w:shd w:val="clear" w:color="auto" w:fill="auto"/>
            <w:vAlign w:val="center"/>
          </w:tcPr>
          <w:p w14:paraId="21525456">
            <w:pPr>
              <w:keepNext w:val="0"/>
              <w:keepLines w:val="0"/>
              <w:suppressLineNumbers w:val="0"/>
              <w:spacing w:before="0" w:beforeAutospacing="0" w:after="0" w:afterAutospacing="0" w:line="300" w:lineRule="exact"/>
              <w:ind w:left="0" w:right="0"/>
              <w:jc w:val="center"/>
              <w:rPr>
                <w:rFonts w:hint="eastAsia" w:ascii="宋体" w:hAnsi="宋体" w:eastAsia="宋体" w:cs="宋体"/>
                <w:color w:val="000000"/>
                <w:sz w:val="24"/>
                <w:szCs w:val="24"/>
              </w:rPr>
            </w:pPr>
          </w:p>
        </w:tc>
        <w:tc>
          <w:tcPr>
            <w:tcW w:w="11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BABA62">
            <w:pPr>
              <w:keepNext w:val="0"/>
              <w:keepLines w:val="0"/>
              <w:widowControl/>
              <w:suppressLineNumbers w:val="0"/>
              <w:spacing w:before="0" w:beforeAutospacing="0" w:after="0" w:afterAutospacing="0" w:line="300" w:lineRule="exact"/>
              <w:ind w:left="0" w:right="0"/>
              <w:jc w:val="center"/>
              <w:textAlignment w:val="center"/>
              <w:rPr>
                <w:rFonts w:hint="eastAsia" w:ascii="宋体" w:hAnsi="宋体" w:eastAsia="宋体" w:cs="宋体"/>
                <w:color w:val="000000"/>
                <w:kern w:val="0"/>
                <w:sz w:val="24"/>
                <w:szCs w:val="24"/>
                <w:lang w:bidi="ar"/>
              </w:rPr>
            </w:pPr>
            <w:r>
              <w:rPr>
                <w:rFonts w:hint="default" w:ascii="宋体" w:hAnsi="宋体" w:eastAsia="宋体" w:cs="宋体"/>
                <w:color w:val="000000"/>
                <w:kern w:val="0"/>
                <w:sz w:val="24"/>
                <w:szCs w:val="24"/>
                <w:lang w:bidi="ar"/>
              </w:rPr>
              <w:t>社会效益</w:t>
            </w:r>
          </w:p>
          <w:p w14:paraId="10A6F15A">
            <w:pPr>
              <w:keepNext w:val="0"/>
              <w:keepLines w:val="0"/>
              <w:widowControl/>
              <w:suppressLineNumbers w:val="0"/>
              <w:spacing w:before="0" w:beforeAutospacing="0" w:after="0" w:afterAutospacing="0" w:line="300" w:lineRule="exact"/>
              <w:ind w:left="0" w:right="0"/>
              <w:jc w:val="center"/>
              <w:textAlignment w:val="center"/>
              <w:rPr>
                <w:rFonts w:hint="eastAsia" w:ascii="宋体" w:hAnsi="宋体" w:eastAsia="宋体" w:cs="宋体"/>
                <w:color w:val="000000"/>
                <w:sz w:val="24"/>
                <w:szCs w:val="24"/>
              </w:rPr>
            </w:pPr>
            <w:r>
              <w:rPr>
                <w:rFonts w:hint="default" w:ascii="宋体" w:hAnsi="宋体" w:eastAsia="宋体" w:cs="宋体"/>
                <w:color w:val="000000"/>
                <w:kern w:val="0"/>
                <w:sz w:val="24"/>
                <w:szCs w:val="24"/>
                <w:lang w:bidi="ar"/>
              </w:rPr>
              <w:t>指标</w:t>
            </w:r>
          </w:p>
        </w:tc>
        <w:tc>
          <w:tcPr>
            <w:tcW w:w="1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D8B19A">
            <w:pPr>
              <w:keepNext w:val="0"/>
              <w:keepLines w:val="0"/>
              <w:suppressLineNumbers w:val="0"/>
              <w:spacing w:before="0" w:beforeAutospacing="0" w:after="0" w:afterAutospacing="0" w:line="300" w:lineRule="exact"/>
              <w:ind w:left="0" w:right="0"/>
              <w:rPr>
                <w:rFonts w:hint="eastAsia" w:ascii="宋体" w:hAnsi="宋体" w:eastAsia="宋体" w:cs="宋体"/>
                <w:color w:val="000000"/>
                <w:sz w:val="24"/>
                <w:szCs w:val="24"/>
              </w:rPr>
            </w:pPr>
            <w:r>
              <w:rPr>
                <w:rFonts w:hint="eastAsia" w:ascii="宋体" w:hAnsi="宋体" w:eastAsia="宋体" w:cs="宋体"/>
                <w:color w:val="000000"/>
                <w:sz w:val="24"/>
                <w:szCs w:val="24"/>
              </w:rPr>
              <w:t>指标1：促进广元现代物流高质量发展</w:t>
            </w:r>
          </w:p>
        </w:tc>
        <w:tc>
          <w:tcPr>
            <w:tcW w:w="6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DCAB89">
            <w:pPr>
              <w:keepNext w:val="0"/>
              <w:keepLines w:val="0"/>
              <w:suppressLineNumbers w:val="0"/>
              <w:spacing w:before="0" w:beforeAutospacing="0" w:after="0" w:afterAutospacing="0" w:line="300" w:lineRule="exact"/>
              <w:ind w:left="0" w:right="0"/>
              <w:jc w:val="center"/>
              <w:rPr>
                <w:rFonts w:hint="eastAsia" w:ascii="宋体" w:hAnsi="宋体" w:eastAsia="宋体" w:cs="宋体"/>
                <w:color w:val="000000"/>
                <w:sz w:val="24"/>
                <w:szCs w:val="24"/>
              </w:rPr>
            </w:pPr>
            <w:r>
              <w:rPr>
                <w:rFonts w:hint="eastAsia" w:ascii="宋体" w:hAnsi="宋体" w:eastAsia="宋体" w:cs="宋体"/>
                <w:color w:val="000000"/>
                <w:sz w:val="24"/>
                <w:szCs w:val="24"/>
              </w:rPr>
              <w:t>定性</w:t>
            </w:r>
          </w:p>
        </w:tc>
        <w:tc>
          <w:tcPr>
            <w:tcW w:w="26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49A797">
            <w:pPr>
              <w:keepNext w:val="0"/>
              <w:keepLines w:val="0"/>
              <w:suppressLineNumbers w:val="0"/>
              <w:spacing w:before="0" w:beforeAutospacing="0" w:after="0" w:afterAutospacing="0" w:line="300" w:lineRule="exact"/>
              <w:ind w:left="0" w:right="0"/>
              <w:jc w:val="left"/>
              <w:rPr>
                <w:rFonts w:hint="eastAsia" w:ascii="宋体" w:hAnsi="宋体" w:eastAsia="宋体" w:cs="宋体"/>
                <w:color w:val="000000"/>
                <w:sz w:val="24"/>
                <w:szCs w:val="24"/>
              </w:rPr>
            </w:pPr>
            <w:r>
              <w:rPr>
                <w:rFonts w:hint="eastAsia" w:ascii="宋体" w:hAnsi="宋体" w:eastAsia="宋体" w:cs="宋体"/>
                <w:color w:val="000000"/>
                <w:sz w:val="24"/>
                <w:szCs w:val="24"/>
              </w:rPr>
              <w:t>国家发展改革委综合运输研究所所长汪明作“现代物流发展趋势与广元产业高质量发展”专题讲座，分析了当前现代物流前沿趋势并对我市现代物流高质量发展工作提出建议和指导，为下步工作指明方向。</w:t>
            </w:r>
          </w:p>
        </w:tc>
        <w:tc>
          <w:tcPr>
            <w:tcW w:w="6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963E60">
            <w:pPr>
              <w:keepNext w:val="0"/>
              <w:keepLines w:val="0"/>
              <w:suppressLineNumbers w:val="0"/>
              <w:spacing w:before="0" w:beforeAutospacing="0" w:after="0" w:afterAutospacing="0" w:line="300" w:lineRule="exact"/>
              <w:ind w:left="0" w:right="0"/>
              <w:jc w:val="center"/>
              <w:rPr>
                <w:rFonts w:hint="eastAsia" w:ascii="宋体" w:hAnsi="宋体" w:eastAsia="宋体" w:cs="宋体"/>
                <w:color w:val="000000"/>
                <w:sz w:val="24"/>
                <w:szCs w:val="24"/>
              </w:rPr>
            </w:pPr>
            <w:r>
              <w:rPr>
                <w:rFonts w:hint="eastAsia" w:ascii="宋体" w:hAnsi="宋体" w:eastAsia="宋体" w:cs="宋体"/>
                <w:color w:val="000000"/>
                <w:sz w:val="24"/>
                <w:szCs w:val="24"/>
              </w:rPr>
              <w:t>/</w:t>
            </w:r>
          </w:p>
        </w:tc>
        <w:tc>
          <w:tcPr>
            <w:tcW w:w="11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5E1BDA">
            <w:pPr>
              <w:keepNext w:val="0"/>
              <w:keepLines w:val="0"/>
              <w:suppressLineNumbers w:val="0"/>
              <w:spacing w:before="0" w:beforeAutospacing="0" w:after="0" w:afterAutospacing="0" w:line="300" w:lineRule="exact"/>
              <w:ind w:left="0" w:right="0"/>
              <w:jc w:val="center"/>
              <w:rPr>
                <w:rFonts w:hint="eastAsia" w:ascii="宋体" w:hAnsi="宋体" w:eastAsia="宋体" w:cs="宋体"/>
                <w:color w:val="000000"/>
                <w:sz w:val="24"/>
                <w:szCs w:val="24"/>
              </w:rPr>
            </w:pPr>
            <w:r>
              <w:rPr>
                <w:rFonts w:hint="eastAsia" w:ascii="宋体" w:hAnsi="宋体" w:eastAsia="宋体" w:cs="宋体"/>
                <w:color w:val="000000"/>
                <w:sz w:val="24"/>
                <w:szCs w:val="24"/>
              </w:rPr>
              <w:t>15</w:t>
            </w:r>
          </w:p>
        </w:tc>
        <w:tc>
          <w:tcPr>
            <w:tcW w:w="19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358519">
            <w:pPr>
              <w:keepNext w:val="0"/>
              <w:keepLines w:val="0"/>
              <w:suppressLineNumbers w:val="0"/>
              <w:spacing w:before="0" w:beforeAutospacing="0" w:after="0" w:afterAutospacing="0" w:line="300" w:lineRule="exact"/>
              <w:ind w:left="0" w:right="0"/>
              <w:jc w:val="left"/>
              <w:rPr>
                <w:rFonts w:hint="eastAsia" w:ascii="宋体" w:hAnsi="宋体" w:eastAsia="宋体" w:cs="宋体"/>
                <w:color w:val="000000"/>
                <w:sz w:val="24"/>
                <w:szCs w:val="24"/>
              </w:rPr>
            </w:pPr>
            <w:r>
              <w:rPr>
                <w:rFonts w:hint="eastAsia" w:ascii="宋体" w:hAnsi="宋体" w:eastAsia="宋体" w:cs="宋体"/>
                <w:color w:val="000000"/>
                <w:sz w:val="24"/>
                <w:szCs w:val="24"/>
              </w:rPr>
              <w:t>已完成，邀请到国家发展改革委综合运输研究所所长汪明作“现代物流发展趋势与广元产业高质量发展”专题讲座，分析了当前现代物流前沿趋势并对我市现代物流高质量发展工作提出建议和指导，为我市下步工作指明了方向。</w:t>
            </w:r>
          </w:p>
        </w:tc>
      </w:tr>
      <w:tr w14:paraId="7F5E72E8">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1CCE246F">
            <w:pPr>
              <w:keepNext w:val="0"/>
              <w:keepLines w:val="0"/>
              <w:suppressLineNumbers w:val="0"/>
              <w:spacing w:before="0" w:beforeAutospacing="0" w:after="0" w:afterAutospacing="0" w:line="300" w:lineRule="exact"/>
              <w:ind w:left="0" w:right="0"/>
              <w:jc w:val="center"/>
              <w:rPr>
                <w:rFonts w:hint="eastAsia" w:ascii="宋体" w:hAnsi="宋体" w:eastAsia="宋体" w:cs="宋体"/>
                <w:color w:val="000000"/>
                <w:sz w:val="24"/>
                <w:szCs w:val="24"/>
              </w:rPr>
            </w:pPr>
          </w:p>
        </w:tc>
        <w:tc>
          <w:tcPr>
            <w:tcW w:w="663" w:type="dxa"/>
            <w:tcBorders>
              <w:top w:val="single" w:color="000000" w:sz="4" w:space="0"/>
              <w:left w:val="single" w:color="000000" w:sz="4" w:space="0"/>
              <w:bottom w:val="single" w:color="auto" w:sz="4" w:space="0"/>
              <w:right w:val="single" w:color="000000" w:sz="4" w:space="0"/>
            </w:tcBorders>
            <w:shd w:val="clear" w:color="auto" w:fill="auto"/>
            <w:vAlign w:val="center"/>
          </w:tcPr>
          <w:p w14:paraId="2B3E62D4">
            <w:pPr>
              <w:keepNext w:val="0"/>
              <w:keepLines w:val="0"/>
              <w:widowControl/>
              <w:suppressLineNumbers w:val="0"/>
              <w:spacing w:before="0" w:beforeAutospacing="0" w:after="0" w:afterAutospacing="0" w:line="300" w:lineRule="exact"/>
              <w:ind w:left="0" w:right="0"/>
              <w:jc w:val="center"/>
              <w:textAlignment w:val="center"/>
              <w:rPr>
                <w:rFonts w:hint="eastAsia" w:ascii="宋体" w:hAnsi="宋体" w:eastAsia="宋体" w:cs="宋体"/>
                <w:color w:val="000000"/>
                <w:kern w:val="0"/>
                <w:sz w:val="24"/>
                <w:szCs w:val="24"/>
                <w:lang w:bidi="ar"/>
              </w:rPr>
            </w:pPr>
            <w:r>
              <w:rPr>
                <w:rFonts w:hint="default" w:ascii="宋体" w:hAnsi="宋体" w:eastAsia="宋体" w:cs="宋体"/>
                <w:color w:val="000000"/>
                <w:kern w:val="0"/>
                <w:sz w:val="24"/>
                <w:szCs w:val="24"/>
                <w:lang w:bidi="ar"/>
              </w:rPr>
              <w:t>满意度</w:t>
            </w:r>
          </w:p>
          <w:p w14:paraId="00AD8DF2">
            <w:pPr>
              <w:keepNext w:val="0"/>
              <w:keepLines w:val="0"/>
              <w:widowControl/>
              <w:suppressLineNumbers w:val="0"/>
              <w:spacing w:before="0" w:beforeAutospacing="0" w:after="0" w:afterAutospacing="0" w:line="300" w:lineRule="exact"/>
              <w:ind w:left="0" w:right="0"/>
              <w:jc w:val="center"/>
              <w:textAlignment w:val="center"/>
              <w:rPr>
                <w:rFonts w:hint="eastAsia" w:ascii="宋体" w:hAnsi="宋体" w:eastAsia="宋体" w:cs="宋体"/>
                <w:color w:val="000000"/>
                <w:sz w:val="24"/>
                <w:szCs w:val="24"/>
              </w:rPr>
            </w:pPr>
            <w:r>
              <w:rPr>
                <w:rFonts w:hint="default" w:ascii="宋体" w:hAnsi="宋体" w:eastAsia="宋体" w:cs="宋体"/>
                <w:color w:val="000000"/>
                <w:kern w:val="0"/>
                <w:sz w:val="24"/>
                <w:szCs w:val="24"/>
                <w:lang w:bidi="ar"/>
              </w:rPr>
              <w:t>指标</w:t>
            </w:r>
          </w:p>
        </w:tc>
        <w:tc>
          <w:tcPr>
            <w:tcW w:w="1198" w:type="dxa"/>
            <w:tcBorders>
              <w:top w:val="single" w:color="000000" w:sz="4" w:space="0"/>
              <w:left w:val="single" w:color="000000" w:sz="4" w:space="0"/>
              <w:bottom w:val="single" w:color="auto" w:sz="4" w:space="0"/>
              <w:right w:val="single" w:color="000000" w:sz="4" w:space="0"/>
            </w:tcBorders>
            <w:shd w:val="clear" w:color="auto" w:fill="auto"/>
            <w:vAlign w:val="center"/>
          </w:tcPr>
          <w:p w14:paraId="53916F8D">
            <w:pPr>
              <w:keepNext w:val="0"/>
              <w:keepLines w:val="0"/>
              <w:widowControl/>
              <w:suppressLineNumbers w:val="0"/>
              <w:spacing w:before="0" w:beforeAutospacing="0" w:after="0" w:afterAutospacing="0" w:line="300" w:lineRule="exact"/>
              <w:ind w:left="0" w:right="0"/>
              <w:jc w:val="center"/>
              <w:textAlignment w:val="center"/>
              <w:rPr>
                <w:rFonts w:hint="eastAsia" w:ascii="宋体" w:hAnsi="宋体" w:eastAsia="宋体" w:cs="宋体"/>
                <w:color w:val="000000"/>
                <w:sz w:val="24"/>
                <w:szCs w:val="24"/>
              </w:rPr>
            </w:pPr>
            <w:r>
              <w:rPr>
                <w:rFonts w:hint="default" w:ascii="宋体" w:hAnsi="宋体" w:eastAsia="宋体" w:cs="宋体"/>
                <w:color w:val="000000"/>
                <w:kern w:val="0"/>
                <w:sz w:val="24"/>
                <w:szCs w:val="24"/>
                <w:lang w:bidi="ar"/>
              </w:rPr>
              <w:t>满意度指标</w:t>
            </w:r>
          </w:p>
        </w:tc>
        <w:tc>
          <w:tcPr>
            <w:tcW w:w="1445" w:type="dxa"/>
            <w:tcBorders>
              <w:top w:val="single" w:color="000000" w:sz="4" w:space="0"/>
              <w:left w:val="single" w:color="000000" w:sz="4" w:space="0"/>
              <w:bottom w:val="single" w:color="auto" w:sz="4" w:space="0"/>
              <w:right w:val="single" w:color="000000" w:sz="4" w:space="0"/>
            </w:tcBorders>
            <w:shd w:val="clear" w:color="auto" w:fill="auto"/>
            <w:vAlign w:val="center"/>
          </w:tcPr>
          <w:p w14:paraId="7BAAC42A">
            <w:pPr>
              <w:keepNext w:val="0"/>
              <w:keepLines w:val="0"/>
              <w:suppressLineNumbers w:val="0"/>
              <w:spacing w:before="0" w:beforeAutospacing="0" w:after="0" w:afterAutospacing="0" w:line="300" w:lineRule="exact"/>
              <w:ind w:left="0" w:right="0"/>
              <w:rPr>
                <w:rFonts w:hint="eastAsia" w:ascii="宋体" w:hAnsi="宋体" w:eastAsia="宋体" w:cs="宋体"/>
                <w:color w:val="000000"/>
                <w:sz w:val="24"/>
                <w:szCs w:val="24"/>
              </w:rPr>
            </w:pPr>
            <w:r>
              <w:rPr>
                <w:rFonts w:hint="eastAsia" w:ascii="宋体" w:hAnsi="宋体" w:eastAsia="宋体" w:cs="宋体"/>
                <w:color w:val="000000"/>
                <w:sz w:val="24"/>
                <w:szCs w:val="24"/>
              </w:rPr>
              <w:t>指标1:</w:t>
            </w:r>
            <w:r>
              <w:rPr>
                <w:rFonts w:hint="eastAsia" w:ascii="Times New Roman" w:hAnsi="Times New Roman" w:eastAsia="仿宋_GB2312" w:cs="Times New Roman"/>
                <w:sz w:val="32"/>
                <w:szCs w:val="32"/>
              </w:rPr>
              <w:t xml:space="preserve"> </w:t>
            </w:r>
            <w:r>
              <w:rPr>
                <w:rFonts w:hint="eastAsia" w:ascii="宋体" w:hAnsi="宋体" w:eastAsia="宋体" w:cs="宋体"/>
                <w:color w:val="000000"/>
                <w:sz w:val="24"/>
                <w:szCs w:val="24"/>
              </w:rPr>
              <w:t>参会人员满意度</w:t>
            </w:r>
          </w:p>
        </w:tc>
        <w:tc>
          <w:tcPr>
            <w:tcW w:w="633" w:type="dxa"/>
            <w:tcBorders>
              <w:top w:val="single" w:color="000000" w:sz="4" w:space="0"/>
              <w:left w:val="single" w:color="000000" w:sz="4" w:space="0"/>
              <w:bottom w:val="single" w:color="auto" w:sz="4" w:space="0"/>
              <w:right w:val="single" w:color="000000" w:sz="4" w:space="0"/>
            </w:tcBorders>
            <w:shd w:val="clear" w:color="auto" w:fill="auto"/>
            <w:vAlign w:val="center"/>
          </w:tcPr>
          <w:p w14:paraId="0AACB7F0">
            <w:pPr>
              <w:keepNext w:val="0"/>
              <w:keepLines w:val="0"/>
              <w:suppressLineNumbers w:val="0"/>
              <w:spacing w:before="0" w:beforeAutospacing="0" w:after="0" w:afterAutospacing="0" w:line="300" w:lineRule="exact"/>
              <w:ind w:left="0" w:right="0"/>
              <w:jc w:val="center"/>
              <w:rPr>
                <w:rFonts w:hint="eastAsia" w:ascii="宋体" w:hAnsi="宋体" w:eastAsia="宋体" w:cs="宋体"/>
                <w:color w:val="000000"/>
                <w:sz w:val="24"/>
                <w:szCs w:val="24"/>
              </w:rPr>
            </w:pPr>
            <w:r>
              <w:rPr>
                <w:rFonts w:hint="eastAsia" w:ascii="宋体" w:hAnsi="宋体" w:eastAsia="宋体" w:cs="宋体"/>
                <w:color w:val="000000"/>
                <w:sz w:val="24"/>
                <w:szCs w:val="24"/>
              </w:rPr>
              <w:t>定量</w:t>
            </w:r>
          </w:p>
        </w:tc>
        <w:tc>
          <w:tcPr>
            <w:tcW w:w="2671" w:type="dxa"/>
            <w:tcBorders>
              <w:top w:val="single" w:color="000000" w:sz="4" w:space="0"/>
              <w:left w:val="single" w:color="000000" w:sz="4" w:space="0"/>
              <w:bottom w:val="single" w:color="auto" w:sz="4" w:space="0"/>
              <w:right w:val="single" w:color="000000" w:sz="4" w:space="0"/>
            </w:tcBorders>
            <w:shd w:val="clear" w:color="auto" w:fill="auto"/>
            <w:vAlign w:val="center"/>
          </w:tcPr>
          <w:p w14:paraId="02850B48">
            <w:pPr>
              <w:keepNext w:val="0"/>
              <w:keepLines w:val="0"/>
              <w:suppressLineNumbers w:val="0"/>
              <w:spacing w:before="0" w:beforeAutospacing="0" w:after="0" w:afterAutospacing="0" w:line="300" w:lineRule="exact"/>
              <w:ind w:left="0" w:right="0"/>
              <w:jc w:val="center"/>
              <w:rPr>
                <w:rFonts w:hint="eastAsia" w:ascii="宋体" w:hAnsi="宋体" w:eastAsia="宋体" w:cs="宋体"/>
                <w:color w:val="000000"/>
                <w:sz w:val="24"/>
                <w:szCs w:val="24"/>
              </w:rPr>
            </w:pPr>
            <w:r>
              <w:rPr>
                <w:rFonts w:hint="eastAsia" w:ascii="宋体" w:hAnsi="宋体" w:eastAsia="宋体" w:cs="宋体"/>
                <w:color w:val="000000"/>
                <w:sz w:val="24"/>
                <w:szCs w:val="24"/>
              </w:rPr>
              <w:t>≥95</w:t>
            </w:r>
          </w:p>
        </w:tc>
        <w:tc>
          <w:tcPr>
            <w:tcW w:w="634" w:type="dxa"/>
            <w:tcBorders>
              <w:top w:val="single" w:color="000000" w:sz="4" w:space="0"/>
              <w:left w:val="single" w:color="000000" w:sz="4" w:space="0"/>
              <w:bottom w:val="single" w:color="auto" w:sz="4" w:space="0"/>
              <w:right w:val="single" w:color="000000" w:sz="4" w:space="0"/>
            </w:tcBorders>
            <w:shd w:val="clear" w:color="auto" w:fill="auto"/>
            <w:vAlign w:val="center"/>
          </w:tcPr>
          <w:p w14:paraId="16789762">
            <w:pPr>
              <w:keepNext w:val="0"/>
              <w:keepLines w:val="0"/>
              <w:suppressLineNumbers w:val="0"/>
              <w:spacing w:before="0" w:beforeAutospacing="0" w:after="0" w:afterAutospacing="0" w:line="300" w:lineRule="exact"/>
              <w:ind w:left="0" w:right="0"/>
              <w:jc w:val="center"/>
              <w:rPr>
                <w:rFonts w:hint="eastAsia" w:ascii="宋体" w:hAnsi="宋体" w:eastAsia="宋体" w:cs="宋体"/>
                <w:color w:val="000000"/>
                <w:sz w:val="24"/>
                <w:szCs w:val="24"/>
              </w:rPr>
            </w:pPr>
            <w:r>
              <w:rPr>
                <w:rFonts w:hint="eastAsia" w:ascii="宋体" w:hAnsi="宋体" w:eastAsia="宋体" w:cs="宋体"/>
                <w:color w:val="000000"/>
                <w:sz w:val="24"/>
                <w:szCs w:val="24"/>
              </w:rPr>
              <w:t>%</w:t>
            </w:r>
          </w:p>
        </w:tc>
        <w:tc>
          <w:tcPr>
            <w:tcW w:w="1197" w:type="dxa"/>
            <w:tcBorders>
              <w:top w:val="single" w:color="000000" w:sz="4" w:space="0"/>
              <w:left w:val="single" w:color="000000" w:sz="4" w:space="0"/>
              <w:bottom w:val="single" w:color="auto" w:sz="4" w:space="0"/>
              <w:right w:val="single" w:color="000000" w:sz="4" w:space="0"/>
            </w:tcBorders>
            <w:shd w:val="clear" w:color="auto" w:fill="auto"/>
            <w:vAlign w:val="center"/>
          </w:tcPr>
          <w:p w14:paraId="2D0EC994">
            <w:pPr>
              <w:keepNext w:val="0"/>
              <w:keepLines w:val="0"/>
              <w:suppressLineNumbers w:val="0"/>
              <w:spacing w:before="0" w:beforeAutospacing="0" w:after="0" w:afterAutospacing="0" w:line="300" w:lineRule="exact"/>
              <w:ind w:left="0" w:right="0"/>
              <w:jc w:val="center"/>
              <w:rPr>
                <w:rFonts w:hint="eastAsia" w:ascii="宋体" w:hAnsi="宋体" w:eastAsia="宋体" w:cs="宋体"/>
                <w:color w:val="000000"/>
                <w:sz w:val="24"/>
                <w:szCs w:val="24"/>
              </w:rPr>
            </w:pPr>
            <w:r>
              <w:rPr>
                <w:rFonts w:hint="eastAsia" w:ascii="宋体" w:hAnsi="宋体" w:eastAsia="宋体" w:cs="宋体"/>
                <w:color w:val="000000"/>
                <w:sz w:val="24"/>
                <w:szCs w:val="24"/>
              </w:rPr>
              <w:t>10</w:t>
            </w:r>
          </w:p>
        </w:tc>
        <w:tc>
          <w:tcPr>
            <w:tcW w:w="1977" w:type="dxa"/>
            <w:tcBorders>
              <w:top w:val="single" w:color="000000" w:sz="4" w:space="0"/>
              <w:left w:val="single" w:color="000000" w:sz="4" w:space="0"/>
              <w:bottom w:val="single" w:color="auto" w:sz="4" w:space="0"/>
              <w:right w:val="single" w:color="000000" w:sz="4" w:space="0"/>
            </w:tcBorders>
            <w:shd w:val="clear" w:color="auto" w:fill="auto"/>
            <w:vAlign w:val="center"/>
          </w:tcPr>
          <w:p w14:paraId="5F962B38">
            <w:pPr>
              <w:keepNext w:val="0"/>
              <w:keepLines w:val="0"/>
              <w:suppressLineNumbers w:val="0"/>
              <w:spacing w:before="0" w:beforeAutospacing="0" w:after="0" w:afterAutospacing="0" w:line="300" w:lineRule="exact"/>
              <w:ind w:left="0" w:right="0"/>
              <w:jc w:val="left"/>
              <w:rPr>
                <w:rFonts w:hint="eastAsia" w:ascii="宋体" w:hAnsi="宋体" w:eastAsia="宋体" w:cs="宋体"/>
                <w:color w:val="000000"/>
                <w:sz w:val="24"/>
                <w:szCs w:val="24"/>
              </w:rPr>
            </w:pPr>
            <w:r>
              <w:rPr>
                <w:rFonts w:hint="eastAsia" w:ascii="宋体" w:hAnsi="宋体" w:eastAsia="宋体" w:cs="宋体"/>
                <w:color w:val="000000"/>
                <w:sz w:val="24"/>
                <w:szCs w:val="24"/>
              </w:rPr>
              <w:t>100%。讲座成功举办，取得显著成效，得到与会领导干部广泛好评。</w:t>
            </w:r>
          </w:p>
        </w:tc>
      </w:tr>
    </w:tbl>
    <w:p w14:paraId="2619890C">
      <w:pPr>
        <w:spacing w:line="600" w:lineRule="exact"/>
        <w:jc w:val="center"/>
        <w:outlineLvl w:val="0"/>
        <w:rPr>
          <w:rFonts w:hint="eastAsia" w:ascii="黑体" w:hAnsi="黑体" w:eastAsia="黑体"/>
          <w:color w:val="auto"/>
          <w:sz w:val="44"/>
          <w:szCs w:val="44"/>
          <w:highlight w:val="none"/>
        </w:rPr>
      </w:pPr>
    </w:p>
    <w:p w14:paraId="5F84A8D5">
      <w:pPr>
        <w:spacing w:line="578" w:lineRule="exact"/>
        <w:ind w:right="-210" w:rightChars="-100"/>
        <w:jc w:val="center"/>
        <w:rPr>
          <w:rFonts w:ascii="黑体" w:hAnsi="黑体" w:eastAsia="黑体" w:cs="黑体"/>
          <w:sz w:val="32"/>
          <w:szCs w:val="32"/>
        </w:rPr>
      </w:pPr>
      <w:r>
        <w:rPr>
          <w:rFonts w:hint="eastAsia" w:ascii="方正小标宋简体" w:hAnsi="方正小标宋简体" w:eastAsia="方正小标宋简体" w:cs="方正小标宋简体"/>
          <w:sz w:val="44"/>
          <w:szCs w:val="44"/>
        </w:rPr>
        <w:t>四川省生态产品价值实现机制试点经验交流现场会及调研专项预算项目绩效评价报告</w:t>
      </w:r>
    </w:p>
    <w:p w14:paraId="4B3173C8">
      <w:pPr>
        <w:widowControl w:val="0"/>
        <w:spacing w:line="578" w:lineRule="exact"/>
        <w:ind w:firstLine="640"/>
        <w:jc w:val="center"/>
        <w:rPr>
          <w:rFonts w:ascii="宋体" w:hAnsi="宋体" w:eastAsia="宋体" w:cs="Times New Roman"/>
          <w:color w:val="auto"/>
          <w:kern w:val="2"/>
          <w:sz w:val="32"/>
          <w:szCs w:val="32"/>
          <w:lang w:val="zh-CN" w:eastAsia="zh-CN" w:bidi="ar-SA"/>
        </w:rPr>
      </w:pPr>
    </w:p>
    <w:p w14:paraId="6FC2AF43">
      <w:pPr>
        <w:adjustRightInd w:val="0"/>
        <w:snapToGrid w:val="0"/>
        <w:spacing w:line="578" w:lineRule="exact"/>
        <w:ind w:firstLine="640" w:firstLineChars="200"/>
        <w:rPr>
          <w:rFonts w:ascii="黑体" w:hAnsi="宋体" w:eastAsia="黑体" w:cs="Times New Roman"/>
          <w:sz w:val="32"/>
          <w:szCs w:val="32"/>
          <w:lang w:val="zh-CN"/>
        </w:rPr>
      </w:pPr>
      <w:r>
        <w:rPr>
          <w:rFonts w:hint="eastAsia" w:ascii="黑体" w:hAnsi="宋体" w:eastAsia="黑体" w:cs="Times New Roman"/>
          <w:sz w:val="32"/>
          <w:szCs w:val="32"/>
        </w:rPr>
        <w:t>一、</w:t>
      </w:r>
      <w:r>
        <w:rPr>
          <w:rFonts w:hint="eastAsia" w:ascii="黑体" w:hAnsi="宋体" w:eastAsia="黑体" w:cs="Times New Roman"/>
          <w:sz w:val="32"/>
          <w:szCs w:val="32"/>
          <w:lang w:val="zh-CN"/>
        </w:rPr>
        <w:t>项目概况</w:t>
      </w:r>
    </w:p>
    <w:p w14:paraId="7639C9AE">
      <w:pPr>
        <w:topLinePunct/>
        <w:autoSpaceDN w:val="0"/>
        <w:adjustRightInd w:val="0"/>
        <w:snapToGrid w:val="0"/>
        <w:spacing w:line="576" w:lineRule="exact"/>
        <w:ind w:firstLine="643" w:firstLineChars="200"/>
        <w:rPr>
          <w:rFonts w:ascii="仿宋_GB2312" w:hAnsi="仿宋_GB2312" w:eastAsia="仿宋_GB2312" w:cs="仿宋_GB2312"/>
          <w:color w:val="FF0000"/>
          <w:kern w:val="0"/>
          <w:sz w:val="32"/>
          <w:szCs w:val="32"/>
          <w:shd w:val="clear" w:color="auto" w:fill="FFFFFF"/>
          <w:lang w:val="zh-CN"/>
        </w:rPr>
      </w:pPr>
      <w:r>
        <w:rPr>
          <w:rFonts w:hint="eastAsia" w:ascii="楷体_GB2312" w:hAnsi="宋体" w:eastAsia="楷体_GB2312" w:cs="Times New Roman"/>
          <w:b/>
          <w:sz w:val="32"/>
          <w:szCs w:val="32"/>
          <w:lang w:val="zh-CN"/>
        </w:rPr>
        <w:t>（一）设立背景及基本情况。</w:t>
      </w:r>
      <w:r>
        <w:rPr>
          <w:rFonts w:hint="eastAsia" w:ascii="仿宋_GB2312" w:hAnsi="仿宋_GB2312" w:eastAsia="仿宋_GB2312" w:cs="仿宋_GB2312"/>
          <w:sz w:val="32"/>
          <w:szCs w:val="32"/>
        </w:rPr>
        <w:t>长期以来，广元市委、市政府始终高度重视生态环境保护，将生态文明建设摆在永续发展战略位置，坚持生态立市，大力实施“1345”发展战略，把绿色生态作为最大发展优势、重要战略依托，积极探索绿水青山向金山银山转化路径，加快建设践行绿水青山就是金山银山理念典范城市。2021年11月，广元市整市被确定为四川省首批生态产品价值实现机制试点地区。为</w:t>
      </w:r>
      <w:r>
        <w:rPr>
          <w:rFonts w:ascii="仿宋_GB2312" w:hAnsi="仿宋_GB2312" w:eastAsia="仿宋_GB2312" w:cs="仿宋_GB2312"/>
          <w:sz w:val="32"/>
          <w:szCs w:val="32"/>
        </w:rPr>
        <w:t>推动试点工作持续深化、走在前列，把绿水青山建得更美、把金山银山做得更大，建设成渝地区生态产品价值实现典范，全力争创国家生态产品价值实现机制试点</w:t>
      </w:r>
      <w:r>
        <w:rPr>
          <w:rFonts w:hint="eastAsia" w:ascii="仿宋_GB2312" w:hAnsi="仿宋_GB2312" w:eastAsia="仿宋_GB2312" w:cs="仿宋_GB2312"/>
          <w:sz w:val="32"/>
          <w:szCs w:val="32"/>
        </w:rPr>
        <w:t>，市委、市政府同意，我市决定申请承办四川省生态产品价值实现机制试点工作经验交流现场会。参会人数合计160余人，需租用会议室、车辆、会议设备等，会议设备调试费，印制宣传画册、文件资料、学习读本等会议材料160份，制作调研展板10张，会议自助餐费等，费用合计23.19万元。</w:t>
      </w:r>
    </w:p>
    <w:p w14:paraId="5A171AD5">
      <w:pPr>
        <w:adjustRightInd w:val="0"/>
        <w:snapToGrid w:val="0"/>
        <w:spacing w:line="578" w:lineRule="exact"/>
        <w:ind w:firstLine="643" w:firstLineChars="200"/>
        <w:rPr>
          <w:rFonts w:ascii="楷体_GB2312" w:hAnsi="宋体" w:eastAsia="楷体_GB2312" w:cs="Times New Roman"/>
          <w:b/>
          <w:color w:val="FF0000"/>
          <w:sz w:val="32"/>
          <w:szCs w:val="32"/>
          <w:lang w:val="zh-CN"/>
        </w:rPr>
      </w:pPr>
      <w:r>
        <w:rPr>
          <w:rFonts w:hint="eastAsia" w:ascii="楷体_GB2312" w:hAnsi="宋体" w:eastAsia="楷体_GB2312" w:cs="Times New Roman"/>
          <w:b/>
          <w:sz w:val="32"/>
          <w:szCs w:val="32"/>
          <w:lang w:val="zh-CN"/>
        </w:rPr>
        <w:t>（二）</w:t>
      </w:r>
      <w:r>
        <w:rPr>
          <w:rFonts w:ascii="楷体_GB2312" w:hAnsi="宋体" w:eastAsia="楷体_GB2312" w:cs="Times New Roman"/>
          <w:b/>
          <w:sz w:val="32"/>
          <w:szCs w:val="32"/>
        </w:rPr>
        <w:t>实施目的及支持方向</w:t>
      </w:r>
      <w:r>
        <w:rPr>
          <w:rFonts w:hint="eastAsia" w:ascii="楷体_GB2312" w:hAnsi="宋体" w:eastAsia="楷体_GB2312" w:cs="Times New Roman"/>
          <w:b/>
          <w:sz w:val="32"/>
          <w:szCs w:val="32"/>
        </w:rPr>
        <w:t>。</w:t>
      </w:r>
      <w:r>
        <w:rPr>
          <w:rFonts w:hint="eastAsia" w:ascii="仿宋_GB2312" w:hAnsi="仿宋_GB2312" w:eastAsia="仿宋_GB2312" w:cs="仿宋_GB2312"/>
          <w:sz w:val="32"/>
          <w:szCs w:val="32"/>
        </w:rPr>
        <w:t>项目资金由市发展改革委向市政府、市财政局申报，同意后，严格按照</w:t>
      </w:r>
      <w:r>
        <w:rPr>
          <w:rFonts w:hint="eastAsia" w:ascii="仿宋" w:hAnsi="仿宋" w:eastAsia="仿宋" w:cs="Times New Roman"/>
          <w:sz w:val="32"/>
          <w:szCs w:val="32"/>
        </w:rPr>
        <w:t>政府采购</w:t>
      </w:r>
      <w:r>
        <w:rPr>
          <w:rFonts w:hint="eastAsia" w:ascii="仿宋_GB2312" w:hAnsi="仿宋_GB2312" w:eastAsia="仿宋_GB2312" w:cs="仿宋_GB2312"/>
          <w:sz w:val="32"/>
          <w:szCs w:val="32"/>
        </w:rPr>
        <w:t>流程进行，符合资金管理办法等相关规定。</w:t>
      </w:r>
    </w:p>
    <w:p w14:paraId="00488851">
      <w:pPr>
        <w:adjustRightInd w:val="0"/>
        <w:snapToGrid w:val="0"/>
        <w:spacing w:line="576" w:lineRule="exact"/>
        <w:ind w:firstLine="720"/>
        <w:rPr>
          <w:rFonts w:ascii="仿宋_GB2312" w:hAnsi="仿宋_GB2312" w:eastAsia="仿宋_GB2312" w:cs="仿宋_GB2312"/>
          <w:color w:val="FF0000"/>
          <w:kern w:val="0"/>
          <w:sz w:val="32"/>
          <w:szCs w:val="32"/>
          <w:shd w:val="clear" w:color="auto" w:fill="FFFFFF"/>
          <w:lang w:val="zh-CN"/>
        </w:rPr>
      </w:pPr>
      <w:r>
        <w:rPr>
          <w:rFonts w:hint="eastAsia" w:ascii="楷体_GB2312" w:hAnsi="宋体" w:eastAsia="楷体_GB2312" w:cs="Times New Roman"/>
          <w:b/>
          <w:sz w:val="32"/>
          <w:szCs w:val="32"/>
          <w:lang w:val="zh-CN"/>
        </w:rPr>
        <w:t>（三）</w:t>
      </w:r>
      <w:r>
        <w:rPr>
          <w:rFonts w:ascii="楷体_GB2312" w:hAnsi="宋体" w:eastAsia="楷体_GB2312" w:cs="Times New Roman"/>
          <w:b/>
          <w:sz w:val="32"/>
          <w:szCs w:val="32"/>
        </w:rPr>
        <w:t>预算安排及分配管理</w:t>
      </w:r>
      <w:r>
        <w:rPr>
          <w:rFonts w:hint="eastAsia" w:ascii="楷体_GB2312" w:hAnsi="宋体" w:eastAsia="楷体_GB2312" w:cs="Times New Roman"/>
          <w:b/>
          <w:sz w:val="32"/>
          <w:szCs w:val="32"/>
          <w:lang w:val="zh-CN"/>
        </w:rPr>
        <w:t>。</w:t>
      </w:r>
      <w:r>
        <w:rPr>
          <w:rFonts w:hint="eastAsia" w:ascii="仿宋_GB2312" w:hAnsi="仿宋_GB2312" w:eastAsia="仿宋_GB2312" w:cs="仿宋_GB2312"/>
          <w:sz w:val="32"/>
          <w:szCs w:val="32"/>
        </w:rPr>
        <w:t>项目预算安排23.19万元，严格按照政府</w:t>
      </w:r>
      <w:r>
        <w:rPr>
          <w:rFonts w:hint="eastAsia" w:ascii="仿宋" w:hAnsi="仿宋" w:eastAsia="仿宋" w:cs="Times New Roman"/>
          <w:sz w:val="32"/>
          <w:szCs w:val="32"/>
        </w:rPr>
        <w:t>采购程序</w:t>
      </w:r>
      <w:r>
        <w:rPr>
          <w:rFonts w:hint="eastAsia" w:ascii="仿宋_GB2312" w:hAnsi="仿宋_GB2312" w:eastAsia="仿宋_GB2312" w:cs="仿宋_GB2312"/>
          <w:sz w:val="32"/>
          <w:szCs w:val="32"/>
        </w:rPr>
        <w:t>执行</w:t>
      </w:r>
      <w:r>
        <w:rPr>
          <w:rFonts w:hint="eastAsia" w:ascii="仿宋" w:hAnsi="仿宋" w:eastAsia="仿宋" w:cs="Times New Roman"/>
          <w:sz w:val="32"/>
          <w:szCs w:val="32"/>
        </w:rPr>
        <w:t>。</w:t>
      </w:r>
    </w:p>
    <w:p w14:paraId="0C6F4229">
      <w:pPr>
        <w:adjustRightInd w:val="0"/>
        <w:snapToGrid w:val="0"/>
        <w:spacing w:line="578" w:lineRule="exact"/>
        <w:ind w:firstLine="643" w:firstLineChars="200"/>
        <w:rPr>
          <w:rFonts w:ascii="仿宋_GB2312" w:hAnsi="仿宋_GB2312" w:eastAsia="仿宋_GB2312" w:cs="仿宋_GB2312"/>
          <w:color w:val="FF0000"/>
          <w:sz w:val="32"/>
          <w:szCs w:val="32"/>
        </w:rPr>
      </w:pPr>
      <w:r>
        <w:rPr>
          <w:rFonts w:hint="eastAsia" w:ascii="楷体_GB2312" w:hAnsi="宋体" w:eastAsia="楷体_GB2312" w:cs="Times New Roman"/>
          <w:b/>
          <w:sz w:val="32"/>
          <w:szCs w:val="32"/>
          <w:lang w:val="zh-CN"/>
        </w:rPr>
        <w:t>（四）项目绩效目标设置。</w:t>
      </w:r>
      <w:r>
        <w:rPr>
          <w:rFonts w:hint="eastAsia" w:ascii="仿宋_GB2312" w:hAnsi="仿宋_GB2312" w:eastAsia="仿宋_GB2312" w:cs="仿宋_GB2312"/>
          <w:sz w:val="32"/>
          <w:szCs w:val="32"/>
        </w:rPr>
        <w:t>项目主要租用车费用于组织参加现场点位调研，租用会务场地及会议设备，会议设备调试，10张展板设计及制作，印制160套会务材料设计和制作、人员会议自助餐费及医疗及会务用房。通过画册宣传、现场推介及新闻报道等，提升广元生态产品知名度，扩大我市生态产品在川渝地区市场影响力。</w:t>
      </w:r>
    </w:p>
    <w:p w14:paraId="3D4E7693">
      <w:pPr>
        <w:adjustRightInd w:val="0"/>
        <w:snapToGrid w:val="0"/>
        <w:spacing w:line="578" w:lineRule="exact"/>
        <w:ind w:firstLine="640" w:firstLineChars="200"/>
        <w:rPr>
          <w:rFonts w:ascii="黑体" w:hAnsi="宋体" w:eastAsia="黑体" w:cs="Times New Roman"/>
          <w:sz w:val="32"/>
          <w:szCs w:val="32"/>
        </w:rPr>
      </w:pPr>
      <w:r>
        <w:rPr>
          <w:rFonts w:hint="eastAsia" w:ascii="黑体" w:hAnsi="宋体" w:eastAsia="黑体" w:cs="Times New Roman"/>
          <w:sz w:val="32"/>
          <w:szCs w:val="32"/>
        </w:rPr>
        <w:t>二、评价实施</w:t>
      </w:r>
    </w:p>
    <w:p w14:paraId="3CEA9768">
      <w:pPr>
        <w:snapToGrid w:val="0"/>
        <w:spacing w:line="600" w:lineRule="exact"/>
        <w:ind w:firstLine="643" w:firstLineChars="200"/>
        <w:jc w:val="left"/>
        <w:rPr>
          <w:rFonts w:ascii="仿宋" w:hAnsi="仿宋" w:eastAsia="仿宋" w:cs="Times New Roman"/>
          <w:color w:val="FF0000"/>
          <w:sz w:val="32"/>
          <w:szCs w:val="32"/>
        </w:rPr>
      </w:pPr>
      <w:r>
        <w:rPr>
          <w:rFonts w:hint="eastAsia" w:ascii="楷体_GB2312" w:hAnsi="宋体" w:eastAsia="楷体_GB2312" w:cs="Times New Roman"/>
          <w:b/>
          <w:sz w:val="32"/>
          <w:szCs w:val="32"/>
          <w:lang w:val="zh-CN"/>
        </w:rPr>
        <w:t>（一）评价目的。</w:t>
      </w:r>
      <w:r>
        <w:rPr>
          <w:rFonts w:hint="eastAsia" w:ascii="仿宋" w:hAnsi="仿宋" w:eastAsia="仿宋" w:cs="Times New Roman"/>
          <w:sz w:val="32"/>
          <w:szCs w:val="32"/>
        </w:rPr>
        <w:t>为项目设立和预算安排提供重要参考依据，进一步提高预算编制科学性、合理性，从源头上防控财政资源配置的低效无效，优化财政支出结构，提高财政资源配置效率和财政资金使用效益。</w:t>
      </w:r>
    </w:p>
    <w:p w14:paraId="6FA987F6">
      <w:pPr>
        <w:adjustRightInd w:val="0"/>
        <w:snapToGrid w:val="0"/>
        <w:spacing w:line="576" w:lineRule="exact"/>
        <w:ind w:firstLine="720"/>
        <w:rPr>
          <w:rFonts w:ascii="仿宋" w:hAnsi="仿宋" w:eastAsia="仿宋" w:cs="Times New Roman"/>
          <w:color w:val="FF0000"/>
          <w:sz w:val="32"/>
          <w:szCs w:val="32"/>
        </w:rPr>
      </w:pPr>
      <w:r>
        <w:rPr>
          <w:rFonts w:hint="eastAsia" w:ascii="楷体_GB2312" w:hAnsi="宋体" w:eastAsia="楷体_GB2312" w:cs="Times New Roman"/>
          <w:b/>
          <w:sz w:val="32"/>
          <w:szCs w:val="32"/>
          <w:lang w:val="zh-CN"/>
        </w:rPr>
        <w:t>（二）预设问题及评价重点。</w:t>
      </w:r>
      <w:r>
        <w:rPr>
          <w:rFonts w:hint="eastAsia" w:ascii="仿宋" w:hAnsi="仿宋" w:eastAsia="仿宋" w:cs="Times New Roman"/>
          <w:sz w:val="32"/>
          <w:szCs w:val="32"/>
        </w:rPr>
        <w:t>项目申报内容与具体实施内容是否相符、申报目标是否合理可行，资金使用是否合理。</w:t>
      </w:r>
    </w:p>
    <w:p w14:paraId="1D99E04A">
      <w:pPr>
        <w:adjustRightInd w:val="0"/>
        <w:snapToGrid w:val="0"/>
        <w:spacing w:line="578" w:lineRule="exact"/>
        <w:ind w:firstLine="643" w:firstLineChars="200"/>
        <w:rPr>
          <w:rFonts w:ascii="仿宋" w:hAnsi="仿宋" w:eastAsia="仿宋" w:cs="Times New Roman"/>
          <w:color w:val="FF0000"/>
          <w:sz w:val="32"/>
          <w:szCs w:val="32"/>
        </w:rPr>
      </w:pPr>
      <w:r>
        <w:rPr>
          <w:rFonts w:hint="eastAsia" w:ascii="楷体_GB2312" w:hAnsi="宋体" w:eastAsia="楷体_GB2312" w:cs="Times New Roman"/>
          <w:b/>
          <w:sz w:val="32"/>
          <w:szCs w:val="32"/>
          <w:lang w:val="zh-CN"/>
        </w:rPr>
        <w:t>（三）评价选点。</w:t>
      </w:r>
      <w:r>
        <w:rPr>
          <w:rFonts w:hint="eastAsia" w:ascii="仿宋" w:hAnsi="仿宋" w:eastAsia="仿宋" w:cs="Times New Roman"/>
          <w:sz w:val="32"/>
          <w:szCs w:val="32"/>
        </w:rPr>
        <w:t>严格按照项目申报内容实施，租赁实地调研</w:t>
      </w:r>
      <w:r>
        <w:rPr>
          <w:rFonts w:hint="eastAsia" w:ascii="仿宋_GB2312" w:hAnsi="仿宋_GB2312" w:eastAsia="仿宋_GB2312" w:cs="仿宋_GB2312"/>
          <w:sz w:val="32"/>
          <w:szCs w:val="32"/>
        </w:rPr>
        <w:t>车费，租用会务场地及会议设备，设计制作10张展板，印制160套会务材料、会议自助餐费及医疗及2间会务用房。</w:t>
      </w:r>
    </w:p>
    <w:p w14:paraId="7844E630">
      <w:pPr>
        <w:snapToGrid w:val="0"/>
        <w:spacing w:line="600" w:lineRule="exact"/>
        <w:ind w:firstLine="643" w:firstLineChars="200"/>
        <w:rPr>
          <w:rFonts w:ascii="仿宋_GB2312" w:hAnsi="仿宋_GB2312" w:eastAsia="仿宋_GB2312" w:cs="仿宋_GB2312"/>
          <w:color w:val="FF0000"/>
          <w:sz w:val="32"/>
          <w:szCs w:val="32"/>
        </w:rPr>
      </w:pPr>
      <w:r>
        <w:rPr>
          <w:rFonts w:hint="eastAsia" w:ascii="楷体_GB2312" w:hAnsi="宋体" w:eastAsia="楷体_GB2312" w:cs="Times New Roman"/>
          <w:b/>
          <w:sz w:val="32"/>
          <w:szCs w:val="32"/>
          <w:lang w:val="zh-CN"/>
        </w:rPr>
        <w:t>（四）评价方法。</w:t>
      </w:r>
      <w:r>
        <w:rPr>
          <w:rFonts w:hint="eastAsia" w:ascii="仿宋_GB2312" w:hAnsi="仿宋_GB2312" w:eastAsia="仿宋_GB2312" w:cs="仿宋_GB2312"/>
          <w:sz w:val="32"/>
          <w:szCs w:val="32"/>
        </w:rPr>
        <w:t>按照有关规定和工作安排，通过委内集中研究论证、对接省发展改革委、专题报告市领导、现场学习丽水好做法好经验等方式方法，对项目的立项必要性、投入经济性、目标合理性、方案可行性以及筹资合规性实施评估。</w:t>
      </w:r>
    </w:p>
    <w:p w14:paraId="5EA52780">
      <w:pPr>
        <w:spacing w:line="578" w:lineRule="exact"/>
        <w:ind w:firstLine="640"/>
        <w:rPr>
          <w:rFonts w:ascii="仿宋" w:hAnsi="仿宋" w:eastAsia="仿宋" w:cs="Times New Roman"/>
          <w:sz w:val="32"/>
          <w:szCs w:val="32"/>
        </w:rPr>
      </w:pPr>
      <w:r>
        <w:rPr>
          <w:rFonts w:hint="eastAsia" w:ascii="楷体_GB2312" w:hAnsi="宋体" w:eastAsia="楷体_GB2312" w:cs="Times New Roman"/>
          <w:b/>
          <w:sz w:val="32"/>
          <w:szCs w:val="32"/>
          <w:lang w:val="zh-CN"/>
        </w:rPr>
        <w:t>（五）评价组织。</w:t>
      </w:r>
      <w:r>
        <w:rPr>
          <w:rFonts w:ascii="仿宋" w:hAnsi="仿宋" w:eastAsia="仿宋" w:cs="Times New Roman"/>
          <w:sz w:val="32"/>
          <w:szCs w:val="32"/>
        </w:rPr>
        <w:t>评价组人员由市发展改革委</w:t>
      </w:r>
      <w:r>
        <w:rPr>
          <w:rFonts w:hint="eastAsia" w:ascii="仿宋" w:hAnsi="仿宋" w:eastAsia="仿宋" w:cs="Times New Roman"/>
          <w:sz w:val="32"/>
          <w:szCs w:val="32"/>
        </w:rPr>
        <w:t>主要领导、分管低碳发展科、办公室（财务室、后勤中心）负责领导及低碳发展科、办公室（财务室、后勤中心）</w:t>
      </w:r>
      <w:r>
        <w:rPr>
          <w:rFonts w:ascii="仿宋" w:hAnsi="仿宋" w:eastAsia="仿宋" w:cs="Times New Roman"/>
          <w:sz w:val="32"/>
          <w:szCs w:val="32"/>
        </w:rPr>
        <w:t>科室负责人等组成。</w:t>
      </w:r>
    </w:p>
    <w:p w14:paraId="59D1D5C5">
      <w:pPr>
        <w:adjustRightInd w:val="0"/>
        <w:snapToGrid w:val="0"/>
        <w:spacing w:line="520" w:lineRule="exact"/>
        <w:ind w:firstLine="640" w:firstLineChars="200"/>
        <w:rPr>
          <w:rFonts w:ascii="仿宋" w:hAnsi="仿宋" w:eastAsia="仿宋" w:cs="Times New Roman"/>
          <w:color w:val="FF0000"/>
          <w:sz w:val="32"/>
          <w:szCs w:val="32"/>
        </w:rPr>
      </w:pPr>
      <w:r>
        <w:rPr>
          <w:rFonts w:hint="eastAsia" w:ascii="仿宋" w:hAnsi="仿宋" w:eastAsia="仿宋" w:cs="Times New Roman"/>
          <w:sz w:val="32"/>
          <w:szCs w:val="32"/>
        </w:rPr>
        <w:t>项目由办公室、低碳发展科严格按照政府采购流程组织实施。组织机构健全、职责分工明确，基础设施条件能够有效保障该项目的实施，并结合实际制定了项目实施方案，进一步明确了项目实施时间、工作程序等措施。</w:t>
      </w:r>
    </w:p>
    <w:p w14:paraId="4ED81D80">
      <w:pPr>
        <w:adjustRightInd w:val="0"/>
        <w:snapToGrid w:val="0"/>
        <w:spacing w:line="578" w:lineRule="exact"/>
        <w:ind w:firstLine="640" w:firstLineChars="200"/>
        <w:rPr>
          <w:rFonts w:ascii="仿宋_GB2312" w:hAnsi="宋体" w:eastAsia="仿宋_GB2312" w:cs="Times New Roman"/>
          <w:sz w:val="32"/>
          <w:szCs w:val="32"/>
          <w:lang w:val="zh-CN"/>
        </w:rPr>
      </w:pPr>
      <w:r>
        <w:rPr>
          <w:rFonts w:hint="eastAsia" w:ascii="黑体" w:hAnsi="宋体" w:eastAsia="黑体" w:cs="Times New Roman"/>
          <w:sz w:val="32"/>
          <w:szCs w:val="32"/>
        </w:rPr>
        <w:t>三、绩效分析</w:t>
      </w:r>
      <w:r>
        <w:rPr>
          <w:rFonts w:hint="eastAsia" w:ascii="仿宋_GB2312" w:hAnsi="宋体" w:eastAsia="仿宋_GB2312" w:cs="Times New Roman"/>
          <w:sz w:val="32"/>
          <w:szCs w:val="32"/>
          <w:lang w:val="zh-CN"/>
        </w:rPr>
        <w:tab/>
      </w:r>
    </w:p>
    <w:p w14:paraId="76754D2C">
      <w:pPr>
        <w:spacing w:line="578" w:lineRule="exact"/>
        <w:ind w:firstLine="640"/>
        <w:rPr>
          <w:rFonts w:ascii="楷体_GB2312" w:hAnsi="宋体" w:eastAsia="楷体_GB2312" w:cs="Times New Roman"/>
          <w:b/>
          <w:sz w:val="32"/>
          <w:szCs w:val="32"/>
        </w:rPr>
      </w:pPr>
      <w:r>
        <w:rPr>
          <w:rFonts w:hint="eastAsia" w:ascii="楷体_GB2312" w:hAnsi="宋体" w:eastAsia="楷体_GB2312" w:cs="Times New Roman"/>
          <w:b/>
          <w:sz w:val="32"/>
          <w:szCs w:val="32"/>
          <w:lang w:val="zh-CN"/>
        </w:rPr>
        <w:t>（一）</w:t>
      </w:r>
      <w:r>
        <w:rPr>
          <w:rFonts w:hint="eastAsia" w:ascii="楷体_GB2312" w:hAnsi="宋体" w:eastAsia="楷体_GB2312" w:cs="Times New Roman"/>
          <w:b/>
          <w:sz w:val="32"/>
          <w:szCs w:val="32"/>
        </w:rPr>
        <w:t>通用指标</w:t>
      </w:r>
      <w:r>
        <w:rPr>
          <w:rFonts w:ascii="Times New Roman" w:hAnsi="Times New Roman" w:eastAsia="楷体_GB2312" w:cs="Times New Roman"/>
          <w:b/>
          <w:bCs/>
          <w:color w:val="000000"/>
          <w:kern w:val="0"/>
          <w:sz w:val="32"/>
          <w:szCs w:val="32"/>
          <w:shd w:val="clear" w:color="auto" w:fill="FFFFFF"/>
          <w:lang w:val="zh-CN"/>
        </w:rPr>
        <w:t>绩效分析。</w:t>
      </w:r>
    </w:p>
    <w:p w14:paraId="4E22E991">
      <w:pPr>
        <w:adjustRightInd w:val="0"/>
        <w:snapToGrid w:val="0"/>
        <w:spacing w:line="578" w:lineRule="exact"/>
        <w:ind w:firstLine="640" w:firstLineChars="200"/>
        <w:rPr>
          <w:rFonts w:ascii="仿宋_GB2312" w:hAnsi="仿宋_GB2312" w:eastAsia="仿宋_GB2312" w:cs="仿宋_GB2312"/>
          <w:sz w:val="32"/>
          <w:szCs w:val="32"/>
        </w:rPr>
      </w:pPr>
      <w:r>
        <w:rPr>
          <w:rFonts w:hint="eastAsia" w:ascii="楷体_GB2312" w:hAnsi="楷体_GB2312" w:eastAsia="楷体_GB2312" w:cs="楷体_GB2312"/>
          <w:sz w:val="32"/>
          <w:szCs w:val="32"/>
        </w:rPr>
        <w:t>1.项目决策。为</w:t>
      </w:r>
      <w:r>
        <w:rPr>
          <w:rFonts w:ascii="仿宋_GB2312" w:hAnsi="仿宋_GB2312" w:eastAsia="仿宋_GB2312" w:cs="仿宋_GB2312"/>
          <w:sz w:val="32"/>
          <w:szCs w:val="32"/>
        </w:rPr>
        <w:t>推动</w:t>
      </w:r>
      <w:r>
        <w:rPr>
          <w:rFonts w:hint="eastAsia" w:ascii="仿宋_GB2312" w:hAnsi="仿宋_GB2312" w:eastAsia="仿宋_GB2312" w:cs="仿宋_GB2312"/>
          <w:sz w:val="32"/>
          <w:szCs w:val="32"/>
        </w:rPr>
        <w:t>我市生态产品价值实现机制</w:t>
      </w:r>
      <w:r>
        <w:rPr>
          <w:rFonts w:ascii="仿宋_GB2312" w:hAnsi="仿宋_GB2312" w:eastAsia="仿宋_GB2312" w:cs="仿宋_GB2312"/>
          <w:sz w:val="32"/>
          <w:szCs w:val="32"/>
        </w:rPr>
        <w:t>试点工作持续深化，把绿水青山建得更美、把金山银山做得更大，全力争创国家生态产品价值实现机制试点</w:t>
      </w:r>
      <w:r>
        <w:rPr>
          <w:rFonts w:hint="eastAsia" w:ascii="仿宋_GB2312" w:hAnsi="仿宋_GB2312" w:eastAsia="仿宋_GB2312" w:cs="仿宋_GB2312"/>
          <w:sz w:val="32"/>
          <w:szCs w:val="32"/>
        </w:rPr>
        <w:t>，经市委、市政府同意，我市决定申请承办四川省生态产品价值实现机制试点工作经验交流现场会，并初步确定拟邀请领导及全省各市州参会范围。项目资金与经济社会发展相匹配，属于政府支持范围，未与其他同类项目或部门内部相关项目交叉重复。绩效分析得分18分。</w:t>
      </w:r>
    </w:p>
    <w:p w14:paraId="6D90E7E4">
      <w:pPr>
        <w:adjustRightInd w:val="0"/>
        <w:snapToGrid w:val="0"/>
        <w:spacing w:line="578" w:lineRule="exact"/>
        <w:ind w:firstLine="640" w:firstLineChars="200"/>
        <w:rPr>
          <w:rFonts w:ascii="仿宋" w:hAnsi="仿宋" w:eastAsia="仿宋" w:cs="Times New Roman"/>
          <w:sz w:val="32"/>
          <w:szCs w:val="32"/>
        </w:rPr>
      </w:pPr>
      <w:r>
        <w:rPr>
          <w:rFonts w:hint="eastAsia" w:ascii="楷体_GB2312" w:hAnsi="楷体_GB2312" w:eastAsia="楷体_GB2312" w:cs="楷体_GB2312"/>
          <w:sz w:val="32"/>
          <w:szCs w:val="32"/>
        </w:rPr>
        <w:t>2.项目管理。</w:t>
      </w:r>
      <w:r>
        <w:rPr>
          <w:rFonts w:hint="eastAsia" w:ascii="仿宋" w:hAnsi="仿宋" w:eastAsia="仿宋" w:cs="Times New Roman"/>
          <w:sz w:val="32"/>
          <w:szCs w:val="32"/>
        </w:rPr>
        <w:t>项目制度办法、资金管理办法等管理制度体系健全完善，不存在管理制度缺失、管理办法过期情况，项目管理、审批符合管理要求，决策程序符合管理要求，及时高效，项目开展严格按照要求全面完成绩效目标（含事前评估）、绩效评价等预算绩效管理工作。绩效分析得分18分。</w:t>
      </w:r>
    </w:p>
    <w:p w14:paraId="33B3207A">
      <w:pPr>
        <w:adjustRightInd w:val="0"/>
        <w:snapToGrid w:val="0"/>
        <w:spacing w:line="578" w:lineRule="exact"/>
        <w:ind w:firstLine="640" w:firstLineChars="200"/>
        <w:rPr>
          <w:rFonts w:ascii="仿宋" w:hAnsi="仿宋" w:eastAsia="仿宋" w:cs="Times New Roman"/>
          <w:sz w:val="32"/>
          <w:szCs w:val="32"/>
        </w:rPr>
      </w:pPr>
      <w:r>
        <w:rPr>
          <w:rFonts w:hint="eastAsia" w:ascii="Times New Roman" w:hAnsi="Times New Roman" w:eastAsia="仿宋_GB2312" w:cs="Times New Roman"/>
          <w:sz w:val="32"/>
          <w:szCs w:val="32"/>
        </w:rPr>
        <w:t>3.</w:t>
      </w:r>
      <w:r>
        <w:rPr>
          <w:rFonts w:hint="eastAsia" w:ascii="楷体_GB2312" w:hAnsi="楷体_GB2312" w:eastAsia="楷体_GB2312" w:cs="楷体_GB2312"/>
          <w:sz w:val="32"/>
          <w:szCs w:val="32"/>
        </w:rPr>
        <w:t>项目实施。</w:t>
      </w:r>
      <w:r>
        <w:rPr>
          <w:rFonts w:hint="eastAsia" w:ascii="仿宋_GB2312" w:hAnsi="仿宋_GB2312" w:eastAsia="仿宋_GB2312" w:cs="仿宋_GB2312"/>
          <w:sz w:val="32"/>
          <w:szCs w:val="32"/>
        </w:rPr>
        <w:t>召开专题部署会，制定会议方案，租赁现场调研车辆，租用会议室、会议设备等，印制宣传画册、文件资料、学习读本等会议材料，制作调研展板10张，设计制作我市现场会经验交流发言PPT等。</w:t>
      </w:r>
      <w:r>
        <w:rPr>
          <w:rFonts w:hint="eastAsia" w:ascii="仿宋" w:hAnsi="仿宋" w:eastAsia="仿宋" w:cs="Times New Roman"/>
          <w:sz w:val="32"/>
          <w:szCs w:val="32"/>
        </w:rPr>
        <w:t>项目资金财政拨付23.19万元，单位执行到位21.39万元。项目资金使用、拨付符合国家财经法规、财务管理制度及有关专项资金管理制度办法规定和审批程序。绩效分析得分9分。</w:t>
      </w:r>
    </w:p>
    <w:p w14:paraId="323E1BD2">
      <w:pPr>
        <w:adjustRightInd w:val="0"/>
        <w:snapToGrid w:val="0"/>
        <w:spacing w:line="578" w:lineRule="exact"/>
        <w:ind w:firstLine="640" w:firstLineChars="200"/>
        <w:rPr>
          <w:rFonts w:ascii="Times New Roman" w:hAnsi="Times New Roman" w:eastAsia="仿宋_GB2312" w:cs="Times New Roman"/>
          <w:sz w:val="32"/>
          <w:szCs w:val="32"/>
          <w:highlight w:val="red"/>
        </w:rPr>
      </w:pPr>
      <w:r>
        <w:rPr>
          <w:rFonts w:hint="eastAsia" w:ascii="楷体_GB2312" w:hAnsi="楷体_GB2312" w:eastAsia="楷体_GB2312" w:cs="楷体_GB2312"/>
          <w:sz w:val="32"/>
          <w:szCs w:val="32"/>
        </w:rPr>
        <w:t>4.项目结果。</w:t>
      </w:r>
      <w:r>
        <w:rPr>
          <w:rFonts w:hint="eastAsia" w:ascii="仿宋_GB2312" w:hAnsi="仿宋_GB2312" w:eastAsia="仿宋_GB2312" w:cs="仿宋_GB2312"/>
          <w:sz w:val="32"/>
          <w:szCs w:val="32"/>
        </w:rPr>
        <w:t>项目如期、圆满完成。通过发放画册宣传、实地调研考察、现场推介等，我市及生态产品知名度提升，达到了预期目标，实施结果与绩效目标相匹配。绩效分析得分9分。</w:t>
      </w:r>
    </w:p>
    <w:p w14:paraId="1DC653EE">
      <w:pPr>
        <w:spacing w:line="578" w:lineRule="exact"/>
        <w:ind w:firstLine="643" w:firstLineChars="200"/>
        <w:rPr>
          <w:rFonts w:ascii="Times New Roman" w:hAnsi="Times New Roman" w:eastAsia="楷体_GB2312" w:cs="Times New Roman"/>
          <w:b/>
          <w:bCs/>
          <w:color w:val="000000"/>
          <w:kern w:val="0"/>
          <w:sz w:val="32"/>
          <w:szCs w:val="32"/>
          <w:shd w:val="clear" w:color="auto" w:fill="FFFFFF"/>
          <w:lang w:val="zh-CN"/>
        </w:rPr>
      </w:pPr>
      <w:r>
        <w:rPr>
          <w:rFonts w:hint="eastAsia" w:ascii="楷体_GB2312" w:hAnsi="宋体" w:eastAsia="楷体_GB2312" w:cs="Times New Roman"/>
          <w:b/>
          <w:sz w:val="32"/>
          <w:szCs w:val="32"/>
          <w:lang w:val="zh-CN"/>
        </w:rPr>
        <w:t>（二）</w:t>
      </w:r>
      <w:r>
        <w:rPr>
          <w:rFonts w:hint="eastAsia" w:ascii="楷体_GB2312" w:hAnsi="宋体" w:eastAsia="楷体_GB2312" w:cs="Times New Roman"/>
          <w:b/>
          <w:sz w:val="32"/>
          <w:szCs w:val="32"/>
        </w:rPr>
        <w:t>专用指标</w:t>
      </w:r>
      <w:r>
        <w:rPr>
          <w:rFonts w:ascii="Times New Roman" w:hAnsi="Times New Roman" w:eastAsia="楷体_GB2312" w:cs="Times New Roman"/>
          <w:b/>
          <w:bCs/>
          <w:color w:val="000000"/>
          <w:kern w:val="0"/>
          <w:sz w:val="32"/>
          <w:szCs w:val="32"/>
          <w:shd w:val="clear" w:color="auto" w:fill="FFFFFF"/>
          <w:lang w:val="zh-CN"/>
        </w:rPr>
        <w:t>绩效分析。</w:t>
      </w:r>
    </w:p>
    <w:p w14:paraId="340BC837">
      <w:pPr>
        <w:adjustRightInd w:val="0"/>
        <w:snapToGrid w:val="0"/>
        <w:spacing w:line="578" w:lineRule="exact"/>
        <w:ind w:firstLine="640" w:firstLineChars="200"/>
        <w:rPr>
          <w:rFonts w:ascii="楷体_GB2312" w:hAnsi="楷体_GB2312" w:eastAsia="楷体_GB2312" w:cs="楷体_GB2312"/>
          <w:color w:val="FF0000"/>
          <w:sz w:val="32"/>
          <w:szCs w:val="32"/>
        </w:rPr>
      </w:pPr>
      <w:r>
        <w:rPr>
          <w:rFonts w:hint="eastAsia" w:ascii="楷体_GB2312" w:hAnsi="楷体_GB2312" w:eastAsia="楷体_GB2312" w:cs="楷体_GB2312"/>
          <w:sz w:val="32"/>
          <w:szCs w:val="32"/>
        </w:rPr>
        <w:t>1.产业发展。</w:t>
      </w:r>
      <w:r>
        <w:rPr>
          <w:rFonts w:hint="eastAsia" w:ascii="仿宋_GB2312" w:hAnsi="仿宋_GB2312" w:eastAsia="仿宋_GB2312" w:cs="仿宋_GB2312"/>
          <w:sz w:val="32"/>
          <w:szCs w:val="32"/>
        </w:rPr>
        <w:t>习近平总书记在2023年7月全国环保大会上讲到“拓宽绿水青山转化金山银山的路径”。加快完善生态产品价值实现机制，是发展新质生产力的重要抓手，有利于推动形成以绿色为底色的经济发展方式和经济结构；是促进经济社会发展全面绿色转型的重要方向，致力于打通绿水青山与金山银山的转化通道</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符合新质生产力要求；是推动区域协调发展的重要举措，能够加快塑造宜水则水、宜山则山，宜粮则粮、宜农则农，宜工则工、宜商则商的区域协调发展新格局；是实现共同富裕的重要路径，发挥生态优势就地就近致富，形成良性发展机制，让生态优势源源不断转化为发展优势。绩效分析得分30分。</w:t>
      </w:r>
    </w:p>
    <w:p w14:paraId="206677FE">
      <w:pPr>
        <w:adjustRightInd w:val="0"/>
        <w:snapToGrid w:val="0"/>
        <w:spacing w:line="578" w:lineRule="exact"/>
        <w:ind w:firstLine="643" w:firstLineChars="200"/>
        <w:rPr>
          <w:rFonts w:ascii="Times New Roman" w:hAnsi="Times New Roman" w:eastAsia="仿宋_GB2312" w:cs="Times New Roman"/>
          <w:sz w:val="32"/>
          <w:szCs w:val="32"/>
        </w:rPr>
      </w:pPr>
      <w:r>
        <w:rPr>
          <w:rFonts w:hint="eastAsia" w:ascii="楷体_GB2312" w:hAnsi="宋体" w:eastAsia="楷体_GB2312" w:cs="Times New Roman"/>
          <w:b/>
          <w:sz w:val="32"/>
          <w:szCs w:val="32"/>
          <w:lang w:val="zh-CN"/>
        </w:rPr>
        <w:t>（三）</w:t>
      </w:r>
      <w:r>
        <w:rPr>
          <w:rFonts w:hint="eastAsia" w:ascii="楷体_GB2312" w:hAnsi="宋体" w:eastAsia="楷体_GB2312" w:cs="Times New Roman"/>
          <w:b/>
          <w:sz w:val="32"/>
          <w:szCs w:val="32"/>
        </w:rPr>
        <w:t>个性指标</w:t>
      </w:r>
      <w:r>
        <w:rPr>
          <w:rFonts w:ascii="Times New Roman" w:hAnsi="Times New Roman" w:eastAsia="楷体_GB2312" w:cs="Times New Roman"/>
          <w:b/>
          <w:bCs/>
          <w:color w:val="000000"/>
          <w:kern w:val="0"/>
          <w:sz w:val="32"/>
          <w:szCs w:val="32"/>
          <w:shd w:val="clear" w:color="auto" w:fill="FFFFFF"/>
          <w:lang w:val="zh-CN"/>
        </w:rPr>
        <w:t>绩效分析。</w:t>
      </w:r>
      <w:r>
        <w:rPr>
          <w:rFonts w:hint="eastAsia" w:ascii="仿宋_GB2312" w:hAnsi="仿宋_GB2312" w:eastAsia="仿宋_GB2312" w:cs="仿宋_GB2312"/>
          <w:sz w:val="32"/>
          <w:szCs w:val="32"/>
        </w:rPr>
        <w:t>我市在现场会作经验交流发言，现场会情况和广元推进生态产品价值实现经验被人民网、中国改革报、中宏网、川观新闻等各大媒体宣传报道。国家推长办印发工作简报推广《四川省广元市多元探索生态产品价值实现路径》。国家、省发展改革委领导对我市生态产品价值实现机制试点工作提出建议和指导，为我市下步工作指明方向。通过多角度全方位系列宣传，我市生态产品市场影响力逐步提升，广元试点工作知名度大大提高，为我市争创国家级生态产品价值实现机制试点打下坚实基础。绩效分析得分16分。</w:t>
      </w:r>
    </w:p>
    <w:p w14:paraId="33C884D0">
      <w:pPr>
        <w:widowControl/>
        <w:tabs>
          <w:tab w:val="left" w:pos="2160"/>
        </w:tabs>
        <w:spacing w:line="600" w:lineRule="exact"/>
        <w:ind w:firstLine="640" w:firstLineChars="200"/>
        <w:jc w:val="left"/>
        <w:rPr>
          <w:rFonts w:ascii="黑体" w:hAnsi="宋体" w:eastAsia="黑体" w:cs="Times New Roman"/>
          <w:kern w:val="0"/>
          <w:position w:val="3"/>
          <w:sz w:val="32"/>
          <w:szCs w:val="32"/>
          <w:lang w:val="en-US" w:eastAsia="zh-CN" w:bidi="ar-SA"/>
        </w:rPr>
      </w:pPr>
      <w:r>
        <w:rPr>
          <w:rFonts w:hint="eastAsia" w:ascii="黑体" w:hAnsi="宋体" w:eastAsia="黑体" w:cs="Times New Roman"/>
          <w:kern w:val="0"/>
          <w:position w:val="3"/>
          <w:sz w:val="32"/>
          <w:szCs w:val="32"/>
          <w:lang w:val="en-US" w:eastAsia="zh-CN" w:bidi="ar-SA"/>
        </w:rPr>
        <w:t>四、评价结论</w:t>
      </w:r>
    </w:p>
    <w:p w14:paraId="39A560F8">
      <w:pPr>
        <w:adjustRightInd w:val="0"/>
        <w:snapToGrid w:val="0"/>
        <w:spacing w:line="576" w:lineRule="exact"/>
        <w:ind w:firstLine="720"/>
        <w:rPr>
          <w:rFonts w:ascii="黑体" w:hAnsi="黑体" w:eastAsia="仿宋_GB2312" w:cs="黑体"/>
          <w:sz w:val="32"/>
          <w:szCs w:val="32"/>
        </w:rPr>
      </w:pPr>
      <w:r>
        <w:rPr>
          <w:rFonts w:hint="eastAsia" w:ascii="仿宋_GB2312" w:hAnsi="仿宋_GB2312" w:eastAsia="仿宋_GB2312" w:cs="仿宋_GB2312"/>
          <w:sz w:val="32"/>
          <w:szCs w:val="32"/>
        </w:rPr>
        <w:t>项目从提出申请、到会议结束，历时超过3个月。四川省首次生态产品价值实现机制试点经验交流现场会在广元市成功召开。作为全省两个生态产品价值实现机制试点地级市之一，我市作典型经验交流。同步组织与会嘉宾前往广元经济技术开发区四川中方制药公司、四川君安天源精酿啤酒有限公司、昭化区生态产品电商物流产业园等现场调研。通过实地调研、部分宣传片等，加深嘉宾对我市生态产品价值实现机制试点工作推进成效的更直观感受，提升了我市生态产品和生态产品价值实现机制试点工作知名度，助力我市生态产品溢价增值，提高品牌影响力，带来良好的社会效益、生态效益和经济效益。绩效分析评分100分。</w:t>
      </w:r>
    </w:p>
    <w:p w14:paraId="2726CBAA">
      <w:pPr>
        <w:widowControl/>
        <w:tabs>
          <w:tab w:val="left" w:pos="2160"/>
        </w:tabs>
        <w:spacing w:line="600" w:lineRule="exact"/>
        <w:ind w:firstLine="640" w:firstLineChars="200"/>
        <w:jc w:val="left"/>
        <w:rPr>
          <w:rFonts w:ascii="黑体" w:hAnsi="宋体" w:eastAsia="黑体" w:cs="Times New Roman"/>
          <w:kern w:val="0"/>
          <w:position w:val="3"/>
          <w:sz w:val="32"/>
          <w:szCs w:val="32"/>
          <w:lang w:val="en-US" w:eastAsia="zh-CN" w:bidi="ar-SA"/>
        </w:rPr>
      </w:pPr>
      <w:r>
        <w:rPr>
          <w:rFonts w:hint="eastAsia" w:ascii="黑体" w:hAnsi="宋体" w:eastAsia="黑体" w:cs="Times New Roman"/>
          <w:kern w:val="0"/>
          <w:position w:val="3"/>
          <w:sz w:val="32"/>
          <w:szCs w:val="32"/>
          <w:lang w:val="en-US" w:eastAsia="zh-CN" w:bidi="ar-SA"/>
        </w:rPr>
        <w:t>五、存在主要问题</w:t>
      </w:r>
    </w:p>
    <w:p w14:paraId="0D6C3B06">
      <w:pPr>
        <w:widowControl/>
        <w:tabs>
          <w:tab w:val="left" w:pos="2160"/>
        </w:tabs>
        <w:spacing w:line="600" w:lineRule="exact"/>
        <w:ind w:firstLine="640" w:firstLineChars="200"/>
        <w:jc w:val="left"/>
        <w:rPr>
          <w:rFonts w:ascii="仿宋_GB2312" w:hAnsi="仿宋_GB2312" w:eastAsia="仿宋_GB2312" w:cs="仿宋_GB2312"/>
          <w:kern w:val="0"/>
          <w:position w:val="0"/>
          <w:sz w:val="32"/>
          <w:szCs w:val="32"/>
          <w:lang w:val="en-US" w:eastAsia="zh-CN" w:bidi="ar-SA"/>
        </w:rPr>
      </w:pPr>
      <w:r>
        <w:rPr>
          <w:rFonts w:hint="eastAsia" w:ascii="仿宋_GB2312" w:hAnsi="仿宋_GB2312" w:eastAsia="仿宋_GB2312" w:cs="仿宋_GB2312"/>
          <w:kern w:val="0"/>
          <w:position w:val="0"/>
          <w:sz w:val="32"/>
          <w:szCs w:val="32"/>
          <w:lang w:val="en-US" w:eastAsia="zh-CN" w:bidi="ar-SA"/>
        </w:rPr>
        <w:t>无。</w:t>
      </w:r>
    </w:p>
    <w:p w14:paraId="3C25D5D2">
      <w:pPr>
        <w:widowControl/>
        <w:tabs>
          <w:tab w:val="left" w:pos="2160"/>
        </w:tabs>
        <w:spacing w:line="600" w:lineRule="exact"/>
        <w:ind w:firstLine="640" w:firstLineChars="200"/>
        <w:jc w:val="left"/>
        <w:rPr>
          <w:rFonts w:ascii="黑体" w:hAnsi="宋体" w:eastAsia="黑体" w:cs="Times New Roman"/>
          <w:kern w:val="0"/>
          <w:position w:val="3"/>
          <w:sz w:val="32"/>
          <w:szCs w:val="32"/>
          <w:lang w:val="zh-CN" w:eastAsia="zh-CN" w:bidi="ar-SA"/>
        </w:rPr>
      </w:pPr>
      <w:r>
        <w:rPr>
          <w:rFonts w:hint="eastAsia" w:ascii="黑体" w:hAnsi="宋体" w:eastAsia="黑体" w:cs="Times New Roman"/>
          <w:kern w:val="0"/>
          <w:position w:val="3"/>
          <w:sz w:val="32"/>
          <w:szCs w:val="32"/>
          <w:lang w:val="zh-CN" w:eastAsia="zh-CN" w:bidi="ar-SA"/>
        </w:rPr>
        <w:t>六、改进建议</w:t>
      </w:r>
    </w:p>
    <w:p w14:paraId="6C9B26C0">
      <w:pPr>
        <w:tabs>
          <w:tab w:val="left" w:pos="1911"/>
        </w:tabs>
        <w:ind w:firstLine="640"/>
        <w:jc w:val="left"/>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rPr>
        <w:t>无。</w:t>
      </w:r>
    </w:p>
    <w:p w14:paraId="11EB3AAB">
      <w:pPr>
        <w:keepNext/>
        <w:keepLines/>
        <w:widowControl w:val="0"/>
        <w:spacing w:before="280" w:after="156" w:line="377" w:lineRule="auto"/>
        <w:outlineLvl w:val="4"/>
        <w:rPr>
          <w:rFonts w:ascii="Arial" w:hAnsi="Arial" w:eastAsia="黑体" w:cs="Times New Roman"/>
          <w:b/>
          <w:kern w:val="2"/>
          <w:sz w:val="24"/>
          <w:szCs w:val="28"/>
          <w:lang w:val="en-US" w:eastAsia="zh-CN" w:bidi="ar-SA"/>
        </w:rPr>
      </w:pPr>
    </w:p>
    <w:p w14:paraId="28961E02">
      <w:pPr>
        <w:snapToGrid w:val="0"/>
        <w:spacing w:line="578" w:lineRule="exact"/>
        <w:ind w:firstLine="640" w:firstLineChars="200"/>
        <w:rPr>
          <w:rFonts w:ascii="Times New Roman" w:hAnsi="Times New Roman" w:eastAsia="仿宋_GB2312" w:cs="Times New Roman"/>
          <w:color w:val="000000"/>
          <w:kern w:val="0"/>
          <w:sz w:val="32"/>
          <w:szCs w:val="32"/>
          <w:shd w:val="clear" w:color="auto" w:fill="FFFFFF"/>
        </w:rPr>
      </w:pPr>
      <w:r>
        <w:rPr>
          <w:rFonts w:hint="eastAsia" w:ascii="Times New Roman" w:hAnsi="Times New Roman" w:eastAsia="仿宋_GB2312" w:cs="Times New Roman"/>
          <w:color w:val="000000"/>
          <w:kern w:val="0"/>
          <w:sz w:val="32"/>
          <w:szCs w:val="32"/>
          <w:shd w:val="clear" w:color="auto" w:fill="FFFFFF"/>
        </w:rPr>
        <w:t>附表：1.项目资金分配涉及所有点位自评得分情况表</w:t>
      </w:r>
    </w:p>
    <w:p w14:paraId="0C5BA945">
      <w:pPr>
        <w:snapToGrid w:val="0"/>
        <w:spacing w:line="578" w:lineRule="exact"/>
        <w:ind w:firstLine="1600" w:firstLineChars="500"/>
        <w:rPr>
          <w:rFonts w:ascii="Times New Roman" w:hAnsi="Times New Roman" w:eastAsia="仿宋_GB2312" w:cs="Times New Roman"/>
          <w:color w:val="000000"/>
          <w:kern w:val="0"/>
          <w:sz w:val="32"/>
          <w:szCs w:val="32"/>
          <w:shd w:val="clear" w:color="auto" w:fill="FFFFFF"/>
        </w:rPr>
      </w:pPr>
      <w:r>
        <w:rPr>
          <w:rFonts w:hint="eastAsia" w:ascii="Times New Roman" w:hAnsi="Times New Roman" w:eastAsia="仿宋_GB2312" w:cs="Times New Roman"/>
          <w:color w:val="000000"/>
          <w:kern w:val="0"/>
          <w:sz w:val="32"/>
          <w:szCs w:val="32"/>
          <w:shd w:val="clear" w:color="auto" w:fill="FFFFFF"/>
        </w:rPr>
        <w:t>2.专项预算项目绩效目标完成情况自评表</w:t>
      </w:r>
    </w:p>
    <w:p w14:paraId="0BF47AA4">
      <w:pPr>
        <w:rPr>
          <w:rFonts w:ascii="Times New Roman" w:hAnsi="Times New Roman" w:eastAsia="仿宋_GB2312" w:cs="Times New Roman"/>
          <w:color w:val="000000"/>
          <w:kern w:val="0"/>
          <w:sz w:val="32"/>
          <w:szCs w:val="32"/>
          <w:shd w:val="clear" w:color="auto" w:fill="FFFFFF"/>
        </w:rPr>
      </w:pPr>
      <w:r>
        <w:rPr>
          <w:rFonts w:hint="eastAsia" w:ascii="Times New Roman" w:hAnsi="Times New Roman" w:eastAsia="仿宋_GB2312" w:cs="Times New Roman"/>
          <w:color w:val="000000"/>
          <w:kern w:val="0"/>
          <w:sz w:val="32"/>
          <w:szCs w:val="32"/>
          <w:shd w:val="clear" w:color="auto" w:fill="FFFFFF"/>
        </w:rPr>
        <w:br w:type="page"/>
      </w:r>
    </w:p>
    <w:p w14:paraId="2856C3F0">
      <w:pPr>
        <w:snapToGrid w:val="0"/>
        <w:spacing w:line="576" w:lineRule="exact"/>
        <w:ind w:firstLine="640" w:firstLineChars="200"/>
        <w:rPr>
          <w:rFonts w:ascii="Times New Roman" w:hAnsi="Times New Roman" w:eastAsia="仿宋_GB2312" w:cs="Times New Roman"/>
          <w:color w:val="000000"/>
          <w:kern w:val="0"/>
          <w:sz w:val="32"/>
          <w:szCs w:val="32"/>
          <w:shd w:val="clear" w:color="auto" w:fill="FFFFFF"/>
          <w:lang w:val="zh-CN"/>
        </w:rPr>
      </w:pPr>
      <w:r>
        <w:rPr>
          <w:rFonts w:hint="eastAsia" w:ascii="黑体" w:hAnsi="黑体" w:eastAsia="黑体" w:cs="黑体"/>
          <w:kern w:val="0"/>
          <w:sz w:val="32"/>
          <w:szCs w:val="32"/>
          <w:shd w:val="clear" w:color="auto" w:fill="FFFFFF"/>
          <w:lang w:val="zh-CN"/>
        </w:rPr>
        <w:t>附表</w:t>
      </w:r>
      <w:r>
        <w:rPr>
          <w:rFonts w:hint="eastAsia" w:ascii="黑体" w:hAnsi="黑体" w:eastAsia="黑体" w:cs="黑体"/>
          <w:kern w:val="0"/>
          <w:sz w:val="32"/>
          <w:szCs w:val="32"/>
          <w:shd w:val="clear" w:color="auto" w:fill="FFFFFF"/>
        </w:rPr>
        <w:t>1</w:t>
      </w:r>
    </w:p>
    <w:p w14:paraId="6A0BAD75">
      <w:pPr>
        <w:spacing w:line="576" w:lineRule="exact"/>
        <w:jc w:val="center"/>
        <w:rPr>
          <w:rFonts w:ascii="方正小标宋_GBK" w:hAnsi="方正小标宋_GBK" w:eastAsia="方正小标宋_GBK" w:cs="方正小标宋_GBK"/>
          <w:sz w:val="40"/>
          <w:szCs w:val="40"/>
        </w:rPr>
      </w:pPr>
      <w:r>
        <w:rPr>
          <w:rFonts w:hint="eastAsia" w:ascii="方正小标宋_GBK" w:hAnsi="方正小标宋_GBK" w:eastAsia="方正小标宋_GBK" w:cs="方正小标宋_GBK"/>
          <w:sz w:val="40"/>
          <w:szCs w:val="40"/>
        </w:rPr>
        <w:t>项目资金分配涉及所有点位自评得分情况表</w:t>
      </w:r>
    </w:p>
    <w:tbl>
      <w:tblPr>
        <w:tblStyle w:val="21"/>
        <w:tblW w:w="88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23"/>
        <w:gridCol w:w="3843"/>
        <w:gridCol w:w="2861"/>
        <w:gridCol w:w="993"/>
      </w:tblGrid>
      <w:tr w14:paraId="795C7B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3" w:hRule="exact"/>
          <w:jc w:val="center"/>
        </w:trPr>
        <w:tc>
          <w:tcPr>
            <w:tcW w:w="1123" w:type="dxa"/>
          </w:tcPr>
          <w:p w14:paraId="1082ED4E">
            <w:pPr>
              <w:keepNext w:val="0"/>
              <w:keepLines w:val="0"/>
              <w:suppressLineNumbers w:val="0"/>
              <w:spacing w:before="0" w:beforeAutospacing="0" w:after="0" w:afterAutospacing="0" w:line="576" w:lineRule="exact"/>
              <w:ind w:left="640" w:right="0" w:firstLine="480"/>
              <w:jc w:val="center"/>
              <w:rPr>
                <w:rFonts w:hint="default" w:ascii="黑体" w:hAnsi="黑体" w:eastAsia="黑体" w:cs="黑体"/>
                <w:sz w:val="24"/>
                <w:szCs w:val="24"/>
              </w:rPr>
            </w:pPr>
            <w:r>
              <w:rPr>
                <w:rFonts w:hint="eastAsia" w:ascii="黑体" w:hAnsi="黑体" w:eastAsia="黑体" w:cs="黑体"/>
                <w:sz w:val="24"/>
                <w:szCs w:val="24"/>
              </w:rPr>
              <w:t>序号</w:t>
            </w:r>
          </w:p>
        </w:tc>
        <w:tc>
          <w:tcPr>
            <w:tcW w:w="3843" w:type="dxa"/>
          </w:tcPr>
          <w:p w14:paraId="424A4C8F">
            <w:pPr>
              <w:keepNext w:val="0"/>
              <w:keepLines w:val="0"/>
              <w:suppressLineNumbers w:val="0"/>
              <w:spacing w:before="0" w:beforeAutospacing="0" w:after="0" w:afterAutospacing="0" w:line="576" w:lineRule="exact"/>
              <w:ind w:left="640" w:right="0" w:firstLine="480"/>
              <w:jc w:val="center"/>
              <w:rPr>
                <w:rFonts w:hint="default" w:ascii="黑体" w:hAnsi="黑体" w:eastAsia="黑体" w:cs="黑体"/>
                <w:sz w:val="24"/>
                <w:szCs w:val="24"/>
              </w:rPr>
            </w:pPr>
            <w:r>
              <w:rPr>
                <w:rFonts w:hint="eastAsia" w:ascii="黑体" w:hAnsi="黑体" w:eastAsia="黑体" w:cs="黑体"/>
                <w:sz w:val="24"/>
                <w:szCs w:val="24"/>
              </w:rPr>
              <w:t>项目资金末端分配点位</w:t>
            </w:r>
          </w:p>
        </w:tc>
        <w:tc>
          <w:tcPr>
            <w:tcW w:w="2861" w:type="dxa"/>
          </w:tcPr>
          <w:p w14:paraId="184DFB02">
            <w:pPr>
              <w:keepNext w:val="0"/>
              <w:keepLines w:val="0"/>
              <w:suppressLineNumbers w:val="0"/>
              <w:spacing w:before="0" w:beforeAutospacing="0" w:after="0" w:afterAutospacing="0" w:line="576" w:lineRule="exact"/>
              <w:ind w:left="640" w:right="0" w:firstLine="480"/>
              <w:jc w:val="center"/>
              <w:rPr>
                <w:rFonts w:hint="default" w:ascii="黑体" w:hAnsi="黑体" w:eastAsia="黑体" w:cs="黑体"/>
                <w:sz w:val="24"/>
                <w:szCs w:val="24"/>
              </w:rPr>
            </w:pPr>
            <w:r>
              <w:rPr>
                <w:rFonts w:hint="eastAsia" w:ascii="黑体" w:hAnsi="黑体" w:eastAsia="黑体" w:cs="黑体"/>
                <w:sz w:val="24"/>
                <w:szCs w:val="24"/>
              </w:rPr>
              <w:t>自评得分（百分制）</w:t>
            </w:r>
          </w:p>
        </w:tc>
        <w:tc>
          <w:tcPr>
            <w:tcW w:w="993" w:type="dxa"/>
          </w:tcPr>
          <w:p w14:paraId="557950B8">
            <w:pPr>
              <w:keepNext w:val="0"/>
              <w:keepLines w:val="0"/>
              <w:suppressLineNumbers w:val="0"/>
              <w:spacing w:before="0" w:beforeAutospacing="0" w:after="0" w:afterAutospacing="0" w:line="576" w:lineRule="exact"/>
              <w:ind w:left="640" w:right="0" w:firstLine="480"/>
              <w:jc w:val="center"/>
              <w:rPr>
                <w:rFonts w:hint="default" w:ascii="黑体" w:hAnsi="黑体" w:eastAsia="黑体" w:cs="黑体"/>
                <w:sz w:val="24"/>
                <w:szCs w:val="24"/>
              </w:rPr>
            </w:pPr>
            <w:r>
              <w:rPr>
                <w:rFonts w:hint="eastAsia" w:ascii="黑体" w:hAnsi="黑体" w:eastAsia="黑体" w:cs="黑体"/>
                <w:sz w:val="24"/>
                <w:szCs w:val="24"/>
              </w:rPr>
              <w:t>备注</w:t>
            </w:r>
          </w:p>
        </w:tc>
      </w:tr>
      <w:tr w14:paraId="2E9830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7" w:hRule="exact"/>
          <w:jc w:val="center"/>
        </w:trPr>
        <w:tc>
          <w:tcPr>
            <w:tcW w:w="1123" w:type="dxa"/>
          </w:tcPr>
          <w:p w14:paraId="72AF1D7E">
            <w:pPr>
              <w:keepNext w:val="0"/>
              <w:keepLines w:val="0"/>
              <w:suppressLineNumbers w:val="0"/>
              <w:spacing w:before="0" w:beforeAutospacing="0" w:after="0" w:afterAutospacing="0" w:line="576" w:lineRule="exact"/>
              <w:ind w:left="640" w:right="0" w:firstLine="480"/>
              <w:rPr>
                <w:rFonts w:hint="default" w:ascii="宋体" w:hAnsi="宋体" w:eastAsia="宋体" w:cs="宋体"/>
                <w:sz w:val="24"/>
                <w:szCs w:val="24"/>
              </w:rPr>
            </w:pPr>
          </w:p>
        </w:tc>
        <w:tc>
          <w:tcPr>
            <w:tcW w:w="3843" w:type="dxa"/>
          </w:tcPr>
          <w:p w14:paraId="0B5FA4DC">
            <w:pPr>
              <w:keepNext w:val="0"/>
              <w:keepLines w:val="0"/>
              <w:suppressLineNumbers w:val="0"/>
              <w:spacing w:before="0" w:beforeAutospacing="0" w:after="0" w:afterAutospacing="0" w:line="576" w:lineRule="exact"/>
              <w:ind w:left="640" w:right="0" w:firstLine="480"/>
              <w:rPr>
                <w:rFonts w:hint="default" w:ascii="宋体" w:hAnsi="宋体" w:eastAsia="仿宋_GB2312" w:cs="宋体"/>
                <w:sz w:val="24"/>
                <w:szCs w:val="24"/>
              </w:rPr>
            </w:pPr>
          </w:p>
        </w:tc>
        <w:tc>
          <w:tcPr>
            <w:tcW w:w="2861" w:type="dxa"/>
          </w:tcPr>
          <w:p w14:paraId="58A7B1D1">
            <w:pPr>
              <w:keepNext w:val="0"/>
              <w:keepLines w:val="0"/>
              <w:suppressLineNumbers w:val="0"/>
              <w:spacing w:before="0" w:beforeAutospacing="0" w:after="0" w:afterAutospacing="0" w:line="576" w:lineRule="exact"/>
              <w:ind w:left="640" w:right="0" w:firstLine="480"/>
              <w:rPr>
                <w:rFonts w:hint="default" w:ascii="宋体" w:hAnsi="宋体" w:eastAsia="仿宋_GB2312" w:cs="宋体"/>
                <w:sz w:val="24"/>
                <w:szCs w:val="24"/>
              </w:rPr>
            </w:pPr>
          </w:p>
        </w:tc>
        <w:tc>
          <w:tcPr>
            <w:tcW w:w="993" w:type="dxa"/>
          </w:tcPr>
          <w:p w14:paraId="4A91DD27">
            <w:pPr>
              <w:keepNext w:val="0"/>
              <w:keepLines w:val="0"/>
              <w:suppressLineNumbers w:val="0"/>
              <w:spacing w:before="0" w:beforeAutospacing="0" w:after="0" w:afterAutospacing="0" w:line="576" w:lineRule="exact"/>
              <w:ind w:left="640" w:right="0" w:firstLine="480"/>
              <w:rPr>
                <w:rFonts w:hint="default" w:ascii="宋体" w:hAnsi="宋体" w:eastAsia="仿宋_GB2312" w:cs="宋体"/>
                <w:sz w:val="24"/>
                <w:szCs w:val="24"/>
              </w:rPr>
            </w:pPr>
          </w:p>
        </w:tc>
      </w:tr>
      <w:tr w14:paraId="216371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tcPr>
          <w:p w14:paraId="3CC4377E">
            <w:pPr>
              <w:keepNext w:val="0"/>
              <w:keepLines w:val="0"/>
              <w:suppressLineNumbers w:val="0"/>
              <w:spacing w:before="0" w:beforeAutospacing="0" w:after="0" w:afterAutospacing="0" w:line="576" w:lineRule="exact"/>
              <w:ind w:left="640" w:right="0" w:firstLine="480"/>
              <w:jc w:val="center"/>
              <w:rPr>
                <w:rFonts w:hint="default" w:ascii="宋体" w:hAnsi="宋体" w:eastAsia="宋体" w:cs="宋体"/>
                <w:sz w:val="24"/>
                <w:szCs w:val="24"/>
              </w:rPr>
            </w:pPr>
            <w:r>
              <w:rPr>
                <w:rFonts w:hint="eastAsia" w:ascii="宋体" w:hAnsi="宋体" w:eastAsia="宋体" w:cs="宋体"/>
                <w:sz w:val="24"/>
                <w:szCs w:val="24"/>
              </w:rPr>
              <w:t>2</w:t>
            </w:r>
          </w:p>
        </w:tc>
        <w:tc>
          <w:tcPr>
            <w:tcW w:w="3843" w:type="dxa"/>
          </w:tcPr>
          <w:p w14:paraId="112BBE32">
            <w:pPr>
              <w:keepNext w:val="0"/>
              <w:keepLines w:val="0"/>
              <w:suppressLineNumbers w:val="0"/>
              <w:spacing w:before="0" w:beforeAutospacing="0" w:after="0" w:afterAutospacing="0" w:line="576" w:lineRule="exact"/>
              <w:ind w:left="640" w:right="0" w:firstLine="480"/>
              <w:rPr>
                <w:rFonts w:hint="default" w:ascii="宋体" w:hAnsi="宋体" w:eastAsia="仿宋_GB2312" w:cs="宋体"/>
                <w:sz w:val="24"/>
                <w:szCs w:val="24"/>
              </w:rPr>
            </w:pPr>
          </w:p>
        </w:tc>
        <w:tc>
          <w:tcPr>
            <w:tcW w:w="2861" w:type="dxa"/>
          </w:tcPr>
          <w:p w14:paraId="64AA6DF0">
            <w:pPr>
              <w:keepNext w:val="0"/>
              <w:keepLines w:val="0"/>
              <w:suppressLineNumbers w:val="0"/>
              <w:spacing w:before="0" w:beforeAutospacing="0" w:after="0" w:afterAutospacing="0" w:line="576" w:lineRule="exact"/>
              <w:ind w:left="640" w:right="0" w:firstLine="480"/>
              <w:rPr>
                <w:rFonts w:hint="default" w:ascii="宋体" w:hAnsi="宋体" w:eastAsia="仿宋_GB2312" w:cs="宋体"/>
                <w:sz w:val="24"/>
                <w:szCs w:val="24"/>
              </w:rPr>
            </w:pPr>
          </w:p>
        </w:tc>
        <w:tc>
          <w:tcPr>
            <w:tcW w:w="993" w:type="dxa"/>
          </w:tcPr>
          <w:p w14:paraId="04B37A49">
            <w:pPr>
              <w:keepNext w:val="0"/>
              <w:keepLines w:val="0"/>
              <w:suppressLineNumbers w:val="0"/>
              <w:spacing w:before="0" w:beforeAutospacing="0" w:after="0" w:afterAutospacing="0" w:line="576" w:lineRule="exact"/>
              <w:ind w:left="640" w:right="0" w:firstLine="480"/>
              <w:rPr>
                <w:rFonts w:hint="default" w:ascii="宋体" w:hAnsi="宋体" w:eastAsia="仿宋_GB2312" w:cs="宋体"/>
                <w:sz w:val="24"/>
                <w:szCs w:val="24"/>
              </w:rPr>
            </w:pPr>
          </w:p>
        </w:tc>
      </w:tr>
      <w:tr w14:paraId="02F9E7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tcPr>
          <w:p w14:paraId="2DEB135F">
            <w:pPr>
              <w:keepNext w:val="0"/>
              <w:keepLines w:val="0"/>
              <w:suppressLineNumbers w:val="0"/>
              <w:spacing w:before="0" w:beforeAutospacing="0" w:after="0" w:afterAutospacing="0" w:line="576" w:lineRule="exact"/>
              <w:ind w:left="640" w:right="0" w:firstLine="480"/>
              <w:jc w:val="center"/>
              <w:rPr>
                <w:rFonts w:hint="default" w:ascii="宋体" w:hAnsi="宋体" w:eastAsia="宋体" w:cs="宋体"/>
                <w:sz w:val="24"/>
                <w:szCs w:val="24"/>
              </w:rPr>
            </w:pPr>
            <w:r>
              <w:rPr>
                <w:rFonts w:hint="eastAsia" w:ascii="宋体" w:hAnsi="宋体" w:eastAsia="宋体" w:cs="宋体"/>
                <w:sz w:val="24"/>
                <w:szCs w:val="24"/>
              </w:rPr>
              <w:t>3</w:t>
            </w:r>
          </w:p>
        </w:tc>
        <w:tc>
          <w:tcPr>
            <w:tcW w:w="3843" w:type="dxa"/>
          </w:tcPr>
          <w:p w14:paraId="3EEFBB7C">
            <w:pPr>
              <w:keepNext w:val="0"/>
              <w:keepLines w:val="0"/>
              <w:suppressLineNumbers w:val="0"/>
              <w:spacing w:before="0" w:beforeAutospacing="0" w:after="0" w:afterAutospacing="0" w:line="576" w:lineRule="exact"/>
              <w:ind w:left="640" w:right="0" w:firstLine="480"/>
              <w:rPr>
                <w:rFonts w:hint="default" w:ascii="宋体" w:hAnsi="宋体" w:eastAsia="仿宋_GB2312" w:cs="宋体"/>
                <w:sz w:val="24"/>
                <w:szCs w:val="24"/>
              </w:rPr>
            </w:pPr>
          </w:p>
        </w:tc>
        <w:tc>
          <w:tcPr>
            <w:tcW w:w="2861" w:type="dxa"/>
          </w:tcPr>
          <w:p w14:paraId="7EF3188C">
            <w:pPr>
              <w:keepNext w:val="0"/>
              <w:keepLines w:val="0"/>
              <w:suppressLineNumbers w:val="0"/>
              <w:spacing w:before="0" w:beforeAutospacing="0" w:after="0" w:afterAutospacing="0" w:line="576" w:lineRule="exact"/>
              <w:ind w:left="640" w:right="0" w:firstLine="480"/>
              <w:rPr>
                <w:rFonts w:hint="default" w:ascii="宋体" w:hAnsi="宋体" w:eastAsia="仿宋_GB2312" w:cs="宋体"/>
                <w:sz w:val="24"/>
                <w:szCs w:val="24"/>
              </w:rPr>
            </w:pPr>
          </w:p>
        </w:tc>
        <w:tc>
          <w:tcPr>
            <w:tcW w:w="993" w:type="dxa"/>
          </w:tcPr>
          <w:p w14:paraId="27186BF1">
            <w:pPr>
              <w:keepNext w:val="0"/>
              <w:keepLines w:val="0"/>
              <w:suppressLineNumbers w:val="0"/>
              <w:spacing w:before="0" w:beforeAutospacing="0" w:after="0" w:afterAutospacing="0" w:line="576" w:lineRule="exact"/>
              <w:ind w:left="640" w:right="0" w:firstLine="480"/>
              <w:rPr>
                <w:rFonts w:hint="default" w:ascii="宋体" w:hAnsi="宋体" w:eastAsia="仿宋_GB2312" w:cs="宋体"/>
                <w:sz w:val="24"/>
                <w:szCs w:val="24"/>
              </w:rPr>
            </w:pPr>
          </w:p>
        </w:tc>
      </w:tr>
      <w:tr w14:paraId="2CF6BA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tcPr>
          <w:p w14:paraId="7CDDBF2F">
            <w:pPr>
              <w:keepNext w:val="0"/>
              <w:keepLines w:val="0"/>
              <w:suppressLineNumbers w:val="0"/>
              <w:spacing w:before="0" w:beforeAutospacing="0" w:after="0" w:afterAutospacing="0" w:line="576" w:lineRule="exact"/>
              <w:ind w:left="640" w:right="0" w:firstLine="480"/>
              <w:jc w:val="center"/>
              <w:rPr>
                <w:rFonts w:hint="default" w:ascii="宋体" w:hAnsi="宋体" w:eastAsia="宋体" w:cs="宋体"/>
                <w:sz w:val="24"/>
                <w:szCs w:val="24"/>
              </w:rPr>
            </w:pPr>
            <w:r>
              <w:rPr>
                <w:rFonts w:hint="eastAsia" w:ascii="宋体" w:hAnsi="宋体" w:eastAsia="宋体" w:cs="宋体"/>
                <w:sz w:val="24"/>
                <w:szCs w:val="24"/>
              </w:rPr>
              <w:t>4</w:t>
            </w:r>
          </w:p>
        </w:tc>
        <w:tc>
          <w:tcPr>
            <w:tcW w:w="3843" w:type="dxa"/>
          </w:tcPr>
          <w:p w14:paraId="637948D3">
            <w:pPr>
              <w:keepNext w:val="0"/>
              <w:keepLines w:val="0"/>
              <w:suppressLineNumbers w:val="0"/>
              <w:spacing w:before="0" w:beforeAutospacing="0" w:after="0" w:afterAutospacing="0" w:line="576" w:lineRule="exact"/>
              <w:ind w:left="640" w:right="0" w:firstLine="480"/>
              <w:rPr>
                <w:rFonts w:hint="default" w:ascii="宋体" w:hAnsi="宋体" w:eastAsia="仿宋_GB2312" w:cs="宋体"/>
                <w:sz w:val="24"/>
                <w:szCs w:val="24"/>
              </w:rPr>
            </w:pPr>
          </w:p>
        </w:tc>
        <w:tc>
          <w:tcPr>
            <w:tcW w:w="2861" w:type="dxa"/>
          </w:tcPr>
          <w:p w14:paraId="7273E72A">
            <w:pPr>
              <w:keepNext w:val="0"/>
              <w:keepLines w:val="0"/>
              <w:suppressLineNumbers w:val="0"/>
              <w:spacing w:before="0" w:beforeAutospacing="0" w:after="0" w:afterAutospacing="0" w:line="576" w:lineRule="exact"/>
              <w:ind w:left="640" w:right="0" w:firstLine="480"/>
              <w:rPr>
                <w:rFonts w:hint="default" w:ascii="宋体" w:hAnsi="宋体" w:eastAsia="仿宋_GB2312" w:cs="宋体"/>
                <w:sz w:val="24"/>
                <w:szCs w:val="24"/>
              </w:rPr>
            </w:pPr>
          </w:p>
        </w:tc>
        <w:tc>
          <w:tcPr>
            <w:tcW w:w="993" w:type="dxa"/>
          </w:tcPr>
          <w:p w14:paraId="59A160DD">
            <w:pPr>
              <w:keepNext w:val="0"/>
              <w:keepLines w:val="0"/>
              <w:suppressLineNumbers w:val="0"/>
              <w:spacing w:before="0" w:beforeAutospacing="0" w:after="0" w:afterAutospacing="0" w:line="576" w:lineRule="exact"/>
              <w:ind w:left="640" w:right="0" w:firstLine="480"/>
              <w:rPr>
                <w:rFonts w:hint="default" w:ascii="宋体" w:hAnsi="宋体" w:eastAsia="仿宋_GB2312" w:cs="宋体"/>
                <w:sz w:val="24"/>
                <w:szCs w:val="24"/>
              </w:rPr>
            </w:pPr>
          </w:p>
        </w:tc>
      </w:tr>
      <w:tr w14:paraId="4F5063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tcPr>
          <w:p w14:paraId="294DEDA9">
            <w:pPr>
              <w:keepNext w:val="0"/>
              <w:keepLines w:val="0"/>
              <w:suppressLineNumbers w:val="0"/>
              <w:spacing w:before="0" w:beforeAutospacing="0" w:after="0" w:afterAutospacing="0" w:line="576" w:lineRule="exact"/>
              <w:ind w:left="640" w:right="0" w:firstLine="480"/>
              <w:jc w:val="center"/>
              <w:rPr>
                <w:rFonts w:hint="default" w:ascii="宋体" w:hAnsi="宋体" w:eastAsia="宋体" w:cs="宋体"/>
                <w:sz w:val="24"/>
                <w:szCs w:val="24"/>
              </w:rPr>
            </w:pPr>
            <w:r>
              <w:rPr>
                <w:rFonts w:hint="eastAsia" w:ascii="宋体" w:hAnsi="宋体" w:eastAsia="宋体" w:cs="宋体"/>
                <w:sz w:val="24"/>
                <w:szCs w:val="24"/>
              </w:rPr>
              <w:t>5</w:t>
            </w:r>
          </w:p>
        </w:tc>
        <w:tc>
          <w:tcPr>
            <w:tcW w:w="3843" w:type="dxa"/>
          </w:tcPr>
          <w:p w14:paraId="63FE4F46">
            <w:pPr>
              <w:keepNext w:val="0"/>
              <w:keepLines w:val="0"/>
              <w:suppressLineNumbers w:val="0"/>
              <w:spacing w:before="0" w:beforeAutospacing="0" w:after="0" w:afterAutospacing="0" w:line="576" w:lineRule="exact"/>
              <w:ind w:left="640" w:right="0" w:firstLine="480"/>
              <w:rPr>
                <w:rFonts w:hint="default" w:ascii="宋体" w:hAnsi="宋体" w:eastAsia="仿宋_GB2312" w:cs="宋体"/>
                <w:sz w:val="24"/>
                <w:szCs w:val="24"/>
              </w:rPr>
            </w:pPr>
          </w:p>
        </w:tc>
        <w:tc>
          <w:tcPr>
            <w:tcW w:w="2861" w:type="dxa"/>
          </w:tcPr>
          <w:p w14:paraId="4D8143F1">
            <w:pPr>
              <w:keepNext w:val="0"/>
              <w:keepLines w:val="0"/>
              <w:suppressLineNumbers w:val="0"/>
              <w:spacing w:before="0" w:beforeAutospacing="0" w:after="0" w:afterAutospacing="0" w:line="576" w:lineRule="exact"/>
              <w:ind w:left="640" w:right="0" w:firstLine="480"/>
              <w:rPr>
                <w:rFonts w:hint="default" w:ascii="宋体" w:hAnsi="宋体" w:eastAsia="仿宋_GB2312" w:cs="宋体"/>
                <w:sz w:val="24"/>
                <w:szCs w:val="24"/>
              </w:rPr>
            </w:pPr>
          </w:p>
        </w:tc>
        <w:tc>
          <w:tcPr>
            <w:tcW w:w="993" w:type="dxa"/>
          </w:tcPr>
          <w:p w14:paraId="438201BB">
            <w:pPr>
              <w:keepNext w:val="0"/>
              <w:keepLines w:val="0"/>
              <w:suppressLineNumbers w:val="0"/>
              <w:spacing w:before="0" w:beforeAutospacing="0" w:after="0" w:afterAutospacing="0" w:line="576" w:lineRule="exact"/>
              <w:ind w:left="640" w:right="0" w:firstLine="480"/>
              <w:rPr>
                <w:rFonts w:hint="default" w:ascii="宋体" w:hAnsi="宋体" w:eastAsia="仿宋_GB2312" w:cs="宋体"/>
                <w:sz w:val="24"/>
                <w:szCs w:val="24"/>
              </w:rPr>
            </w:pPr>
          </w:p>
        </w:tc>
      </w:tr>
      <w:tr w14:paraId="2BD3C5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tcPr>
          <w:p w14:paraId="7CFBFE00">
            <w:pPr>
              <w:keepNext w:val="0"/>
              <w:keepLines w:val="0"/>
              <w:suppressLineNumbers w:val="0"/>
              <w:spacing w:before="0" w:beforeAutospacing="0" w:after="0" w:afterAutospacing="0" w:line="576" w:lineRule="exact"/>
              <w:ind w:left="640" w:right="0" w:firstLine="480"/>
              <w:jc w:val="center"/>
              <w:rPr>
                <w:rFonts w:hint="default" w:ascii="宋体" w:hAnsi="宋体" w:eastAsia="宋体" w:cs="宋体"/>
                <w:sz w:val="24"/>
                <w:szCs w:val="24"/>
              </w:rPr>
            </w:pPr>
            <w:r>
              <w:rPr>
                <w:rFonts w:hint="eastAsia" w:ascii="宋体" w:hAnsi="宋体" w:eastAsia="宋体" w:cs="宋体"/>
                <w:sz w:val="24"/>
                <w:szCs w:val="24"/>
              </w:rPr>
              <w:t>6</w:t>
            </w:r>
          </w:p>
        </w:tc>
        <w:tc>
          <w:tcPr>
            <w:tcW w:w="3843" w:type="dxa"/>
          </w:tcPr>
          <w:p w14:paraId="2801022F">
            <w:pPr>
              <w:keepNext w:val="0"/>
              <w:keepLines w:val="0"/>
              <w:suppressLineNumbers w:val="0"/>
              <w:spacing w:before="0" w:beforeAutospacing="0" w:after="0" w:afterAutospacing="0" w:line="576" w:lineRule="exact"/>
              <w:ind w:left="640" w:right="0" w:firstLine="480"/>
              <w:rPr>
                <w:rFonts w:hint="default" w:ascii="宋体" w:hAnsi="宋体" w:eastAsia="仿宋_GB2312" w:cs="宋体"/>
                <w:sz w:val="24"/>
                <w:szCs w:val="24"/>
              </w:rPr>
            </w:pPr>
          </w:p>
        </w:tc>
        <w:tc>
          <w:tcPr>
            <w:tcW w:w="2861" w:type="dxa"/>
          </w:tcPr>
          <w:p w14:paraId="2690D435">
            <w:pPr>
              <w:keepNext w:val="0"/>
              <w:keepLines w:val="0"/>
              <w:suppressLineNumbers w:val="0"/>
              <w:spacing w:before="0" w:beforeAutospacing="0" w:after="0" w:afterAutospacing="0" w:line="576" w:lineRule="exact"/>
              <w:ind w:left="640" w:right="0" w:firstLine="480"/>
              <w:rPr>
                <w:rFonts w:hint="default" w:ascii="宋体" w:hAnsi="宋体" w:eastAsia="仿宋_GB2312" w:cs="宋体"/>
                <w:sz w:val="24"/>
                <w:szCs w:val="24"/>
              </w:rPr>
            </w:pPr>
          </w:p>
        </w:tc>
        <w:tc>
          <w:tcPr>
            <w:tcW w:w="993" w:type="dxa"/>
          </w:tcPr>
          <w:p w14:paraId="064ACA88">
            <w:pPr>
              <w:keepNext w:val="0"/>
              <w:keepLines w:val="0"/>
              <w:suppressLineNumbers w:val="0"/>
              <w:spacing w:before="0" w:beforeAutospacing="0" w:after="0" w:afterAutospacing="0" w:line="576" w:lineRule="exact"/>
              <w:ind w:left="640" w:right="0" w:firstLine="480"/>
              <w:rPr>
                <w:rFonts w:hint="default" w:ascii="宋体" w:hAnsi="宋体" w:eastAsia="仿宋_GB2312" w:cs="宋体"/>
                <w:sz w:val="24"/>
                <w:szCs w:val="24"/>
              </w:rPr>
            </w:pPr>
          </w:p>
        </w:tc>
      </w:tr>
      <w:tr w14:paraId="199A04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tcPr>
          <w:p w14:paraId="0E64D6BD">
            <w:pPr>
              <w:keepNext w:val="0"/>
              <w:keepLines w:val="0"/>
              <w:suppressLineNumbers w:val="0"/>
              <w:spacing w:before="0" w:beforeAutospacing="0" w:after="0" w:afterAutospacing="0" w:line="576" w:lineRule="exact"/>
              <w:ind w:left="640" w:right="0" w:firstLine="480"/>
              <w:jc w:val="center"/>
              <w:rPr>
                <w:rFonts w:hint="default" w:ascii="宋体" w:hAnsi="宋体" w:eastAsia="宋体" w:cs="宋体"/>
                <w:sz w:val="24"/>
                <w:szCs w:val="24"/>
              </w:rPr>
            </w:pPr>
            <w:r>
              <w:rPr>
                <w:rFonts w:hint="eastAsia" w:ascii="宋体" w:hAnsi="宋体" w:eastAsia="宋体" w:cs="宋体"/>
                <w:sz w:val="24"/>
                <w:szCs w:val="24"/>
              </w:rPr>
              <w:t>7</w:t>
            </w:r>
          </w:p>
        </w:tc>
        <w:tc>
          <w:tcPr>
            <w:tcW w:w="3843" w:type="dxa"/>
          </w:tcPr>
          <w:p w14:paraId="1F18DE25">
            <w:pPr>
              <w:keepNext w:val="0"/>
              <w:keepLines w:val="0"/>
              <w:suppressLineNumbers w:val="0"/>
              <w:spacing w:before="0" w:beforeAutospacing="0" w:after="0" w:afterAutospacing="0" w:line="576" w:lineRule="exact"/>
              <w:ind w:left="640" w:right="0" w:firstLine="480"/>
              <w:rPr>
                <w:rFonts w:hint="default" w:ascii="宋体" w:hAnsi="宋体" w:eastAsia="仿宋_GB2312" w:cs="宋体"/>
                <w:sz w:val="24"/>
                <w:szCs w:val="24"/>
              </w:rPr>
            </w:pPr>
          </w:p>
        </w:tc>
        <w:tc>
          <w:tcPr>
            <w:tcW w:w="2861" w:type="dxa"/>
          </w:tcPr>
          <w:p w14:paraId="071D68DA">
            <w:pPr>
              <w:keepNext w:val="0"/>
              <w:keepLines w:val="0"/>
              <w:suppressLineNumbers w:val="0"/>
              <w:spacing w:before="0" w:beforeAutospacing="0" w:after="0" w:afterAutospacing="0" w:line="576" w:lineRule="exact"/>
              <w:ind w:left="640" w:right="0" w:firstLine="480"/>
              <w:rPr>
                <w:rFonts w:hint="default" w:ascii="宋体" w:hAnsi="宋体" w:eastAsia="仿宋_GB2312" w:cs="宋体"/>
                <w:sz w:val="24"/>
                <w:szCs w:val="24"/>
              </w:rPr>
            </w:pPr>
          </w:p>
        </w:tc>
        <w:tc>
          <w:tcPr>
            <w:tcW w:w="993" w:type="dxa"/>
          </w:tcPr>
          <w:p w14:paraId="2BA74A2B">
            <w:pPr>
              <w:keepNext w:val="0"/>
              <w:keepLines w:val="0"/>
              <w:suppressLineNumbers w:val="0"/>
              <w:spacing w:before="0" w:beforeAutospacing="0" w:after="0" w:afterAutospacing="0" w:line="576" w:lineRule="exact"/>
              <w:ind w:left="640" w:right="0" w:firstLine="480"/>
              <w:rPr>
                <w:rFonts w:hint="default" w:ascii="宋体" w:hAnsi="宋体" w:eastAsia="仿宋_GB2312" w:cs="宋体"/>
                <w:sz w:val="24"/>
                <w:szCs w:val="24"/>
              </w:rPr>
            </w:pPr>
          </w:p>
        </w:tc>
      </w:tr>
      <w:tr w14:paraId="74EC5B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tcPr>
          <w:p w14:paraId="0CBC2803">
            <w:pPr>
              <w:keepNext w:val="0"/>
              <w:keepLines w:val="0"/>
              <w:suppressLineNumbers w:val="0"/>
              <w:spacing w:before="0" w:beforeAutospacing="0" w:after="0" w:afterAutospacing="0" w:line="576" w:lineRule="exact"/>
              <w:ind w:left="640" w:right="0" w:firstLine="480"/>
              <w:jc w:val="center"/>
              <w:rPr>
                <w:rFonts w:hint="default" w:ascii="宋体" w:hAnsi="宋体" w:eastAsia="宋体" w:cs="宋体"/>
                <w:sz w:val="24"/>
                <w:szCs w:val="24"/>
              </w:rPr>
            </w:pPr>
            <w:r>
              <w:rPr>
                <w:rFonts w:hint="eastAsia" w:ascii="宋体" w:hAnsi="宋体" w:eastAsia="宋体" w:cs="宋体"/>
                <w:sz w:val="24"/>
                <w:szCs w:val="24"/>
              </w:rPr>
              <w:t>8</w:t>
            </w:r>
          </w:p>
        </w:tc>
        <w:tc>
          <w:tcPr>
            <w:tcW w:w="3843" w:type="dxa"/>
          </w:tcPr>
          <w:p w14:paraId="79B6A47E">
            <w:pPr>
              <w:keepNext w:val="0"/>
              <w:keepLines w:val="0"/>
              <w:suppressLineNumbers w:val="0"/>
              <w:spacing w:before="0" w:beforeAutospacing="0" w:after="0" w:afterAutospacing="0" w:line="576" w:lineRule="exact"/>
              <w:ind w:left="640" w:right="0" w:firstLine="480"/>
              <w:rPr>
                <w:rFonts w:hint="default" w:ascii="宋体" w:hAnsi="宋体" w:eastAsia="仿宋_GB2312" w:cs="宋体"/>
                <w:sz w:val="24"/>
                <w:szCs w:val="24"/>
              </w:rPr>
            </w:pPr>
          </w:p>
        </w:tc>
        <w:tc>
          <w:tcPr>
            <w:tcW w:w="2861" w:type="dxa"/>
          </w:tcPr>
          <w:p w14:paraId="6B4772FB">
            <w:pPr>
              <w:keepNext w:val="0"/>
              <w:keepLines w:val="0"/>
              <w:suppressLineNumbers w:val="0"/>
              <w:spacing w:before="0" w:beforeAutospacing="0" w:after="0" w:afterAutospacing="0" w:line="576" w:lineRule="exact"/>
              <w:ind w:left="640" w:right="0" w:firstLine="480"/>
              <w:rPr>
                <w:rFonts w:hint="default" w:ascii="宋体" w:hAnsi="宋体" w:eastAsia="仿宋_GB2312" w:cs="宋体"/>
                <w:sz w:val="24"/>
                <w:szCs w:val="24"/>
              </w:rPr>
            </w:pPr>
          </w:p>
        </w:tc>
        <w:tc>
          <w:tcPr>
            <w:tcW w:w="993" w:type="dxa"/>
          </w:tcPr>
          <w:p w14:paraId="7C469BD0">
            <w:pPr>
              <w:keepNext w:val="0"/>
              <w:keepLines w:val="0"/>
              <w:suppressLineNumbers w:val="0"/>
              <w:spacing w:before="0" w:beforeAutospacing="0" w:after="0" w:afterAutospacing="0" w:line="576" w:lineRule="exact"/>
              <w:ind w:left="640" w:right="0" w:firstLine="480"/>
              <w:rPr>
                <w:rFonts w:hint="default" w:ascii="宋体" w:hAnsi="宋体" w:eastAsia="仿宋_GB2312" w:cs="宋体"/>
                <w:sz w:val="24"/>
                <w:szCs w:val="24"/>
              </w:rPr>
            </w:pPr>
          </w:p>
        </w:tc>
      </w:tr>
      <w:tr w14:paraId="626335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tcPr>
          <w:p w14:paraId="1883BBDC">
            <w:pPr>
              <w:keepNext w:val="0"/>
              <w:keepLines w:val="0"/>
              <w:suppressLineNumbers w:val="0"/>
              <w:spacing w:before="0" w:beforeAutospacing="0" w:after="0" w:afterAutospacing="0" w:line="576" w:lineRule="exact"/>
              <w:ind w:left="640" w:right="0" w:firstLine="480"/>
              <w:jc w:val="center"/>
              <w:rPr>
                <w:rFonts w:hint="default" w:ascii="宋体" w:hAnsi="宋体" w:eastAsia="宋体" w:cs="宋体"/>
                <w:sz w:val="24"/>
                <w:szCs w:val="24"/>
              </w:rPr>
            </w:pPr>
            <w:r>
              <w:rPr>
                <w:rFonts w:hint="eastAsia" w:ascii="宋体" w:hAnsi="宋体" w:eastAsia="宋体" w:cs="宋体"/>
                <w:sz w:val="24"/>
                <w:szCs w:val="24"/>
              </w:rPr>
              <w:t>……</w:t>
            </w:r>
          </w:p>
        </w:tc>
        <w:tc>
          <w:tcPr>
            <w:tcW w:w="3843" w:type="dxa"/>
          </w:tcPr>
          <w:p w14:paraId="600A7DAC">
            <w:pPr>
              <w:keepNext w:val="0"/>
              <w:keepLines w:val="0"/>
              <w:suppressLineNumbers w:val="0"/>
              <w:spacing w:before="0" w:beforeAutospacing="0" w:after="0" w:afterAutospacing="0" w:line="576" w:lineRule="exact"/>
              <w:ind w:left="640" w:right="0" w:firstLine="480"/>
              <w:rPr>
                <w:rFonts w:hint="default" w:ascii="宋体" w:hAnsi="宋体" w:eastAsia="仿宋_GB2312" w:cs="宋体"/>
                <w:sz w:val="24"/>
                <w:szCs w:val="24"/>
              </w:rPr>
            </w:pPr>
          </w:p>
        </w:tc>
        <w:tc>
          <w:tcPr>
            <w:tcW w:w="2861" w:type="dxa"/>
          </w:tcPr>
          <w:p w14:paraId="32AE071C">
            <w:pPr>
              <w:keepNext w:val="0"/>
              <w:keepLines w:val="0"/>
              <w:suppressLineNumbers w:val="0"/>
              <w:spacing w:before="0" w:beforeAutospacing="0" w:after="0" w:afterAutospacing="0" w:line="576" w:lineRule="exact"/>
              <w:ind w:left="640" w:right="0" w:firstLine="480"/>
              <w:rPr>
                <w:rFonts w:hint="default" w:ascii="宋体" w:hAnsi="宋体" w:eastAsia="仿宋_GB2312" w:cs="宋体"/>
                <w:sz w:val="24"/>
                <w:szCs w:val="24"/>
              </w:rPr>
            </w:pPr>
          </w:p>
        </w:tc>
        <w:tc>
          <w:tcPr>
            <w:tcW w:w="993" w:type="dxa"/>
          </w:tcPr>
          <w:p w14:paraId="4F7E0E4C">
            <w:pPr>
              <w:keepNext w:val="0"/>
              <w:keepLines w:val="0"/>
              <w:suppressLineNumbers w:val="0"/>
              <w:spacing w:before="0" w:beforeAutospacing="0" w:after="0" w:afterAutospacing="0" w:line="576" w:lineRule="exact"/>
              <w:ind w:left="640" w:right="0" w:firstLine="480"/>
              <w:rPr>
                <w:rFonts w:hint="default" w:ascii="宋体" w:hAnsi="宋体" w:eastAsia="仿宋_GB2312" w:cs="宋体"/>
                <w:sz w:val="24"/>
                <w:szCs w:val="24"/>
              </w:rPr>
            </w:pPr>
          </w:p>
        </w:tc>
      </w:tr>
    </w:tbl>
    <w:p w14:paraId="0DC9C09E">
      <w:pPr>
        <w:spacing w:line="576" w:lineRule="exact"/>
        <w:jc w:val="left"/>
        <w:rPr>
          <w:rFonts w:ascii="宋体" w:hAnsi="宋体" w:eastAsia="宋体" w:cs="宋体"/>
          <w:sz w:val="21"/>
          <w:szCs w:val="21"/>
        </w:rPr>
      </w:pPr>
      <w:r>
        <w:rPr>
          <w:rFonts w:hint="eastAsia" w:ascii="宋体" w:hAnsi="宋体" w:eastAsia="宋体" w:cs="宋体"/>
          <w:sz w:val="21"/>
          <w:szCs w:val="21"/>
        </w:rPr>
        <w:t>备注：1.项目资金末端分配点位包括市本级、县（区）、市级部门下属单位及一次性单位等。</w:t>
      </w:r>
    </w:p>
    <w:p w14:paraId="684E7AB4">
      <w:pPr>
        <w:spacing w:line="576" w:lineRule="exact"/>
        <w:ind w:firstLine="630" w:firstLineChars="300"/>
        <w:jc w:val="left"/>
        <w:rPr>
          <w:rFonts w:ascii="宋体" w:hAnsi="宋体" w:eastAsia="宋体" w:cs="宋体"/>
          <w:sz w:val="21"/>
          <w:szCs w:val="21"/>
        </w:rPr>
      </w:pPr>
      <w:r>
        <w:rPr>
          <w:rFonts w:hint="eastAsia" w:ascii="宋体" w:hAnsi="宋体" w:eastAsia="宋体" w:cs="宋体"/>
          <w:sz w:val="21"/>
          <w:szCs w:val="21"/>
        </w:rPr>
        <w:t>2.自评得分（百分制）从高到低划分为优、良、中、差四个档次，各个档次数量占比分别为20%、20%、55%、5%，且不同档次间得分分值应体现差异化，同档次得分分值相同的比例不超过该档次总数量的10%。</w:t>
      </w:r>
    </w:p>
    <w:p w14:paraId="5CCDC9F8">
      <w:pPr>
        <w:keepNext/>
        <w:keepLines/>
        <w:widowControl w:val="0"/>
        <w:spacing w:before="280" w:after="156" w:line="377" w:lineRule="auto"/>
        <w:outlineLvl w:val="4"/>
        <w:rPr>
          <w:rFonts w:ascii="Arial" w:hAnsi="Arial" w:eastAsia="黑体" w:cs="Times New Roman"/>
          <w:b/>
          <w:kern w:val="2"/>
          <w:sz w:val="24"/>
          <w:szCs w:val="28"/>
          <w:lang w:val="en-US" w:eastAsia="zh-CN" w:bidi="ar-SA"/>
        </w:rPr>
      </w:pPr>
    </w:p>
    <w:p w14:paraId="4375AFDA">
      <w:pPr>
        <w:rPr>
          <w:rFonts w:ascii="Times New Roman" w:hAnsi="Times New Roman" w:eastAsia="仿宋_GB2312" w:cs="Times New Roman"/>
          <w:sz w:val="32"/>
          <w:szCs w:val="32"/>
        </w:rPr>
      </w:pPr>
    </w:p>
    <w:p w14:paraId="62103694">
      <w:pPr>
        <w:keepNext/>
        <w:keepLines/>
        <w:widowControl w:val="0"/>
        <w:spacing w:before="280" w:after="156" w:line="377" w:lineRule="auto"/>
        <w:outlineLvl w:val="4"/>
        <w:rPr>
          <w:rFonts w:ascii="Arial" w:hAnsi="Arial" w:eastAsia="黑体" w:cs="Times New Roman"/>
          <w:b/>
          <w:kern w:val="2"/>
          <w:sz w:val="24"/>
          <w:szCs w:val="28"/>
          <w:lang w:val="en-US" w:eastAsia="zh-CN" w:bidi="ar-SA"/>
        </w:rPr>
      </w:pPr>
    </w:p>
    <w:p w14:paraId="2EBE80EA">
      <w:pPr>
        <w:rPr>
          <w:rFonts w:ascii="Times New Roman" w:hAnsi="Times New Roman" w:eastAsia="仿宋_GB2312" w:cs="Times New Roman"/>
          <w:sz w:val="32"/>
          <w:szCs w:val="32"/>
        </w:rPr>
      </w:pPr>
    </w:p>
    <w:p w14:paraId="24B8353B">
      <w:pPr>
        <w:keepNext/>
        <w:keepLines/>
        <w:widowControl w:val="0"/>
        <w:spacing w:before="280" w:after="156" w:line="377" w:lineRule="auto"/>
        <w:outlineLvl w:val="4"/>
        <w:rPr>
          <w:rFonts w:ascii="Arial" w:hAnsi="Arial" w:eastAsia="黑体" w:cs="Times New Roman"/>
          <w:b/>
          <w:kern w:val="2"/>
          <w:sz w:val="24"/>
          <w:szCs w:val="28"/>
          <w:lang w:val="en-US" w:eastAsia="zh-CN" w:bidi="ar-SA"/>
        </w:rPr>
      </w:pPr>
    </w:p>
    <w:p w14:paraId="6154D829">
      <w:pPr>
        <w:rPr>
          <w:rFonts w:ascii="Times New Roman" w:hAnsi="Times New Roman" w:eastAsia="仿宋_GB2312" w:cs="Times New Roman"/>
          <w:sz w:val="32"/>
          <w:szCs w:val="32"/>
        </w:rPr>
      </w:pPr>
    </w:p>
    <w:p w14:paraId="482C851C">
      <w:pPr>
        <w:keepNext/>
        <w:keepLines/>
        <w:widowControl w:val="0"/>
        <w:spacing w:before="280" w:after="156" w:line="377" w:lineRule="auto"/>
        <w:outlineLvl w:val="4"/>
        <w:rPr>
          <w:rFonts w:ascii="Arial" w:hAnsi="Arial" w:eastAsia="黑体" w:cs="Times New Roman"/>
          <w:b/>
          <w:kern w:val="2"/>
          <w:sz w:val="24"/>
          <w:szCs w:val="28"/>
          <w:lang w:val="en-US" w:eastAsia="zh-CN" w:bidi="ar-SA"/>
        </w:rPr>
      </w:pPr>
    </w:p>
    <w:p w14:paraId="00D8E73F">
      <w:pPr>
        <w:keepNext/>
        <w:keepLines/>
        <w:widowControl w:val="0"/>
        <w:spacing w:before="280" w:after="156" w:line="377" w:lineRule="auto"/>
        <w:outlineLvl w:val="4"/>
        <w:rPr>
          <w:rFonts w:ascii="Arial" w:hAnsi="Arial" w:eastAsia="黑体" w:cs="Times New Roman"/>
          <w:b/>
          <w:kern w:val="2"/>
          <w:sz w:val="24"/>
          <w:szCs w:val="28"/>
          <w:lang w:val="en-US" w:eastAsia="zh-CN" w:bidi="ar-SA"/>
        </w:rPr>
      </w:pPr>
    </w:p>
    <w:p w14:paraId="0D63AE3A">
      <w:pPr>
        <w:widowControl w:val="0"/>
        <w:spacing w:after="0" w:line="578" w:lineRule="exact"/>
        <w:ind w:left="0" w:leftChars="0" w:firstLine="0" w:firstLineChars="0"/>
        <w:jc w:val="both"/>
        <w:rPr>
          <w:rFonts w:ascii="Times New Roman" w:hAnsi="Times New Roman" w:eastAsia="黑体" w:cs="Times New Roman"/>
          <w:kern w:val="2"/>
          <w:sz w:val="32"/>
          <w:szCs w:val="24"/>
          <w:lang w:val="en-US" w:eastAsia="zh-CN" w:bidi="ar-SA"/>
        </w:rPr>
      </w:pPr>
    </w:p>
    <w:p w14:paraId="6752FCF4">
      <w:pPr>
        <w:widowControl w:val="0"/>
        <w:spacing w:after="0" w:line="578" w:lineRule="exact"/>
        <w:ind w:left="0" w:leftChars="0" w:firstLine="0" w:firstLineChars="0"/>
        <w:jc w:val="both"/>
        <w:rPr>
          <w:rFonts w:ascii="Times New Roman" w:hAnsi="Times New Roman" w:eastAsia="黑体" w:cs="Times New Roman"/>
          <w:kern w:val="2"/>
          <w:sz w:val="32"/>
          <w:szCs w:val="24"/>
          <w:lang w:val="en-US" w:eastAsia="zh-CN" w:bidi="ar-SA"/>
        </w:rPr>
      </w:pPr>
      <w:r>
        <w:rPr>
          <w:rFonts w:ascii="Times New Roman" w:hAnsi="Times New Roman" w:eastAsia="黑体" w:cs="Times New Roman"/>
          <w:kern w:val="2"/>
          <w:sz w:val="32"/>
          <w:szCs w:val="24"/>
          <w:lang w:val="en-US" w:eastAsia="zh-CN" w:bidi="ar-SA"/>
        </w:rPr>
        <w:t>附表2</w:t>
      </w:r>
    </w:p>
    <w:tbl>
      <w:tblPr>
        <w:tblStyle w:val="20"/>
        <w:tblW w:w="10233" w:type="dxa"/>
        <w:jc w:val="center"/>
        <w:tblLayout w:type="fixed"/>
        <w:tblCellMar>
          <w:top w:w="15" w:type="dxa"/>
          <w:left w:w="15" w:type="dxa"/>
          <w:bottom w:w="15" w:type="dxa"/>
          <w:right w:w="15" w:type="dxa"/>
        </w:tblCellMar>
      </w:tblPr>
      <w:tblGrid>
        <w:gridCol w:w="652"/>
        <w:gridCol w:w="1081"/>
        <w:gridCol w:w="1250"/>
        <w:gridCol w:w="1806"/>
        <w:gridCol w:w="633"/>
        <w:gridCol w:w="971"/>
        <w:gridCol w:w="1061"/>
        <w:gridCol w:w="938"/>
        <w:gridCol w:w="1841"/>
      </w:tblGrid>
      <w:tr w14:paraId="1CB6CE54">
        <w:tblPrEx>
          <w:tblCellMar>
            <w:top w:w="15" w:type="dxa"/>
            <w:left w:w="15" w:type="dxa"/>
            <w:bottom w:w="15" w:type="dxa"/>
            <w:right w:w="15" w:type="dxa"/>
          </w:tblCellMar>
        </w:tblPrEx>
        <w:trPr>
          <w:trHeight w:val="576" w:hRule="atLeast"/>
          <w:jc w:val="center"/>
        </w:trPr>
        <w:tc>
          <w:tcPr>
            <w:tcW w:w="10233" w:type="dxa"/>
            <w:gridSpan w:val="9"/>
            <w:shd w:val="clear" w:color="auto" w:fill="auto"/>
            <w:vAlign w:val="center"/>
          </w:tcPr>
          <w:p w14:paraId="05217362">
            <w:pPr>
              <w:keepNext w:val="0"/>
              <w:keepLines w:val="0"/>
              <w:widowControl/>
              <w:suppressLineNumbers w:val="0"/>
              <w:spacing w:before="0" w:beforeAutospacing="0" w:after="0" w:afterAutospacing="0" w:line="600" w:lineRule="exact"/>
              <w:ind w:left="0" w:right="0"/>
              <w:jc w:val="center"/>
              <w:textAlignment w:val="center"/>
              <w:rPr>
                <w:rFonts w:hint="default" w:ascii="黑体" w:hAnsi="宋体" w:eastAsia="黑体" w:cs="黑体"/>
                <w:color w:val="000000"/>
                <w:sz w:val="30"/>
                <w:szCs w:val="30"/>
              </w:rPr>
            </w:pPr>
            <w:r>
              <w:rPr>
                <w:rFonts w:hint="eastAsia" w:ascii="方正小标宋简体" w:hAnsi="方正小标宋简体" w:eastAsia="方正小标宋简体" w:cs="方正小标宋简体"/>
                <w:color w:val="000000"/>
                <w:kern w:val="0"/>
                <w:sz w:val="40"/>
                <w:szCs w:val="40"/>
              </w:rPr>
              <w:t>专项预算项目绩效目标完成情况自评表</w:t>
            </w:r>
          </w:p>
        </w:tc>
      </w:tr>
      <w:tr w14:paraId="59AD514D">
        <w:tblPrEx>
          <w:tblCellMar>
            <w:top w:w="15" w:type="dxa"/>
            <w:left w:w="15" w:type="dxa"/>
            <w:bottom w:w="15" w:type="dxa"/>
            <w:right w:w="15" w:type="dxa"/>
          </w:tblCellMar>
        </w:tblPrEx>
        <w:trPr>
          <w:trHeight w:val="23" w:hRule="atLeast"/>
          <w:jc w:val="center"/>
        </w:trPr>
        <w:tc>
          <w:tcPr>
            <w:tcW w:w="4789"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4D7E29E8">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项目名称</w:t>
            </w:r>
          </w:p>
        </w:tc>
        <w:tc>
          <w:tcPr>
            <w:tcW w:w="5444"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C60A1F9">
            <w:pPr>
              <w:keepNext w:val="0"/>
              <w:keepLines w:val="0"/>
              <w:suppressLineNumbers w:val="0"/>
              <w:spacing w:before="0" w:beforeAutospacing="0" w:after="0" w:afterAutospacing="0" w:line="300" w:lineRule="exact"/>
              <w:ind w:left="0" w:right="0"/>
              <w:rPr>
                <w:rFonts w:hint="default" w:ascii="宋体" w:hAnsi="宋体" w:eastAsia="宋体" w:cs="宋体"/>
                <w:color w:val="000000"/>
                <w:sz w:val="24"/>
                <w:szCs w:val="24"/>
              </w:rPr>
            </w:pPr>
            <w:r>
              <w:rPr>
                <w:rFonts w:hint="eastAsia" w:ascii="宋体" w:hAnsi="宋体" w:eastAsia="宋体" w:cs="宋体"/>
                <w:color w:val="000000"/>
                <w:sz w:val="24"/>
                <w:szCs w:val="24"/>
              </w:rPr>
              <w:t>四川省生态产品价值实现机制试点经验交流现场会及调研</w:t>
            </w:r>
          </w:p>
        </w:tc>
      </w:tr>
      <w:tr w14:paraId="0895A869">
        <w:tblPrEx>
          <w:tblCellMar>
            <w:top w:w="15" w:type="dxa"/>
            <w:left w:w="15" w:type="dxa"/>
            <w:bottom w:w="15" w:type="dxa"/>
            <w:right w:w="15" w:type="dxa"/>
          </w:tblCellMar>
        </w:tblPrEx>
        <w:trPr>
          <w:trHeight w:val="23" w:hRule="atLeast"/>
          <w:jc w:val="center"/>
        </w:trPr>
        <w:tc>
          <w:tcPr>
            <w:tcW w:w="4789"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2EACFCB0">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预算单位</w:t>
            </w:r>
          </w:p>
        </w:tc>
        <w:tc>
          <w:tcPr>
            <w:tcW w:w="5444"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7B4CA53E">
            <w:pPr>
              <w:keepNext w:val="0"/>
              <w:keepLines w:val="0"/>
              <w:suppressLineNumbers w:val="0"/>
              <w:spacing w:before="0" w:beforeAutospacing="0" w:after="0" w:afterAutospacing="0" w:line="300" w:lineRule="exact"/>
              <w:ind w:left="0" w:right="0"/>
              <w:rPr>
                <w:rFonts w:hint="default" w:ascii="宋体" w:hAnsi="宋体" w:eastAsia="宋体" w:cs="宋体"/>
                <w:color w:val="000000"/>
                <w:sz w:val="24"/>
                <w:szCs w:val="24"/>
              </w:rPr>
            </w:pPr>
            <w:r>
              <w:rPr>
                <w:rFonts w:hint="eastAsia" w:ascii="宋体" w:hAnsi="宋体" w:eastAsia="宋体" w:cs="宋体"/>
                <w:color w:val="000000"/>
                <w:sz w:val="24"/>
                <w:szCs w:val="24"/>
              </w:rPr>
              <w:t>广元市发展改革委</w:t>
            </w:r>
          </w:p>
        </w:tc>
      </w:tr>
      <w:tr w14:paraId="658FF35B">
        <w:tblPrEx>
          <w:tblCellMar>
            <w:top w:w="15" w:type="dxa"/>
            <w:left w:w="15" w:type="dxa"/>
            <w:bottom w:w="15" w:type="dxa"/>
            <w:right w:w="15" w:type="dxa"/>
          </w:tblCellMar>
        </w:tblPrEx>
        <w:trPr>
          <w:trHeight w:val="23" w:hRule="atLeast"/>
          <w:jc w:val="center"/>
        </w:trPr>
        <w:tc>
          <w:tcPr>
            <w:tcW w:w="4789"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0F2D0EE7">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项目类型</w:t>
            </w:r>
          </w:p>
        </w:tc>
        <w:tc>
          <w:tcPr>
            <w:tcW w:w="5444"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7F43111">
            <w:pPr>
              <w:keepNext w:val="0"/>
              <w:keepLines w:val="0"/>
              <w:suppressLineNumbers w:val="0"/>
              <w:spacing w:before="0" w:beforeAutospacing="0" w:after="0" w:afterAutospacing="0" w:line="300" w:lineRule="exact"/>
              <w:ind w:left="0" w:right="0"/>
              <w:jc w:val="left"/>
              <w:rPr>
                <w:rFonts w:hint="default" w:ascii="宋体" w:hAnsi="宋体" w:eastAsia="宋体" w:cs="宋体"/>
                <w:color w:val="000000"/>
                <w:sz w:val="24"/>
                <w:szCs w:val="24"/>
              </w:rPr>
            </w:pPr>
            <w:r>
              <w:rPr>
                <w:rFonts w:hint="eastAsia" w:ascii="宋体" w:hAnsi="宋体" w:eastAsia="宋体" w:cs="宋体"/>
                <w:color w:val="000000"/>
                <w:sz w:val="24"/>
                <w:szCs w:val="24"/>
              </w:rPr>
              <w:t>一次性项目</w:t>
            </w:r>
          </w:p>
        </w:tc>
      </w:tr>
      <w:tr w14:paraId="176EECC9">
        <w:tblPrEx>
          <w:tblCellMar>
            <w:top w:w="15" w:type="dxa"/>
            <w:left w:w="15" w:type="dxa"/>
            <w:bottom w:w="15" w:type="dxa"/>
            <w:right w:w="15" w:type="dxa"/>
          </w:tblCellMar>
        </w:tblPrEx>
        <w:trPr>
          <w:trHeight w:val="23" w:hRule="atLeast"/>
          <w:jc w:val="center"/>
        </w:trPr>
        <w:tc>
          <w:tcPr>
            <w:tcW w:w="65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E3B2B75">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项目 概况</w:t>
            </w:r>
          </w:p>
        </w:tc>
        <w:tc>
          <w:tcPr>
            <w:tcW w:w="413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BCF3E44">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宋体"/>
                <w:color w:val="000000"/>
                <w:kern w:val="0"/>
                <w:sz w:val="24"/>
                <w:szCs w:val="24"/>
              </w:rPr>
            </w:pPr>
            <w:r>
              <w:rPr>
                <w:rFonts w:hint="default" w:ascii="宋体" w:hAnsi="宋体" w:eastAsia="宋体" w:cs="宋体"/>
                <w:color w:val="000000"/>
                <w:kern w:val="0"/>
                <w:sz w:val="24"/>
                <w:szCs w:val="24"/>
              </w:rPr>
              <w:t>中长期规划（名称、文号，仅指</w:t>
            </w:r>
          </w:p>
          <w:p w14:paraId="409D17EE">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常年项目）</w:t>
            </w:r>
          </w:p>
        </w:tc>
        <w:tc>
          <w:tcPr>
            <w:tcW w:w="5444"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22F4648A">
            <w:pPr>
              <w:keepNext w:val="0"/>
              <w:keepLines w:val="0"/>
              <w:suppressLineNumbers w:val="0"/>
              <w:spacing w:before="0" w:beforeAutospacing="0" w:after="0" w:afterAutospacing="0" w:line="300" w:lineRule="exact"/>
              <w:ind w:left="0" w:right="0"/>
              <w:jc w:val="left"/>
              <w:rPr>
                <w:rFonts w:hint="default" w:ascii="宋体" w:hAnsi="宋体" w:eastAsia="宋体" w:cs="宋体"/>
                <w:color w:val="000000"/>
                <w:sz w:val="24"/>
                <w:szCs w:val="24"/>
              </w:rPr>
            </w:pPr>
          </w:p>
        </w:tc>
      </w:tr>
      <w:tr w14:paraId="23689FA9">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576AD6">
            <w:pPr>
              <w:keepNext w:val="0"/>
              <w:keepLines w:val="0"/>
              <w:suppressLineNumbers w:val="0"/>
              <w:spacing w:before="0" w:beforeAutospacing="0" w:after="0" w:afterAutospacing="0" w:line="300" w:lineRule="exact"/>
              <w:ind w:left="0" w:right="0"/>
              <w:rPr>
                <w:rFonts w:hint="default" w:ascii="宋体" w:hAnsi="宋体" w:eastAsia="宋体" w:cs="宋体"/>
                <w:color w:val="000000"/>
                <w:sz w:val="24"/>
                <w:szCs w:val="24"/>
              </w:rPr>
            </w:pPr>
          </w:p>
        </w:tc>
        <w:tc>
          <w:tcPr>
            <w:tcW w:w="413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CF59A8E">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资金管理办法（名称、文号）</w:t>
            </w:r>
          </w:p>
        </w:tc>
        <w:tc>
          <w:tcPr>
            <w:tcW w:w="5444"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1EF0802E">
            <w:pPr>
              <w:keepNext w:val="0"/>
              <w:keepLines w:val="0"/>
              <w:suppressLineNumbers w:val="0"/>
              <w:spacing w:before="0" w:beforeAutospacing="0" w:after="0" w:afterAutospacing="0" w:line="300" w:lineRule="exact"/>
              <w:ind w:left="0" w:right="0"/>
              <w:jc w:val="left"/>
              <w:rPr>
                <w:rFonts w:hint="default" w:ascii="宋体" w:hAnsi="宋体" w:eastAsia="宋体" w:cs="宋体"/>
                <w:color w:val="000000"/>
                <w:sz w:val="24"/>
                <w:szCs w:val="24"/>
              </w:rPr>
            </w:pPr>
          </w:p>
        </w:tc>
      </w:tr>
      <w:tr w14:paraId="7A34A3A3">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47EAF8">
            <w:pPr>
              <w:keepNext w:val="0"/>
              <w:keepLines w:val="0"/>
              <w:suppressLineNumbers w:val="0"/>
              <w:spacing w:before="0" w:beforeAutospacing="0" w:after="0" w:afterAutospacing="0" w:line="300" w:lineRule="exact"/>
              <w:ind w:left="0" w:right="0"/>
              <w:rPr>
                <w:rFonts w:hint="default" w:ascii="宋体" w:hAnsi="宋体" w:eastAsia="宋体" w:cs="宋体"/>
                <w:color w:val="000000"/>
                <w:sz w:val="24"/>
                <w:szCs w:val="24"/>
              </w:rPr>
            </w:pPr>
          </w:p>
        </w:tc>
        <w:tc>
          <w:tcPr>
            <w:tcW w:w="413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2B02E71">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绩效分配方式</w:t>
            </w:r>
          </w:p>
        </w:tc>
        <w:tc>
          <w:tcPr>
            <w:tcW w:w="6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AB53CD">
            <w:pPr>
              <w:keepNext w:val="0"/>
              <w:keepLines w:val="0"/>
              <w:widowControl/>
              <w:suppressLineNumbers w:val="0"/>
              <w:spacing w:before="0" w:beforeAutospacing="0" w:after="0" w:afterAutospacing="0" w:line="300" w:lineRule="exact"/>
              <w:ind w:left="0" w:right="0"/>
              <w:jc w:val="left"/>
              <w:textAlignment w:val="center"/>
              <w:rPr>
                <w:rFonts w:hint="default" w:ascii="Wingdings 2" w:hAnsi="Wingdings 2" w:eastAsia="Wingdings 2" w:cs="Wingdings 2"/>
                <w:color w:val="000000"/>
                <w:sz w:val="24"/>
                <w:szCs w:val="24"/>
              </w:rPr>
            </w:pPr>
            <w:r>
              <w:rPr>
                <w:rFonts w:hint="default" w:ascii="Wingdings 2" w:hAnsi="Wingdings 2" w:eastAsia="Wingdings 2" w:cs="Wingdings 2"/>
                <w:color w:val="000000"/>
                <w:kern w:val="0"/>
                <w:sz w:val="24"/>
                <w:szCs w:val="24"/>
              </w:rPr>
              <w:t></w:t>
            </w:r>
            <w:r>
              <w:rPr>
                <w:rFonts w:hint="default" w:ascii="宋体" w:hAnsi="宋体" w:eastAsia="宋体" w:cs="宋体"/>
                <w:color w:val="000000"/>
                <w:kern w:val="0"/>
                <w:sz w:val="24"/>
                <w:szCs w:val="24"/>
              </w:rPr>
              <w:t>因素法</w:t>
            </w:r>
          </w:p>
        </w:tc>
        <w:tc>
          <w:tcPr>
            <w:tcW w:w="20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3EBA958">
            <w:pPr>
              <w:keepNext w:val="0"/>
              <w:keepLines w:val="0"/>
              <w:widowControl/>
              <w:suppressLineNumbers w:val="0"/>
              <w:spacing w:before="0" w:beforeAutospacing="0" w:after="0" w:afterAutospacing="0" w:line="300" w:lineRule="exact"/>
              <w:ind w:left="0" w:right="0"/>
              <w:jc w:val="center"/>
              <w:textAlignment w:val="center"/>
              <w:rPr>
                <w:rFonts w:hint="default" w:ascii="Wingdings 2" w:hAnsi="Wingdings 2" w:eastAsia="Wingdings 2" w:cs="Wingdings 2"/>
                <w:color w:val="000000"/>
                <w:sz w:val="24"/>
                <w:szCs w:val="24"/>
              </w:rPr>
            </w:pPr>
            <w:r>
              <w:rPr>
                <w:rFonts w:hint="default" w:ascii="Wingdings 2" w:hAnsi="Wingdings 2" w:eastAsia="Wingdings 2" w:cs="Wingdings 2"/>
                <w:color w:val="000000"/>
                <w:kern w:val="0"/>
                <w:sz w:val="24"/>
                <w:szCs w:val="24"/>
              </w:rPr>
              <w:t>项目法</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CB186D">
            <w:pPr>
              <w:keepNext w:val="0"/>
              <w:keepLines w:val="0"/>
              <w:widowControl/>
              <w:suppressLineNumbers w:val="0"/>
              <w:spacing w:before="0" w:beforeAutospacing="0" w:after="0" w:afterAutospacing="0" w:line="300" w:lineRule="exact"/>
              <w:ind w:left="0" w:right="0"/>
              <w:jc w:val="center"/>
              <w:textAlignment w:val="center"/>
              <w:rPr>
                <w:rFonts w:hint="default" w:ascii="Wingdings 2" w:hAnsi="Wingdings 2" w:eastAsia="Wingdings 2" w:cs="Wingdings 2"/>
                <w:color w:val="000000"/>
                <w:sz w:val="24"/>
                <w:szCs w:val="24"/>
              </w:rPr>
            </w:pPr>
            <w:r>
              <w:rPr>
                <w:rFonts w:hint="default" w:ascii="Wingdings 2" w:hAnsi="Wingdings 2" w:eastAsia="Wingdings 2" w:cs="Wingdings 2"/>
                <w:color w:val="000000"/>
                <w:kern w:val="0"/>
                <w:sz w:val="24"/>
                <w:szCs w:val="24"/>
              </w:rPr>
              <w:t></w:t>
            </w:r>
            <w:r>
              <w:rPr>
                <w:rFonts w:hint="default" w:ascii="宋体" w:hAnsi="宋体" w:eastAsia="宋体" w:cs="宋体"/>
                <w:color w:val="000000"/>
                <w:kern w:val="0"/>
                <w:sz w:val="24"/>
                <w:szCs w:val="24"/>
              </w:rPr>
              <w:t>据实据效</w:t>
            </w:r>
          </w:p>
        </w:tc>
        <w:tc>
          <w:tcPr>
            <w:tcW w:w="18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212E61">
            <w:pPr>
              <w:keepNext w:val="0"/>
              <w:keepLines w:val="0"/>
              <w:widowControl/>
              <w:suppressLineNumbers w:val="0"/>
              <w:spacing w:before="0" w:beforeAutospacing="0" w:after="0" w:afterAutospacing="0" w:line="300" w:lineRule="exact"/>
              <w:ind w:left="0" w:right="0"/>
              <w:jc w:val="center"/>
              <w:textAlignment w:val="center"/>
              <w:rPr>
                <w:rFonts w:hint="default" w:ascii="Wingdings 2" w:hAnsi="Wingdings 2" w:eastAsia="Wingdings 2" w:cs="Wingdings 2"/>
                <w:color w:val="000000"/>
                <w:sz w:val="24"/>
                <w:szCs w:val="24"/>
              </w:rPr>
            </w:pPr>
            <w:r>
              <w:rPr>
                <w:rFonts w:hint="default" w:ascii="Wingdings 2" w:hAnsi="Wingdings 2" w:eastAsia="Wingdings 2" w:cs="Wingdings 2"/>
                <w:color w:val="000000"/>
                <w:kern w:val="0"/>
                <w:sz w:val="24"/>
                <w:szCs w:val="24"/>
              </w:rPr>
              <w:t></w:t>
            </w:r>
            <w:r>
              <w:rPr>
                <w:rFonts w:hint="default" w:ascii="宋体" w:hAnsi="宋体" w:eastAsia="宋体" w:cs="宋体"/>
                <w:color w:val="000000"/>
                <w:kern w:val="0"/>
                <w:sz w:val="24"/>
                <w:szCs w:val="24"/>
              </w:rPr>
              <w:t>因素法与项目法相结合</w:t>
            </w:r>
          </w:p>
        </w:tc>
      </w:tr>
      <w:tr w14:paraId="2720F1FC">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542421">
            <w:pPr>
              <w:keepNext w:val="0"/>
              <w:keepLines w:val="0"/>
              <w:suppressLineNumbers w:val="0"/>
              <w:spacing w:before="0" w:beforeAutospacing="0" w:after="0" w:afterAutospacing="0" w:line="300" w:lineRule="exact"/>
              <w:ind w:left="0" w:right="0"/>
              <w:rPr>
                <w:rFonts w:hint="default" w:ascii="宋体" w:hAnsi="宋体" w:eastAsia="宋体" w:cs="宋体"/>
                <w:color w:val="000000"/>
                <w:sz w:val="24"/>
                <w:szCs w:val="24"/>
              </w:rPr>
            </w:pPr>
          </w:p>
        </w:tc>
        <w:tc>
          <w:tcPr>
            <w:tcW w:w="413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E29DAFF">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立项依据</w:t>
            </w:r>
          </w:p>
        </w:tc>
        <w:tc>
          <w:tcPr>
            <w:tcW w:w="5444"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55D210B6">
            <w:pPr>
              <w:keepNext w:val="0"/>
              <w:keepLines w:val="0"/>
              <w:suppressLineNumbers w:val="0"/>
              <w:spacing w:before="0" w:beforeAutospacing="0" w:after="0" w:afterAutospacing="0" w:line="300" w:lineRule="exact"/>
              <w:ind w:left="0" w:right="0"/>
              <w:jc w:val="left"/>
              <w:rPr>
                <w:rFonts w:hint="default" w:ascii="宋体" w:hAnsi="宋体" w:eastAsia="宋体" w:cs="宋体"/>
                <w:color w:val="000000"/>
                <w:sz w:val="24"/>
                <w:szCs w:val="24"/>
              </w:rPr>
            </w:pPr>
          </w:p>
        </w:tc>
      </w:tr>
      <w:tr w14:paraId="75337EBA">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BC24CD">
            <w:pPr>
              <w:keepNext w:val="0"/>
              <w:keepLines w:val="0"/>
              <w:suppressLineNumbers w:val="0"/>
              <w:spacing w:before="0" w:beforeAutospacing="0" w:after="0" w:afterAutospacing="0" w:line="300" w:lineRule="exact"/>
              <w:ind w:left="0" w:right="0"/>
              <w:rPr>
                <w:rFonts w:hint="default" w:ascii="宋体" w:hAnsi="宋体" w:eastAsia="宋体" w:cs="宋体"/>
                <w:color w:val="000000"/>
                <w:sz w:val="24"/>
                <w:szCs w:val="24"/>
              </w:rPr>
            </w:pPr>
          </w:p>
        </w:tc>
        <w:tc>
          <w:tcPr>
            <w:tcW w:w="413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4AFCD0D">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使用范围</w:t>
            </w:r>
          </w:p>
        </w:tc>
        <w:tc>
          <w:tcPr>
            <w:tcW w:w="5444"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035E16CF">
            <w:pPr>
              <w:keepNext w:val="0"/>
              <w:keepLines w:val="0"/>
              <w:suppressLineNumbers w:val="0"/>
              <w:spacing w:before="0" w:beforeAutospacing="0" w:after="0" w:afterAutospacing="0" w:line="300" w:lineRule="exact"/>
              <w:ind w:left="0" w:right="0"/>
              <w:jc w:val="left"/>
              <w:rPr>
                <w:rFonts w:hint="default" w:ascii="宋体" w:hAnsi="宋体" w:eastAsia="宋体" w:cs="宋体"/>
                <w:color w:val="000000"/>
                <w:sz w:val="24"/>
                <w:szCs w:val="24"/>
              </w:rPr>
            </w:pPr>
          </w:p>
        </w:tc>
      </w:tr>
      <w:tr w14:paraId="3053DA2C">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CCB4F1">
            <w:pPr>
              <w:keepNext w:val="0"/>
              <w:keepLines w:val="0"/>
              <w:suppressLineNumbers w:val="0"/>
              <w:spacing w:before="0" w:beforeAutospacing="0" w:after="0" w:afterAutospacing="0" w:line="300" w:lineRule="exact"/>
              <w:ind w:left="0" w:right="0"/>
              <w:rPr>
                <w:rFonts w:hint="default" w:ascii="宋体" w:hAnsi="宋体" w:eastAsia="宋体" w:cs="宋体"/>
                <w:color w:val="000000"/>
                <w:sz w:val="24"/>
                <w:szCs w:val="24"/>
              </w:rPr>
            </w:pPr>
          </w:p>
        </w:tc>
        <w:tc>
          <w:tcPr>
            <w:tcW w:w="413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DF66F8B">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申报（补助）条件</w:t>
            </w:r>
          </w:p>
        </w:tc>
        <w:tc>
          <w:tcPr>
            <w:tcW w:w="5444"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1A962C68">
            <w:pPr>
              <w:keepNext w:val="0"/>
              <w:keepLines w:val="0"/>
              <w:suppressLineNumbers w:val="0"/>
              <w:spacing w:before="0" w:beforeAutospacing="0" w:after="0" w:afterAutospacing="0" w:line="300" w:lineRule="exact"/>
              <w:ind w:left="0" w:right="0"/>
              <w:jc w:val="left"/>
              <w:rPr>
                <w:rFonts w:hint="default" w:ascii="宋体" w:hAnsi="宋体" w:eastAsia="宋体" w:cs="宋体"/>
                <w:color w:val="000000"/>
                <w:sz w:val="24"/>
                <w:szCs w:val="24"/>
              </w:rPr>
            </w:pPr>
          </w:p>
        </w:tc>
      </w:tr>
      <w:tr w14:paraId="0E43DA20">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6E6B14">
            <w:pPr>
              <w:keepNext w:val="0"/>
              <w:keepLines w:val="0"/>
              <w:suppressLineNumbers w:val="0"/>
              <w:spacing w:before="0" w:beforeAutospacing="0" w:after="0" w:afterAutospacing="0" w:line="300" w:lineRule="exact"/>
              <w:ind w:left="0" w:right="0"/>
              <w:rPr>
                <w:rFonts w:hint="default" w:ascii="宋体" w:hAnsi="宋体" w:eastAsia="宋体" w:cs="宋体"/>
                <w:color w:val="000000"/>
                <w:sz w:val="24"/>
                <w:szCs w:val="24"/>
              </w:rPr>
            </w:pPr>
          </w:p>
        </w:tc>
        <w:tc>
          <w:tcPr>
            <w:tcW w:w="413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6833ED5">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项目起止年限</w:t>
            </w:r>
          </w:p>
        </w:tc>
        <w:tc>
          <w:tcPr>
            <w:tcW w:w="5444"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7C9F6E88">
            <w:pPr>
              <w:keepNext w:val="0"/>
              <w:keepLines w:val="0"/>
              <w:suppressLineNumbers w:val="0"/>
              <w:spacing w:before="0" w:beforeAutospacing="0" w:after="0" w:afterAutospacing="0" w:line="300" w:lineRule="exact"/>
              <w:ind w:left="0" w:right="0"/>
              <w:rPr>
                <w:rFonts w:hint="default" w:ascii="宋体" w:hAnsi="宋体" w:eastAsia="宋体" w:cs="宋体"/>
                <w:color w:val="000000"/>
                <w:sz w:val="24"/>
                <w:szCs w:val="24"/>
              </w:rPr>
            </w:pPr>
            <w:r>
              <w:rPr>
                <w:rFonts w:hint="eastAsia" w:ascii="宋体" w:hAnsi="宋体" w:eastAsia="宋体" w:cs="宋体"/>
                <w:color w:val="000000"/>
                <w:sz w:val="24"/>
                <w:szCs w:val="24"/>
              </w:rPr>
              <w:t>2023年1月—2023年4月</w:t>
            </w:r>
          </w:p>
        </w:tc>
      </w:tr>
      <w:tr w14:paraId="63C61259">
        <w:tblPrEx>
          <w:tblCellMar>
            <w:top w:w="15" w:type="dxa"/>
            <w:left w:w="15" w:type="dxa"/>
            <w:bottom w:w="15" w:type="dxa"/>
            <w:right w:w="15" w:type="dxa"/>
          </w:tblCellMar>
        </w:tblPrEx>
        <w:trPr>
          <w:trHeight w:val="23" w:hRule="atLeast"/>
          <w:jc w:val="center"/>
        </w:trPr>
        <w:tc>
          <w:tcPr>
            <w:tcW w:w="1733" w:type="dxa"/>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405E94D">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kern w:val="0"/>
                <w:sz w:val="24"/>
                <w:szCs w:val="24"/>
              </w:rPr>
            </w:pPr>
            <w:r>
              <w:rPr>
                <w:rFonts w:hint="default" w:ascii="宋体" w:hAnsi="宋体" w:eastAsia="宋体" w:cs="宋体"/>
                <w:color w:val="000000"/>
                <w:kern w:val="0"/>
                <w:sz w:val="24"/>
                <w:szCs w:val="24"/>
              </w:rPr>
              <w:t>项目资金</w:t>
            </w:r>
          </w:p>
          <w:p w14:paraId="40445A05">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（万元）</w:t>
            </w:r>
          </w:p>
        </w:tc>
        <w:tc>
          <w:tcPr>
            <w:tcW w:w="305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9F51225">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 xml:space="preserve">  年度资金总额：</w:t>
            </w:r>
          </w:p>
        </w:tc>
        <w:tc>
          <w:tcPr>
            <w:tcW w:w="5444"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2243EFD">
            <w:pPr>
              <w:keepNext w:val="0"/>
              <w:keepLines w:val="0"/>
              <w:suppressLineNumbers w:val="0"/>
              <w:spacing w:before="0" w:beforeAutospacing="0" w:after="0" w:afterAutospacing="0" w:line="300" w:lineRule="exact"/>
              <w:ind w:left="0" w:right="0"/>
              <w:jc w:val="left"/>
              <w:rPr>
                <w:rFonts w:hint="default" w:ascii="宋体" w:hAnsi="宋体" w:eastAsia="宋体" w:cs="宋体"/>
                <w:color w:val="000000"/>
                <w:sz w:val="24"/>
                <w:szCs w:val="24"/>
              </w:rPr>
            </w:pPr>
            <w:r>
              <w:rPr>
                <w:rFonts w:hint="eastAsia" w:ascii="宋体" w:hAnsi="宋体" w:eastAsia="宋体" w:cs="宋体"/>
                <w:color w:val="000000"/>
                <w:sz w:val="24"/>
                <w:szCs w:val="24"/>
              </w:rPr>
              <w:t>23.19</w:t>
            </w:r>
          </w:p>
        </w:tc>
      </w:tr>
      <w:tr w14:paraId="53FDB5B2">
        <w:tblPrEx>
          <w:tblCellMar>
            <w:top w:w="15" w:type="dxa"/>
            <w:left w:w="15" w:type="dxa"/>
            <w:bottom w:w="15" w:type="dxa"/>
            <w:right w:w="15" w:type="dxa"/>
          </w:tblCellMar>
        </w:tblPrEx>
        <w:trPr>
          <w:trHeight w:val="23" w:hRule="atLeast"/>
          <w:jc w:val="center"/>
        </w:trPr>
        <w:tc>
          <w:tcPr>
            <w:tcW w:w="1733"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23DDDD">
            <w:pPr>
              <w:keepNext w:val="0"/>
              <w:keepLines w:val="0"/>
              <w:suppressLineNumbers w:val="0"/>
              <w:spacing w:before="0" w:beforeAutospacing="0" w:after="0" w:afterAutospacing="0" w:line="300" w:lineRule="exact"/>
              <w:ind w:left="0" w:right="0"/>
              <w:rPr>
                <w:rFonts w:hint="default" w:ascii="宋体" w:hAnsi="宋体" w:eastAsia="宋体" w:cs="宋体"/>
                <w:color w:val="000000"/>
                <w:sz w:val="24"/>
                <w:szCs w:val="24"/>
              </w:rPr>
            </w:pPr>
          </w:p>
        </w:tc>
        <w:tc>
          <w:tcPr>
            <w:tcW w:w="305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D5E5AB5">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其中：财政拨款</w:t>
            </w:r>
          </w:p>
        </w:tc>
        <w:tc>
          <w:tcPr>
            <w:tcW w:w="5444"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94DF92C">
            <w:pPr>
              <w:keepNext w:val="0"/>
              <w:keepLines w:val="0"/>
              <w:suppressLineNumbers w:val="0"/>
              <w:spacing w:before="0" w:beforeAutospacing="0" w:after="0" w:afterAutospacing="0" w:line="300" w:lineRule="exact"/>
              <w:ind w:left="0" w:right="0"/>
              <w:jc w:val="left"/>
              <w:rPr>
                <w:rFonts w:hint="default" w:ascii="宋体" w:hAnsi="宋体" w:eastAsia="宋体" w:cs="宋体"/>
                <w:color w:val="000000"/>
                <w:sz w:val="24"/>
                <w:szCs w:val="24"/>
              </w:rPr>
            </w:pPr>
            <w:r>
              <w:rPr>
                <w:rFonts w:hint="eastAsia" w:ascii="宋体" w:hAnsi="宋体" w:eastAsia="宋体" w:cs="宋体"/>
                <w:color w:val="000000"/>
                <w:sz w:val="24"/>
                <w:szCs w:val="24"/>
              </w:rPr>
              <w:t>23.19</w:t>
            </w:r>
          </w:p>
        </w:tc>
      </w:tr>
      <w:tr w14:paraId="633F5741">
        <w:tblPrEx>
          <w:tblCellMar>
            <w:top w:w="15" w:type="dxa"/>
            <w:left w:w="15" w:type="dxa"/>
            <w:bottom w:w="15" w:type="dxa"/>
            <w:right w:w="15" w:type="dxa"/>
          </w:tblCellMar>
        </w:tblPrEx>
        <w:trPr>
          <w:trHeight w:val="23" w:hRule="atLeast"/>
          <w:jc w:val="center"/>
        </w:trPr>
        <w:tc>
          <w:tcPr>
            <w:tcW w:w="1733"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8A3B01">
            <w:pPr>
              <w:keepNext w:val="0"/>
              <w:keepLines w:val="0"/>
              <w:suppressLineNumbers w:val="0"/>
              <w:spacing w:before="0" w:beforeAutospacing="0" w:after="0" w:afterAutospacing="0" w:line="300" w:lineRule="exact"/>
              <w:ind w:left="0" w:right="0"/>
              <w:rPr>
                <w:rFonts w:hint="default" w:ascii="宋体" w:hAnsi="宋体" w:eastAsia="宋体" w:cs="宋体"/>
                <w:color w:val="000000"/>
                <w:sz w:val="24"/>
                <w:szCs w:val="24"/>
              </w:rPr>
            </w:pPr>
          </w:p>
        </w:tc>
        <w:tc>
          <w:tcPr>
            <w:tcW w:w="305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59A8BF8">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 xml:space="preserve">            其他资金</w:t>
            </w:r>
          </w:p>
        </w:tc>
        <w:tc>
          <w:tcPr>
            <w:tcW w:w="5444"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56BEDEF5">
            <w:pPr>
              <w:keepNext w:val="0"/>
              <w:keepLines w:val="0"/>
              <w:suppressLineNumbers w:val="0"/>
              <w:spacing w:before="0" w:beforeAutospacing="0" w:after="0" w:afterAutospacing="0" w:line="300" w:lineRule="exact"/>
              <w:ind w:left="0" w:right="0"/>
              <w:jc w:val="right"/>
              <w:rPr>
                <w:rFonts w:hint="default" w:ascii="宋体" w:hAnsi="宋体" w:eastAsia="宋体" w:cs="宋体"/>
                <w:color w:val="000000"/>
                <w:sz w:val="24"/>
                <w:szCs w:val="24"/>
              </w:rPr>
            </w:pPr>
          </w:p>
        </w:tc>
      </w:tr>
      <w:tr w14:paraId="716E7561">
        <w:tblPrEx>
          <w:tblCellMar>
            <w:top w:w="15" w:type="dxa"/>
            <w:left w:w="15" w:type="dxa"/>
            <w:bottom w:w="15" w:type="dxa"/>
            <w:right w:w="15" w:type="dxa"/>
          </w:tblCellMar>
        </w:tblPrEx>
        <w:trPr>
          <w:trHeight w:val="23" w:hRule="atLeast"/>
          <w:jc w:val="center"/>
        </w:trPr>
        <w:tc>
          <w:tcPr>
            <w:tcW w:w="65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A167BB9">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总体 目标</w:t>
            </w:r>
          </w:p>
        </w:tc>
        <w:tc>
          <w:tcPr>
            <w:tcW w:w="9581"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17AD2A9D">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年度目标</w:t>
            </w:r>
          </w:p>
        </w:tc>
      </w:tr>
      <w:tr w14:paraId="0037FA22">
        <w:tblPrEx>
          <w:tblCellMar>
            <w:top w:w="15" w:type="dxa"/>
            <w:left w:w="15" w:type="dxa"/>
            <w:bottom w:w="15" w:type="dxa"/>
            <w:right w:w="15" w:type="dxa"/>
          </w:tblCellMar>
        </w:tblPrEx>
        <w:trPr>
          <w:trHeight w:val="1235"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258B7F">
            <w:pPr>
              <w:keepNext w:val="0"/>
              <w:keepLines w:val="0"/>
              <w:suppressLineNumbers w:val="0"/>
              <w:spacing w:before="0" w:beforeAutospacing="0" w:after="0" w:afterAutospacing="0" w:line="300" w:lineRule="exact"/>
              <w:ind w:left="0" w:right="0"/>
              <w:rPr>
                <w:rFonts w:hint="default" w:ascii="宋体" w:hAnsi="宋体" w:eastAsia="宋体" w:cs="宋体"/>
                <w:color w:val="000000"/>
                <w:sz w:val="24"/>
                <w:szCs w:val="24"/>
              </w:rPr>
            </w:pPr>
          </w:p>
        </w:tc>
        <w:tc>
          <w:tcPr>
            <w:tcW w:w="9581"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7E46B9FA">
            <w:pPr>
              <w:keepNext w:val="0"/>
              <w:keepLines w:val="0"/>
              <w:suppressLineNumbers w:val="0"/>
              <w:spacing w:before="0" w:beforeAutospacing="0" w:after="0" w:afterAutospacing="0" w:line="300" w:lineRule="exact"/>
              <w:ind w:left="0" w:right="0"/>
              <w:rPr>
                <w:rFonts w:hint="default" w:ascii="宋体" w:hAnsi="宋体" w:eastAsia="宋体" w:cs="宋体"/>
                <w:color w:val="000000"/>
                <w:sz w:val="24"/>
                <w:szCs w:val="24"/>
              </w:rPr>
            </w:pPr>
          </w:p>
        </w:tc>
      </w:tr>
      <w:tr w14:paraId="1D43F253">
        <w:tblPrEx>
          <w:tblCellMar>
            <w:top w:w="15" w:type="dxa"/>
            <w:left w:w="15" w:type="dxa"/>
            <w:bottom w:w="15" w:type="dxa"/>
            <w:right w:w="15" w:type="dxa"/>
          </w:tblCellMar>
        </w:tblPrEx>
        <w:trPr>
          <w:trHeight w:val="23" w:hRule="atLeast"/>
          <w:jc w:val="center"/>
        </w:trPr>
        <w:tc>
          <w:tcPr>
            <w:tcW w:w="652" w:type="dxa"/>
            <w:vMerge w:val="restart"/>
            <w:tcBorders>
              <w:top w:val="single" w:color="000000" w:sz="4" w:space="0"/>
              <w:left w:val="single" w:color="000000" w:sz="4" w:space="0"/>
              <w:bottom w:val="single" w:color="000000" w:sz="4" w:space="0"/>
            </w:tcBorders>
            <w:shd w:val="clear" w:color="auto" w:fill="auto"/>
            <w:vAlign w:val="center"/>
          </w:tcPr>
          <w:p w14:paraId="4C0B5F00">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绩效 指标</w:t>
            </w:r>
          </w:p>
        </w:tc>
        <w:tc>
          <w:tcPr>
            <w:tcW w:w="10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EC0025">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一级指标</w:t>
            </w:r>
          </w:p>
        </w:tc>
        <w:tc>
          <w:tcPr>
            <w:tcW w:w="12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F83F27">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二级指标</w:t>
            </w:r>
          </w:p>
        </w:tc>
        <w:tc>
          <w:tcPr>
            <w:tcW w:w="1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3F6501">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三级指标</w:t>
            </w:r>
          </w:p>
        </w:tc>
        <w:tc>
          <w:tcPr>
            <w:tcW w:w="6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67FBE5">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指标性质</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5DCD0A">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指标值</w:t>
            </w:r>
          </w:p>
        </w:tc>
        <w:tc>
          <w:tcPr>
            <w:tcW w:w="10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78122B">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度量单位</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4DC61D">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权重</w:t>
            </w:r>
          </w:p>
        </w:tc>
        <w:tc>
          <w:tcPr>
            <w:tcW w:w="18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8B266D">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实际完成指标值</w:t>
            </w:r>
          </w:p>
        </w:tc>
      </w:tr>
      <w:tr w14:paraId="4FAAEA1A">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25646E87">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108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9399246">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产出指标</w:t>
            </w:r>
          </w:p>
        </w:tc>
        <w:tc>
          <w:tcPr>
            <w:tcW w:w="1250" w:type="dxa"/>
            <w:vMerge w:val="restart"/>
            <w:tcBorders>
              <w:top w:val="single" w:color="000000" w:sz="4" w:space="0"/>
              <w:left w:val="single" w:color="000000" w:sz="4" w:space="0"/>
              <w:right w:val="single" w:color="000000" w:sz="4" w:space="0"/>
            </w:tcBorders>
            <w:shd w:val="clear" w:color="auto" w:fill="auto"/>
            <w:vAlign w:val="center"/>
          </w:tcPr>
          <w:p w14:paraId="5C092F92">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数量指标</w:t>
            </w:r>
          </w:p>
        </w:tc>
        <w:tc>
          <w:tcPr>
            <w:tcW w:w="1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EE0347">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_GB2312" w:cs="Times New Roman"/>
                <w:color w:val="000000"/>
                <w:sz w:val="18"/>
                <w:szCs w:val="18"/>
              </w:rPr>
            </w:pPr>
            <w:r>
              <w:rPr>
                <w:rFonts w:hint="default" w:ascii="宋体" w:hAnsi="宋体" w:eastAsia="宋体" w:cs="宋体"/>
                <w:color w:val="000000"/>
                <w:kern w:val="0"/>
                <w:sz w:val="18"/>
                <w:szCs w:val="18"/>
              </w:rPr>
              <w:t>指标1：组织全省生态产品  价值实现机制试点经验交流 现场会</w:t>
            </w:r>
          </w:p>
        </w:tc>
        <w:tc>
          <w:tcPr>
            <w:tcW w:w="6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119307">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_GB2312" w:cs="Times New Roman"/>
                <w:color w:val="000000"/>
                <w:sz w:val="18"/>
                <w:szCs w:val="18"/>
              </w:rPr>
            </w:pPr>
            <w:r>
              <w:rPr>
                <w:rFonts w:hint="default" w:ascii="宋体" w:hAnsi="宋体" w:eastAsia="宋体" w:cs="宋体"/>
                <w:color w:val="000000"/>
                <w:kern w:val="0"/>
                <w:sz w:val="18"/>
                <w:szCs w:val="18"/>
              </w:rPr>
              <w:t>＝</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AFBDD2">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_GB2312" w:cs="Times New Roman"/>
                <w:color w:val="000000"/>
                <w:sz w:val="18"/>
                <w:szCs w:val="18"/>
              </w:rPr>
            </w:pPr>
            <w:r>
              <w:rPr>
                <w:rFonts w:hint="default" w:ascii="宋体" w:hAnsi="宋体" w:eastAsia="宋体" w:cs="宋体"/>
                <w:color w:val="000000"/>
                <w:kern w:val="0"/>
                <w:sz w:val="18"/>
                <w:szCs w:val="18"/>
              </w:rPr>
              <w:t>1</w:t>
            </w:r>
          </w:p>
        </w:tc>
        <w:tc>
          <w:tcPr>
            <w:tcW w:w="10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8A93F7">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_GB2312" w:cs="Times New Roman"/>
                <w:color w:val="000000"/>
                <w:sz w:val="18"/>
                <w:szCs w:val="18"/>
              </w:rPr>
            </w:pPr>
            <w:r>
              <w:rPr>
                <w:rFonts w:hint="default" w:ascii="宋体" w:hAnsi="宋体" w:eastAsia="宋体" w:cs="宋体"/>
                <w:color w:val="000000"/>
                <w:kern w:val="0"/>
                <w:sz w:val="18"/>
                <w:szCs w:val="18"/>
              </w:rPr>
              <w:t>场</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3131CA">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_GB2312" w:cs="Times New Roman"/>
                <w:color w:val="000000"/>
                <w:sz w:val="18"/>
                <w:szCs w:val="18"/>
              </w:rPr>
            </w:pPr>
            <w:r>
              <w:rPr>
                <w:rFonts w:hint="eastAsia" w:ascii="微软雅黑" w:hAnsi="微软雅黑" w:eastAsia="微软雅黑" w:cs="微软雅黑"/>
                <w:i/>
                <w:color w:val="000000"/>
                <w:kern w:val="0"/>
                <w:sz w:val="16"/>
                <w:szCs w:val="16"/>
              </w:rPr>
              <w:t>1</w:t>
            </w:r>
          </w:p>
        </w:tc>
        <w:tc>
          <w:tcPr>
            <w:tcW w:w="18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32A131">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_GB2312" w:cs="Times New Roman"/>
                <w:color w:val="000000"/>
                <w:sz w:val="18"/>
                <w:szCs w:val="18"/>
              </w:rPr>
            </w:pPr>
            <w:r>
              <w:rPr>
                <w:rFonts w:hint="default" w:ascii="宋体" w:hAnsi="宋体" w:eastAsia="宋体" w:cs="宋体"/>
                <w:color w:val="000000"/>
                <w:kern w:val="0"/>
                <w:sz w:val="18"/>
                <w:szCs w:val="18"/>
              </w:rPr>
              <w:t>10</w:t>
            </w:r>
          </w:p>
        </w:tc>
      </w:tr>
      <w:tr w14:paraId="5ECD26AB">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2F91A69A">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1081" w:type="dxa"/>
            <w:vMerge w:val="continue"/>
            <w:tcBorders>
              <w:left w:val="single" w:color="000000" w:sz="4" w:space="0"/>
              <w:right w:val="single" w:color="000000" w:sz="4" w:space="0"/>
            </w:tcBorders>
            <w:shd w:val="clear" w:color="auto" w:fill="auto"/>
            <w:vAlign w:val="center"/>
          </w:tcPr>
          <w:p w14:paraId="596A7B38">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kern w:val="0"/>
                <w:sz w:val="24"/>
                <w:szCs w:val="24"/>
              </w:rPr>
            </w:pPr>
          </w:p>
        </w:tc>
        <w:tc>
          <w:tcPr>
            <w:tcW w:w="1250" w:type="dxa"/>
            <w:vMerge w:val="continue"/>
            <w:tcBorders>
              <w:left w:val="single" w:color="000000" w:sz="4" w:space="0"/>
              <w:right w:val="single" w:color="000000" w:sz="4" w:space="0"/>
            </w:tcBorders>
            <w:shd w:val="clear" w:color="auto" w:fill="auto"/>
            <w:vAlign w:val="center"/>
          </w:tcPr>
          <w:p w14:paraId="635EF8D0">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kern w:val="0"/>
                <w:sz w:val="24"/>
                <w:szCs w:val="24"/>
              </w:rPr>
            </w:pPr>
          </w:p>
        </w:tc>
        <w:tc>
          <w:tcPr>
            <w:tcW w:w="1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39846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18"/>
                <w:szCs w:val="18"/>
              </w:rPr>
            </w:pPr>
            <w:r>
              <w:rPr>
                <w:rFonts w:hint="default" w:ascii="宋体" w:hAnsi="宋体" w:eastAsia="宋体" w:cs="宋体"/>
                <w:color w:val="000000"/>
                <w:kern w:val="0"/>
                <w:sz w:val="18"/>
                <w:szCs w:val="18"/>
              </w:rPr>
              <w:t>指标2：组织参加现场点位调研</w:t>
            </w:r>
          </w:p>
        </w:tc>
        <w:tc>
          <w:tcPr>
            <w:tcW w:w="6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2C696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18"/>
                <w:szCs w:val="18"/>
              </w:rPr>
            </w:pPr>
            <w:r>
              <w:rPr>
                <w:rFonts w:hint="default" w:ascii="宋体" w:hAnsi="宋体" w:eastAsia="宋体" w:cs="宋体"/>
                <w:color w:val="000000"/>
                <w:kern w:val="0"/>
                <w:sz w:val="18"/>
                <w:szCs w:val="18"/>
              </w:rPr>
              <w:t>≥</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CA02B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18"/>
                <w:szCs w:val="18"/>
              </w:rPr>
            </w:pPr>
            <w:r>
              <w:rPr>
                <w:rFonts w:hint="default" w:ascii="宋体" w:hAnsi="宋体" w:eastAsia="宋体" w:cs="宋体"/>
                <w:color w:val="000000"/>
                <w:kern w:val="0"/>
                <w:sz w:val="18"/>
                <w:szCs w:val="18"/>
              </w:rPr>
              <w:t>5</w:t>
            </w:r>
          </w:p>
        </w:tc>
        <w:tc>
          <w:tcPr>
            <w:tcW w:w="10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3C9EE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18"/>
                <w:szCs w:val="18"/>
              </w:rPr>
            </w:pPr>
            <w:r>
              <w:rPr>
                <w:rFonts w:hint="default" w:ascii="宋体" w:hAnsi="宋体" w:eastAsia="宋体" w:cs="宋体"/>
                <w:color w:val="000000"/>
                <w:kern w:val="0"/>
                <w:sz w:val="18"/>
                <w:szCs w:val="18"/>
              </w:rPr>
              <w:t>个</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B7C0F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18"/>
                <w:szCs w:val="18"/>
              </w:rPr>
            </w:pPr>
            <w:r>
              <w:rPr>
                <w:rFonts w:hint="eastAsia" w:ascii="微软雅黑" w:hAnsi="微软雅黑" w:eastAsia="微软雅黑" w:cs="微软雅黑"/>
                <w:i/>
                <w:color w:val="000000"/>
                <w:kern w:val="0"/>
                <w:sz w:val="16"/>
                <w:szCs w:val="16"/>
              </w:rPr>
              <w:t>5</w:t>
            </w:r>
          </w:p>
        </w:tc>
        <w:tc>
          <w:tcPr>
            <w:tcW w:w="18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BBCC1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18"/>
                <w:szCs w:val="18"/>
              </w:rPr>
            </w:pPr>
            <w:r>
              <w:rPr>
                <w:rFonts w:hint="default" w:ascii="宋体" w:hAnsi="宋体" w:eastAsia="宋体" w:cs="宋体"/>
                <w:color w:val="000000"/>
                <w:kern w:val="0"/>
                <w:sz w:val="18"/>
                <w:szCs w:val="18"/>
              </w:rPr>
              <w:t>10</w:t>
            </w:r>
          </w:p>
        </w:tc>
      </w:tr>
      <w:tr w14:paraId="7C34106E">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1A5E8912">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10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41D163">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1250" w:type="dxa"/>
            <w:vMerge w:val="continue"/>
            <w:tcBorders>
              <w:left w:val="single" w:color="000000" w:sz="4" w:space="0"/>
              <w:right w:val="single" w:color="000000" w:sz="4" w:space="0"/>
            </w:tcBorders>
            <w:shd w:val="clear" w:color="auto" w:fill="auto"/>
            <w:vAlign w:val="center"/>
          </w:tcPr>
          <w:p w14:paraId="0E2EF479">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1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A06169">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_GB2312" w:cs="Times New Roman"/>
                <w:color w:val="000000"/>
                <w:sz w:val="18"/>
                <w:szCs w:val="18"/>
              </w:rPr>
            </w:pPr>
            <w:r>
              <w:rPr>
                <w:rFonts w:hint="default" w:ascii="宋体" w:hAnsi="宋体" w:eastAsia="宋体" w:cs="宋体"/>
                <w:color w:val="000000"/>
                <w:kern w:val="0"/>
                <w:sz w:val="18"/>
                <w:szCs w:val="18"/>
              </w:rPr>
              <w:t>指标3：调研展板</w:t>
            </w:r>
          </w:p>
        </w:tc>
        <w:tc>
          <w:tcPr>
            <w:tcW w:w="6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0C602C">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_GB2312" w:cs="Times New Roman"/>
                <w:color w:val="000000"/>
                <w:sz w:val="18"/>
                <w:szCs w:val="18"/>
              </w:rPr>
            </w:pPr>
            <w:r>
              <w:rPr>
                <w:rFonts w:hint="default" w:ascii="宋体" w:hAnsi="宋体" w:eastAsia="宋体" w:cs="宋体"/>
                <w:color w:val="000000"/>
                <w:kern w:val="0"/>
                <w:sz w:val="18"/>
                <w:szCs w:val="18"/>
              </w:rPr>
              <w:t>≥</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443AB2">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_GB2312" w:cs="Times New Roman"/>
                <w:color w:val="000000"/>
                <w:sz w:val="18"/>
                <w:szCs w:val="18"/>
              </w:rPr>
            </w:pPr>
            <w:r>
              <w:rPr>
                <w:rFonts w:hint="default" w:ascii="宋体" w:hAnsi="宋体" w:eastAsia="宋体" w:cs="宋体"/>
                <w:color w:val="000000"/>
                <w:kern w:val="0"/>
                <w:sz w:val="18"/>
                <w:szCs w:val="18"/>
              </w:rPr>
              <w:t>10</w:t>
            </w:r>
          </w:p>
        </w:tc>
        <w:tc>
          <w:tcPr>
            <w:tcW w:w="10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3F4765">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_GB2312" w:cs="Times New Roman"/>
                <w:color w:val="000000"/>
                <w:sz w:val="18"/>
                <w:szCs w:val="18"/>
              </w:rPr>
            </w:pPr>
            <w:r>
              <w:rPr>
                <w:rFonts w:hint="default" w:ascii="宋体" w:hAnsi="宋体" w:eastAsia="宋体" w:cs="宋体"/>
                <w:color w:val="000000"/>
                <w:kern w:val="0"/>
                <w:sz w:val="18"/>
                <w:szCs w:val="18"/>
              </w:rPr>
              <w:t>张</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1369D6">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_GB2312" w:cs="Times New Roman"/>
                <w:color w:val="000000"/>
                <w:sz w:val="18"/>
                <w:szCs w:val="18"/>
              </w:rPr>
            </w:pPr>
            <w:r>
              <w:rPr>
                <w:rFonts w:hint="eastAsia" w:ascii="微软雅黑" w:hAnsi="微软雅黑" w:eastAsia="微软雅黑" w:cs="微软雅黑"/>
                <w:i/>
                <w:color w:val="000000"/>
                <w:kern w:val="0"/>
                <w:sz w:val="16"/>
                <w:szCs w:val="16"/>
              </w:rPr>
              <w:t>10</w:t>
            </w:r>
          </w:p>
        </w:tc>
        <w:tc>
          <w:tcPr>
            <w:tcW w:w="18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C8D6C1">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_GB2312" w:cs="Times New Roman"/>
                <w:color w:val="000000"/>
                <w:sz w:val="18"/>
                <w:szCs w:val="18"/>
              </w:rPr>
            </w:pPr>
            <w:r>
              <w:rPr>
                <w:rFonts w:hint="default" w:ascii="宋体" w:hAnsi="宋体" w:eastAsia="宋体" w:cs="宋体"/>
                <w:color w:val="000000"/>
                <w:kern w:val="0"/>
                <w:sz w:val="18"/>
                <w:szCs w:val="18"/>
              </w:rPr>
              <w:t>5</w:t>
            </w:r>
          </w:p>
        </w:tc>
      </w:tr>
      <w:tr w14:paraId="4D92963D">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6DDEC259">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10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ED0771">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1250" w:type="dxa"/>
            <w:vMerge w:val="continue"/>
            <w:tcBorders>
              <w:left w:val="single" w:color="000000" w:sz="4" w:space="0"/>
              <w:bottom w:val="single" w:color="000000" w:sz="4" w:space="0"/>
              <w:right w:val="single" w:color="000000" w:sz="4" w:space="0"/>
            </w:tcBorders>
            <w:shd w:val="clear" w:color="auto" w:fill="auto"/>
            <w:vAlign w:val="center"/>
          </w:tcPr>
          <w:p w14:paraId="5B65DE7B">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1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B03CE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18"/>
                <w:szCs w:val="18"/>
              </w:rPr>
            </w:pPr>
            <w:r>
              <w:rPr>
                <w:rFonts w:hint="default" w:ascii="宋体" w:hAnsi="宋体" w:eastAsia="宋体" w:cs="宋体"/>
                <w:color w:val="000000"/>
                <w:kern w:val="0"/>
                <w:sz w:val="18"/>
                <w:szCs w:val="18"/>
              </w:rPr>
              <w:t>指标4：会议材料（包含宣传画册、文件资料、学习读本等）</w:t>
            </w:r>
          </w:p>
        </w:tc>
        <w:tc>
          <w:tcPr>
            <w:tcW w:w="6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85B52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18"/>
                <w:szCs w:val="18"/>
              </w:rPr>
            </w:pPr>
            <w:r>
              <w:rPr>
                <w:rFonts w:hint="default" w:ascii="宋体" w:hAnsi="宋体" w:eastAsia="宋体" w:cs="宋体"/>
                <w:color w:val="000000"/>
                <w:kern w:val="0"/>
                <w:sz w:val="18"/>
                <w:szCs w:val="18"/>
              </w:rPr>
              <w:t>≥</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A659F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18"/>
                <w:szCs w:val="18"/>
              </w:rPr>
            </w:pPr>
            <w:r>
              <w:rPr>
                <w:rFonts w:hint="default" w:ascii="宋体" w:hAnsi="宋体" w:eastAsia="宋体" w:cs="宋体"/>
                <w:color w:val="000000"/>
                <w:kern w:val="0"/>
                <w:sz w:val="18"/>
                <w:szCs w:val="18"/>
              </w:rPr>
              <w:t>160</w:t>
            </w:r>
          </w:p>
        </w:tc>
        <w:tc>
          <w:tcPr>
            <w:tcW w:w="10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5D56D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18"/>
                <w:szCs w:val="18"/>
              </w:rPr>
            </w:pPr>
            <w:r>
              <w:rPr>
                <w:rFonts w:hint="default" w:ascii="宋体" w:hAnsi="宋体" w:eastAsia="宋体" w:cs="宋体"/>
                <w:color w:val="000000"/>
                <w:kern w:val="0"/>
                <w:sz w:val="18"/>
                <w:szCs w:val="18"/>
              </w:rPr>
              <w:t>份</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AF88E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18"/>
                <w:szCs w:val="18"/>
              </w:rPr>
            </w:pPr>
            <w:r>
              <w:rPr>
                <w:rFonts w:hint="eastAsia" w:ascii="微软雅黑" w:hAnsi="微软雅黑" w:eastAsia="微软雅黑" w:cs="微软雅黑"/>
                <w:i/>
                <w:color w:val="000000"/>
                <w:kern w:val="0"/>
                <w:sz w:val="16"/>
                <w:szCs w:val="16"/>
              </w:rPr>
              <w:t>160</w:t>
            </w:r>
          </w:p>
        </w:tc>
        <w:tc>
          <w:tcPr>
            <w:tcW w:w="18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E528A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18"/>
                <w:szCs w:val="18"/>
              </w:rPr>
            </w:pPr>
            <w:r>
              <w:rPr>
                <w:rFonts w:hint="default" w:ascii="宋体" w:hAnsi="宋体" w:eastAsia="宋体" w:cs="宋体"/>
                <w:color w:val="000000"/>
                <w:kern w:val="0"/>
                <w:sz w:val="18"/>
                <w:szCs w:val="18"/>
              </w:rPr>
              <w:t>5</w:t>
            </w:r>
          </w:p>
        </w:tc>
      </w:tr>
      <w:tr w14:paraId="256610B6">
        <w:tblPrEx>
          <w:tblCellMar>
            <w:top w:w="15" w:type="dxa"/>
            <w:left w:w="15" w:type="dxa"/>
            <w:bottom w:w="15" w:type="dxa"/>
            <w:right w:w="15" w:type="dxa"/>
          </w:tblCellMar>
        </w:tblPrEx>
        <w:trPr>
          <w:trHeight w:val="640"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64492F54">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10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A55C15">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12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CFE277">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质量指标</w:t>
            </w:r>
          </w:p>
        </w:tc>
        <w:tc>
          <w:tcPr>
            <w:tcW w:w="1806" w:type="dxa"/>
            <w:tcBorders>
              <w:top w:val="single" w:color="000000" w:sz="4" w:space="0"/>
              <w:left w:val="single" w:color="000000" w:sz="4" w:space="0"/>
              <w:right w:val="single" w:color="000000" w:sz="4" w:space="0"/>
            </w:tcBorders>
            <w:shd w:val="clear" w:color="auto" w:fill="auto"/>
            <w:vAlign w:val="center"/>
          </w:tcPr>
          <w:p w14:paraId="10317D0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18"/>
                <w:szCs w:val="18"/>
              </w:rPr>
              <w:t>指标1：会议质量</w:t>
            </w:r>
          </w:p>
        </w:tc>
        <w:tc>
          <w:tcPr>
            <w:tcW w:w="633" w:type="dxa"/>
            <w:tcBorders>
              <w:top w:val="single" w:color="000000" w:sz="4" w:space="0"/>
              <w:left w:val="single" w:color="000000" w:sz="4" w:space="0"/>
              <w:right w:val="single" w:color="000000" w:sz="4" w:space="0"/>
            </w:tcBorders>
            <w:shd w:val="clear" w:color="auto" w:fill="auto"/>
            <w:vAlign w:val="center"/>
          </w:tcPr>
          <w:p w14:paraId="3368173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18"/>
                <w:szCs w:val="18"/>
              </w:rPr>
            </w:pPr>
            <w:r>
              <w:rPr>
                <w:rFonts w:hint="default" w:ascii="宋体" w:hAnsi="宋体" w:eastAsia="宋体" w:cs="宋体"/>
                <w:color w:val="000000"/>
                <w:kern w:val="0"/>
                <w:sz w:val="18"/>
                <w:szCs w:val="18"/>
              </w:rPr>
              <w:t>定性</w:t>
            </w:r>
          </w:p>
        </w:tc>
        <w:tc>
          <w:tcPr>
            <w:tcW w:w="971" w:type="dxa"/>
            <w:tcBorders>
              <w:top w:val="single" w:color="000000" w:sz="4" w:space="0"/>
              <w:left w:val="single" w:color="000000" w:sz="4" w:space="0"/>
              <w:right w:val="single" w:color="000000" w:sz="4" w:space="0"/>
            </w:tcBorders>
            <w:shd w:val="clear" w:color="auto" w:fill="auto"/>
            <w:vAlign w:val="center"/>
          </w:tcPr>
          <w:p w14:paraId="01BA53E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18"/>
                <w:szCs w:val="18"/>
              </w:rPr>
            </w:pPr>
            <w:r>
              <w:rPr>
                <w:rFonts w:hint="default" w:ascii="宋体" w:hAnsi="宋体" w:eastAsia="宋体" w:cs="宋体"/>
                <w:color w:val="000000"/>
                <w:kern w:val="0"/>
                <w:sz w:val="18"/>
                <w:szCs w:val="18"/>
              </w:rPr>
              <w:t>成功召开现场会和组织调研。</w:t>
            </w:r>
          </w:p>
        </w:tc>
        <w:tc>
          <w:tcPr>
            <w:tcW w:w="1061" w:type="dxa"/>
            <w:tcBorders>
              <w:top w:val="single" w:color="000000" w:sz="4" w:space="0"/>
              <w:left w:val="single" w:color="000000" w:sz="4" w:space="0"/>
              <w:right w:val="single" w:color="000000" w:sz="4" w:space="0"/>
            </w:tcBorders>
            <w:shd w:val="clear" w:color="auto" w:fill="auto"/>
            <w:vAlign w:val="center"/>
          </w:tcPr>
          <w:p w14:paraId="3B67486A">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p>
        </w:tc>
        <w:tc>
          <w:tcPr>
            <w:tcW w:w="938" w:type="dxa"/>
            <w:tcBorders>
              <w:top w:val="single" w:color="000000" w:sz="4" w:space="0"/>
              <w:left w:val="single" w:color="000000" w:sz="4" w:space="0"/>
              <w:right w:val="single" w:color="000000" w:sz="4" w:space="0"/>
            </w:tcBorders>
            <w:shd w:val="clear" w:color="auto" w:fill="auto"/>
            <w:vAlign w:val="center"/>
          </w:tcPr>
          <w:p w14:paraId="7F483CC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18"/>
                <w:szCs w:val="18"/>
              </w:rPr>
            </w:pPr>
            <w:r>
              <w:rPr>
                <w:rFonts w:hint="default" w:ascii="宋体" w:hAnsi="宋体" w:eastAsia="宋体" w:cs="宋体"/>
                <w:color w:val="000000"/>
                <w:kern w:val="0"/>
                <w:sz w:val="18"/>
                <w:szCs w:val="18"/>
              </w:rPr>
              <w:t>成功召开现场会和组织调研。</w:t>
            </w:r>
          </w:p>
        </w:tc>
        <w:tc>
          <w:tcPr>
            <w:tcW w:w="1841" w:type="dxa"/>
            <w:tcBorders>
              <w:top w:val="single" w:color="000000" w:sz="4" w:space="0"/>
              <w:left w:val="single" w:color="000000" w:sz="4" w:space="0"/>
              <w:right w:val="single" w:color="000000" w:sz="4" w:space="0"/>
            </w:tcBorders>
            <w:shd w:val="clear" w:color="auto" w:fill="auto"/>
            <w:vAlign w:val="center"/>
          </w:tcPr>
          <w:p w14:paraId="4D035FB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18"/>
                <w:szCs w:val="18"/>
              </w:rPr>
            </w:pPr>
            <w:r>
              <w:rPr>
                <w:rFonts w:hint="default" w:ascii="宋体" w:hAnsi="宋体" w:eastAsia="宋体" w:cs="宋体"/>
                <w:color w:val="000000"/>
                <w:kern w:val="0"/>
                <w:sz w:val="18"/>
                <w:szCs w:val="18"/>
              </w:rPr>
              <w:t>10</w:t>
            </w:r>
          </w:p>
        </w:tc>
      </w:tr>
      <w:tr w14:paraId="117EEF77">
        <w:tblPrEx>
          <w:tblCellMar>
            <w:top w:w="15" w:type="dxa"/>
            <w:left w:w="15" w:type="dxa"/>
            <w:bottom w:w="15" w:type="dxa"/>
            <w:right w:w="15" w:type="dxa"/>
          </w:tblCellMar>
        </w:tblPrEx>
        <w:trPr>
          <w:trHeight w:val="324"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30D7D7EC">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10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D10FD4">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1250" w:type="dxa"/>
            <w:tcBorders>
              <w:top w:val="single" w:color="000000" w:sz="4" w:space="0"/>
              <w:left w:val="single" w:color="000000" w:sz="4" w:space="0"/>
              <w:right w:val="single" w:color="000000" w:sz="4" w:space="0"/>
            </w:tcBorders>
            <w:shd w:val="clear" w:color="auto" w:fill="auto"/>
            <w:vAlign w:val="center"/>
          </w:tcPr>
          <w:p w14:paraId="5C5A51EF">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时效指标</w:t>
            </w:r>
          </w:p>
        </w:tc>
        <w:tc>
          <w:tcPr>
            <w:tcW w:w="1806" w:type="dxa"/>
            <w:tcBorders>
              <w:top w:val="single" w:color="000000" w:sz="4" w:space="0"/>
              <w:left w:val="single" w:color="000000" w:sz="4" w:space="0"/>
              <w:right w:val="single" w:color="000000" w:sz="4" w:space="0"/>
            </w:tcBorders>
            <w:shd w:val="clear" w:color="auto" w:fill="auto"/>
            <w:vAlign w:val="center"/>
          </w:tcPr>
          <w:p w14:paraId="3A2B6E9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18"/>
                <w:szCs w:val="18"/>
              </w:rPr>
            </w:pPr>
            <w:r>
              <w:rPr>
                <w:rFonts w:hint="default" w:ascii="宋体" w:hAnsi="宋体" w:eastAsia="宋体" w:cs="宋体"/>
                <w:color w:val="000000"/>
                <w:kern w:val="0"/>
                <w:sz w:val="18"/>
                <w:szCs w:val="18"/>
              </w:rPr>
              <w:t>指标1：完成时间</w:t>
            </w:r>
          </w:p>
        </w:tc>
        <w:tc>
          <w:tcPr>
            <w:tcW w:w="633" w:type="dxa"/>
            <w:tcBorders>
              <w:top w:val="single" w:color="000000" w:sz="4" w:space="0"/>
              <w:left w:val="single" w:color="000000" w:sz="4" w:space="0"/>
              <w:right w:val="single" w:color="000000" w:sz="4" w:space="0"/>
            </w:tcBorders>
            <w:shd w:val="clear" w:color="auto" w:fill="auto"/>
            <w:vAlign w:val="center"/>
          </w:tcPr>
          <w:p w14:paraId="316C963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18"/>
                <w:szCs w:val="18"/>
              </w:rPr>
            </w:pPr>
            <w:r>
              <w:rPr>
                <w:rFonts w:hint="default" w:ascii="宋体" w:hAnsi="宋体" w:eastAsia="宋体" w:cs="宋体"/>
                <w:color w:val="000000"/>
                <w:kern w:val="0"/>
                <w:sz w:val="18"/>
                <w:szCs w:val="18"/>
              </w:rPr>
              <w:t>≥</w:t>
            </w:r>
          </w:p>
        </w:tc>
        <w:tc>
          <w:tcPr>
            <w:tcW w:w="971" w:type="dxa"/>
            <w:tcBorders>
              <w:top w:val="single" w:color="000000" w:sz="4" w:space="0"/>
              <w:left w:val="single" w:color="000000" w:sz="4" w:space="0"/>
              <w:right w:val="single" w:color="000000" w:sz="4" w:space="0"/>
            </w:tcBorders>
            <w:shd w:val="clear" w:color="auto" w:fill="auto"/>
            <w:vAlign w:val="center"/>
          </w:tcPr>
          <w:p w14:paraId="4B83B54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18"/>
                <w:szCs w:val="18"/>
              </w:rPr>
            </w:pPr>
            <w:r>
              <w:rPr>
                <w:rFonts w:hint="default" w:ascii="宋体" w:hAnsi="宋体" w:eastAsia="宋体" w:cs="宋体"/>
                <w:color w:val="000000"/>
                <w:kern w:val="0"/>
                <w:sz w:val="18"/>
                <w:szCs w:val="18"/>
              </w:rPr>
              <w:t>3</w:t>
            </w:r>
          </w:p>
        </w:tc>
        <w:tc>
          <w:tcPr>
            <w:tcW w:w="1061" w:type="dxa"/>
            <w:tcBorders>
              <w:top w:val="single" w:color="000000" w:sz="4" w:space="0"/>
              <w:left w:val="single" w:color="000000" w:sz="4" w:space="0"/>
              <w:right w:val="single" w:color="000000" w:sz="4" w:space="0"/>
            </w:tcBorders>
            <w:shd w:val="clear" w:color="auto" w:fill="auto"/>
            <w:vAlign w:val="center"/>
          </w:tcPr>
          <w:p w14:paraId="0AB5932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18"/>
                <w:szCs w:val="18"/>
              </w:rPr>
            </w:pPr>
            <w:r>
              <w:rPr>
                <w:rFonts w:hint="default" w:ascii="宋体" w:hAnsi="宋体" w:eastAsia="宋体" w:cs="宋体"/>
                <w:color w:val="000000"/>
                <w:kern w:val="0"/>
                <w:sz w:val="18"/>
                <w:szCs w:val="18"/>
              </w:rPr>
              <w:t>月</w:t>
            </w:r>
          </w:p>
        </w:tc>
        <w:tc>
          <w:tcPr>
            <w:tcW w:w="938" w:type="dxa"/>
            <w:tcBorders>
              <w:top w:val="single" w:color="000000" w:sz="4" w:space="0"/>
              <w:left w:val="single" w:color="000000" w:sz="4" w:space="0"/>
              <w:right w:val="single" w:color="000000" w:sz="4" w:space="0"/>
            </w:tcBorders>
            <w:shd w:val="clear" w:color="auto" w:fill="auto"/>
            <w:vAlign w:val="center"/>
          </w:tcPr>
          <w:p w14:paraId="091E4CD6">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p>
        </w:tc>
        <w:tc>
          <w:tcPr>
            <w:tcW w:w="1841" w:type="dxa"/>
            <w:tcBorders>
              <w:top w:val="single" w:color="000000" w:sz="4" w:space="0"/>
              <w:left w:val="single" w:color="000000" w:sz="4" w:space="0"/>
              <w:right w:val="single" w:color="000000" w:sz="4" w:space="0"/>
            </w:tcBorders>
            <w:shd w:val="clear" w:color="auto" w:fill="auto"/>
            <w:vAlign w:val="center"/>
          </w:tcPr>
          <w:p w14:paraId="1276811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18"/>
                <w:szCs w:val="18"/>
              </w:rPr>
            </w:pPr>
            <w:r>
              <w:rPr>
                <w:rFonts w:hint="default" w:ascii="宋体" w:hAnsi="宋体" w:eastAsia="宋体" w:cs="宋体"/>
                <w:color w:val="000000"/>
                <w:kern w:val="0"/>
                <w:sz w:val="18"/>
                <w:szCs w:val="18"/>
              </w:rPr>
              <w:t>5</w:t>
            </w:r>
          </w:p>
        </w:tc>
      </w:tr>
      <w:tr w14:paraId="309286F9">
        <w:tblPrEx>
          <w:tblCellMar>
            <w:top w:w="15" w:type="dxa"/>
            <w:left w:w="15" w:type="dxa"/>
            <w:bottom w:w="15" w:type="dxa"/>
            <w:right w:w="15" w:type="dxa"/>
          </w:tblCellMar>
        </w:tblPrEx>
        <w:trPr>
          <w:trHeight w:val="640"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6C1F36F6">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108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EC91F20">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效益指标</w:t>
            </w:r>
          </w:p>
        </w:tc>
        <w:tc>
          <w:tcPr>
            <w:tcW w:w="12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6D219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18"/>
                <w:szCs w:val="18"/>
              </w:rPr>
              <w:t>经济效益指标</w:t>
            </w:r>
          </w:p>
        </w:tc>
        <w:tc>
          <w:tcPr>
            <w:tcW w:w="1806" w:type="dxa"/>
            <w:tcBorders>
              <w:top w:val="single" w:color="000000" w:sz="4" w:space="0"/>
              <w:left w:val="single" w:color="000000" w:sz="4" w:space="0"/>
              <w:right w:val="single" w:color="000000" w:sz="4" w:space="0"/>
            </w:tcBorders>
            <w:shd w:val="clear" w:color="auto" w:fill="auto"/>
            <w:vAlign w:val="center"/>
          </w:tcPr>
          <w:p w14:paraId="7AAE585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18"/>
                <w:szCs w:val="18"/>
              </w:rPr>
            </w:pPr>
            <w:r>
              <w:rPr>
                <w:rFonts w:hint="default" w:ascii="宋体" w:hAnsi="宋体" w:eastAsia="宋体" w:cs="宋体"/>
                <w:color w:val="000000"/>
                <w:kern w:val="0"/>
                <w:sz w:val="18"/>
                <w:szCs w:val="18"/>
              </w:rPr>
              <w:t>指标1：提升广元生态产品  知名度</w:t>
            </w:r>
          </w:p>
        </w:tc>
        <w:tc>
          <w:tcPr>
            <w:tcW w:w="633" w:type="dxa"/>
            <w:tcBorders>
              <w:top w:val="single" w:color="000000" w:sz="4" w:space="0"/>
              <w:left w:val="single" w:color="000000" w:sz="4" w:space="0"/>
              <w:right w:val="single" w:color="000000" w:sz="4" w:space="0"/>
            </w:tcBorders>
            <w:shd w:val="clear" w:color="auto" w:fill="auto"/>
            <w:vAlign w:val="center"/>
          </w:tcPr>
          <w:p w14:paraId="6065186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18"/>
                <w:szCs w:val="18"/>
              </w:rPr>
            </w:pPr>
            <w:r>
              <w:rPr>
                <w:rFonts w:hint="default" w:ascii="宋体" w:hAnsi="宋体" w:eastAsia="宋体" w:cs="宋体"/>
                <w:color w:val="000000"/>
                <w:kern w:val="0"/>
                <w:sz w:val="18"/>
                <w:szCs w:val="18"/>
              </w:rPr>
              <w:t>定性</w:t>
            </w:r>
          </w:p>
        </w:tc>
        <w:tc>
          <w:tcPr>
            <w:tcW w:w="971" w:type="dxa"/>
            <w:tcBorders>
              <w:top w:val="single" w:color="000000" w:sz="4" w:space="0"/>
              <w:left w:val="single" w:color="000000" w:sz="4" w:space="0"/>
              <w:right w:val="single" w:color="000000" w:sz="4" w:space="0"/>
            </w:tcBorders>
            <w:shd w:val="clear" w:color="auto" w:fill="auto"/>
            <w:vAlign w:val="center"/>
          </w:tcPr>
          <w:p w14:paraId="797447F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18"/>
                <w:szCs w:val="18"/>
              </w:rPr>
            </w:pPr>
            <w:r>
              <w:rPr>
                <w:rFonts w:hint="default" w:ascii="宋体" w:hAnsi="宋体" w:eastAsia="宋体" w:cs="宋体"/>
                <w:color w:val="000000"/>
                <w:kern w:val="0"/>
                <w:sz w:val="18"/>
                <w:szCs w:val="18"/>
              </w:rPr>
              <w:t>通过画册宣传、现场推介及新闻报道等，提升广元生态产品知名度，扩大市场影响力。</w:t>
            </w:r>
          </w:p>
        </w:tc>
        <w:tc>
          <w:tcPr>
            <w:tcW w:w="1061" w:type="dxa"/>
            <w:tcBorders>
              <w:top w:val="single" w:color="000000" w:sz="4" w:space="0"/>
              <w:left w:val="single" w:color="000000" w:sz="4" w:space="0"/>
              <w:right w:val="single" w:color="000000" w:sz="4" w:space="0"/>
            </w:tcBorders>
            <w:shd w:val="clear" w:color="auto" w:fill="auto"/>
            <w:vAlign w:val="center"/>
          </w:tcPr>
          <w:p w14:paraId="514999CE">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p>
        </w:tc>
        <w:tc>
          <w:tcPr>
            <w:tcW w:w="938" w:type="dxa"/>
            <w:tcBorders>
              <w:top w:val="single" w:color="000000" w:sz="4" w:space="0"/>
              <w:left w:val="single" w:color="000000" w:sz="4" w:space="0"/>
              <w:right w:val="single" w:color="000000" w:sz="4" w:space="0"/>
            </w:tcBorders>
            <w:shd w:val="clear" w:color="auto" w:fill="auto"/>
            <w:vAlign w:val="center"/>
          </w:tcPr>
          <w:p w14:paraId="77652B1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18"/>
                <w:szCs w:val="18"/>
              </w:rPr>
            </w:pPr>
            <w:r>
              <w:rPr>
                <w:rFonts w:hint="default" w:ascii="宋体" w:hAnsi="宋体" w:eastAsia="宋体" w:cs="宋体"/>
                <w:color w:val="000000"/>
                <w:kern w:val="0"/>
                <w:sz w:val="18"/>
                <w:szCs w:val="18"/>
              </w:rPr>
              <w:t>通过多角度全方位系列宣传，我市生态产品知名度逐步提升，市场影响力逐步扩大。</w:t>
            </w:r>
          </w:p>
        </w:tc>
        <w:tc>
          <w:tcPr>
            <w:tcW w:w="1841" w:type="dxa"/>
            <w:tcBorders>
              <w:top w:val="single" w:color="000000" w:sz="4" w:space="0"/>
              <w:left w:val="single" w:color="000000" w:sz="4" w:space="0"/>
              <w:right w:val="single" w:color="000000" w:sz="4" w:space="0"/>
            </w:tcBorders>
            <w:shd w:val="clear" w:color="auto" w:fill="auto"/>
            <w:vAlign w:val="center"/>
          </w:tcPr>
          <w:p w14:paraId="027BABF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18"/>
                <w:szCs w:val="18"/>
              </w:rPr>
            </w:pPr>
            <w:r>
              <w:rPr>
                <w:rFonts w:hint="default" w:ascii="宋体" w:hAnsi="宋体" w:eastAsia="宋体" w:cs="宋体"/>
                <w:color w:val="000000"/>
                <w:kern w:val="0"/>
                <w:sz w:val="18"/>
                <w:szCs w:val="18"/>
              </w:rPr>
              <w:t>15</w:t>
            </w:r>
          </w:p>
        </w:tc>
      </w:tr>
      <w:tr w14:paraId="6BACD7EF">
        <w:tblPrEx>
          <w:tblCellMar>
            <w:top w:w="15" w:type="dxa"/>
            <w:left w:w="15" w:type="dxa"/>
            <w:bottom w:w="15" w:type="dxa"/>
            <w:right w:w="15" w:type="dxa"/>
          </w:tblCellMar>
        </w:tblPrEx>
        <w:trPr>
          <w:trHeight w:val="769"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4E8F22DC">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10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73E7E9">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1250" w:type="dxa"/>
            <w:tcBorders>
              <w:top w:val="single" w:color="000000" w:sz="4" w:space="0"/>
              <w:left w:val="single" w:color="000000" w:sz="4" w:space="0"/>
              <w:right w:val="single" w:color="000000" w:sz="4" w:space="0"/>
            </w:tcBorders>
            <w:shd w:val="clear" w:color="auto" w:fill="auto"/>
            <w:vAlign w:val="center"/>
          </w:tcPr>
          <w:p w14:paraId="11D0F88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18"/>
                <w:szCs w:val="18"/>
              </w:rPr>
              <w:t>社会效益指标</w:t>
            </w:r>
          </w:p>
        </w:tc>
        <w:tc>
          <w:tcPr>
            <w:tcW w:w="1806" w:type="dxa"/>
            <w:tcBorders>
              <w:top w:val="single" w:color="000000" w:sz="4" w:space="0"/>
              <w:left w:val="single" w:color="000000" w:sz="4" w:space="0"/>
              <w:right w:val="single" w:color="000000" w:sz="4" w:space="0"/>
            </w:tcBorders>
            <w:shd w:val="clear" w:color="auto" w:fill="auto"/>
            <w:vAlign w:val="center"/>
          </w:tcPr>
          <w:p w14:paraId="7DB834D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18"/>
                <w:szCs w:val="18"/>
              </w:rPr>
              <w:t>指标1：提高广元试点工作知名度</w:t>
            </w:r>
          </w:p>
        </w:tc>
        <w:tc>
          <w:tcPr>
            <w:tcW w:w="633" w:type="dxa"/>
            <w:tcBorders>
              <w:top w:val="single" w:color="000000" w:sz="4" w:space="0"/>
              <w:left w:val="single" w:color="000000" w:sz="4" w:space="0"/>
              <w:right w:val="single" w:color="000000" w:sz="4" w:space="0"/>
            </w:tcBorders>
            <w:shd w:val="clear" w:color="auto" w:fill="auto"/>
            <w:vAlign w:val="center"/>
          </w:tcPr>
          <w:p w14:paraId="1246B32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18"/>
                <w:szCs w:val="18"/>
              </w:rPr>
            </w:pPr>
            <w:r>
              <w:rPr>
                <w:rFonts w:hint="default" w:ascii="宋体" w:hAnsi="宋体" w:eastAsia="宋体" w:cs="宋体"/>
                <w:color w:val="000000"/>
                <w:kern w:val="0"/>
                <w:sz w:val="18"/>
                <w:szCs w:val="18"/>
              </w:rPr>
              <w:t>定性</w:t>
            </w:r>
          </w:p>
        </w:tc>
        <w:tc>
          <w:tcPr>
            <w:tcW w:w="971" w:type="dxa"/>
            <w:tcBorders>
              <w:top w:val="single" w:color="000000" w:sz="4" w:space="0"/>
              <w:left w:val="single" w:color="000000" w:sz="4" w:space="0"/>
              <w:right w:val="single" w:color="000000" w:sz="4" w:space="0"/>
            </w:tcBorders>
            <w:shd w:val="clear" w:color="auto" w:fill="auto"/>
            <w:vAlign w:val="center"/>
          </w:tcPr>
          <w:p w14:paraId="3D42A05B">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18"/>
                <w:szCs w:val="18"/>
              </w:rPr>
            </w:pPr>
            <w:r>
              <w:rPr>
                <w:rFonts w:hint="default" w:ascii="宋体" w:hAnsi="宋体" w:eastAsia="宋体" w:cs="宋体"/>
                <w:color w:val="000000"/>
                <w:kern w:val="0"/>
                <w:sz w:val="18"/>
                <w:szCs w:val="18"/>
              </w:rPr>
              <w:t>在现场会作经验交流发言。媒体</w:t>
            </w:r>
            <w:r>
              <w:rPr>
                <w:rFonts w:hint="eastAsia" w:ascii="宋体" w:hAnsi="宋体" w:eastAsia="宋体" w:cs="宋体"/>
                <w:color w:val="000000"/>
                <w:kern w:val="0"/>
                <w:sz w:val="18"/>
                <w:szCs w:val="18"/>
              </w:rPr>
              <w:t>宣传</w:t>
            </w:r>
            <w:r>
              <w:rPr>
                <w:rFonts w:hint="default" w:ascii="宋体" w:hAnsi="宋体" w:eastAsia="宋体" w:cs="宋体"/>
                <w:color w:val="000000"/>
                <w:kern w:val="0"/>
                <w:sz w:val="18"/>
                <w:szCs w:val="18"/>
              </w:rPr>
              <w:t>报道。</w:t>
            </w:r>
            <w:r>
              <w:rPr>
                <w:rFonts w:hint="eastAsia" w:ascii="宋体" w:hAnsi="宋体" w:eastAsia="宋体" w:cs="宋体"/>
                <w:color w:val="000000"/>
                <w:kern w:val="0"/>
                <w:sz w:val="18"/>
                <w:szCs w:val="18"/>
              </w:rPr>
              <w:t>我市经验做法被推介推广</w:t>
            </w:r>
            <w:r>
              <w:rPr>
                <w:rFonts w:hint="default" w:ascii="宋体" w:hAnsi="宋体" w:eastAsia="宋体" w:cs="宋体"/>
                <w:color w:val="000000"/>
                <w:kern w:val="0"/>
                <w:sz w:val="18"/>
                <w:szCs w:val="18"/>
              </w:rPr>
              <w:t>。</w:t>
            </w:r>
          </w:p>
        </w:tc>
        <w:tc>
          <w:tcPr>
            <w:tcW w:w="1061" w:type="dxa"/>
            <w:tcBorders>
              <w:top w:val="single" w:color="000000" w:sz="4" w:space="0"/>
              <w:left w:val="single" w:color="000000" w:sz="4" w:space="0"/>
              <w:right w:val="single" w:color="000000" w:sz="4" w:space="0"/>
            </w:tcBorders>
            <w:shd w:val="clear" w:color="auto" w:fill="auto"/>
            <w:vAlign w:val="center"/>
          </w:tcPr>
          <w:p w14:paraId="4F949BC4">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p>
        </w:tc>
        <w:tc>
          <w:tcPr>
            <w:tcW w:w="938" w:type="dxa"/>
            <w:tcBorders>
              <w:top w:val="single" w:color="000000" w:sz="4" w:space="0"/>
              <w:left w:val="single" w:color="000000" w:sz="4" w:space="0"/>
              <w:right w:val="single" w:color="000000" w:sz="4" w:space="0"/>
            </w:tcBorders>
            <w:shd w:val="clear" w:color="auto" w:fill="auto"/>
            <w:vAlign w:val="center"/>
          </w:tcPr>
          <w:p w14:paraId="72E5FEC0">
            <w:pPr>
              <w:keepNext w:val="0"/>
              <w:keepLines w:val="0"/>
              <w:widowControl/>
              <w:suppressLineNumbers w:val="0"/>
              <w:spacing w:before="0" w:beforeAutospacing="0" w:after="0" w:afterAutospacing="0"/>
              <w:ind w:left="0" w:right="0"/>
              <w:jc w:val="left"/>
              <w:textAlignment w:val="center"/>
              <w:rPr>
                <w:rFonts w:hint="default" w:ascii="宋体" w:hAnsi="宋体" w:eastAsia="宋体" w:cs="宋体"/>
                <w:color w:val="000000"/>
                <w:sz w:val="18"/>
                <w:szCs w:val="18"/>
              </w:rPr>
            </w:pPr>
            <w:r>
              <w:rPr>
                <w:rFonts w:hint="default" w:ascii="宋体" w:hAnsi="宋体" w:eastAsia="宋体" w:cs="宋体"/>
                <w:color w:val="000000"/>
                <w:kern w:val="0"/>
                <w:sz w:val="18"/>
                <w:szCs w:val="18"/>
              </w:rPr>
              <w:t>我市在现场会作经验交流发言。现场会情况和广元推进生态产品价值实现经验被人民网、中国改革报、中宏网、川观新闻等各大媒体宣传报道。国家推长</w:t>
            </w:r>
            <w:r>
              <w:rPr>
                <w:rFonts w:hint="eastAsia" w:ascii="宋体" w:hAnsi="宋体" w:eastAsia="宋体" w:cs="宋体"/>
                <w:color w:val="000000"/>
                <w:kern w:val="0"/>
                <w:sz w:val="18"/>
                <w:szCs w:val="18"/>
              </w:rPr>
              <w:t>办印发</w:t>
            </w:r>
            <w:r>
              <w:rPr>
                <w:rFonts w:hint="default" w:ascii="宋体" w:hAnsi="宋体" w:eastAsia="宋体" w:cs="宋体"/>
                <w:color w:val="000000"/>
                <w:kern w:val="0"/>
                <w:sz w:val="18"/>
                <w:szCs w:val="18"/>
              </w:rPr>
              <w:t>《四川省广元市多元探索生态产品价值实现路径》。国家、省发展改革委领导对我市生态产品价值实现机制试点工作提出建议和指导。</w:t>
            </w:r>
          </w:p>
        </w:tc>
        <w:tc>
          <w:tcPr>
            <w:tcW w:w="1841" w:type="dxa"/>
            <w:tcBorders>
              <w:top w:val="single" w:color="000000" w:sz="4" w:space="0"/>
              <w:left w:val="single" w:color="000000" w:sz="4" w:space="0"/>
              <w:right w:val="single" w:color="000000" w:sz="4" w:space="0"/>
            </w:tcBorders>
            <w:shd w:val="clear" w:color="auto" w:fill="auto"/>
            <w:vAlign w:val="center"/>
          </w:tcPr>
          <w:p w14:paraId="4C53480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18"/>
                <w:szCs w:val="18"/>
              </w:rPr>
            </w:pPr>
            <w:r>
              <w:rPr>
                <w:rFonts w:hint="default" w:ascii="宋体" w:hAnsi="宋体" w:eastAsia="宋体" w:cs="宋体"/>
                <w:color w:val="000000"/>
                <w:kern w:val="0"/>
                <w:sz w:val="18"/>
                <w:szCs w:val="18"/>
              </w:rPr>
              <w:t>15</w:t>
            </w:r>
          </w:p>
        </w:tc>
      </w:tr>
      <w:tr w14:paraId="27A4A23F">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4C87D5D5">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1081" w:type="dxa"/>
            <w:tcBorders>
              <w:top w:val="single" w:color="000000" w:sz="4" w:space="0"/>
              <w:left w:val="single" w:color="000000" w:sz="4" w:space="0"/>
              <w:right w:val="single" w:color="000000" w:sz="4" w:space="0"/>
            </w:tcBorders>
            <w:shd w:val="clear" w:color="auto" w:fill="auto"/>
            <w:vAlign w:val="center"/>
          </w:tcPr>
          <w:p w14:paraId="7EBA4122">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kern w:val="0"/>
                <w:sz w:val="24"/>
                <w:szCs w:val="24"/>
              </w:rPr>
            </w:pPr>
            <w:r>
              <w:rPr>
                <w:rFonts w:hint="default" w:ascii="宋体" w:hAnsi="宋体" w:eastAsia="宋体" w:cs="宋体"/>
                <w:color w:val="000000"/>
                <w:kern w:val="0"/>
                <w:sz w:val="24"/>
                <w:szCs w:val="24"/>
              </w:rPr>
              <w:t>满意度</w:t>
            </w:r>
          </w:p>
          <w:p w14:paraId="574C1969">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指标</w:t>
            </w:r>
          </w:p>
        </w:tc>
        <w:tc>
          <w:tcPr>
            <w:tcW w:w="1250" w:type="dxa"/>
            <w:tcBorders>
              <w:top w:val="single" w:color="000000" w:sz="4" w:space="0"/>
              <w:left w:val="single" w:color="000000" w:sz="4" w:space="0"/>
              <w:right w:val="single" w:color="000000" w:sz="4" w:space="0"/>
            </w:tcBorders>
            <w:shd w:val="clear" w:color="auto" w:fill="auto"/>
            <w:vAlign w:val="center"/>
          </w:tcPr>
          <w:p w14:paraId="1D8D99D4">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kern w:val="0"/>
                <w:sz w:val="24"/>
                <w:szCs w:val="24"/>
              </w:rPr>
            </w:pPr>
            <w:r>
              <w:rPr>
                <w:rFonts w:hint="default" w:ascii="宋体" w:hAnsi="宋体" w:eastAsia="宋体" w:cs="宋体"/>
                <w:color w:val="000000"/>
                <w:kern w:val="0"/>
                <w:sz w:val="24"/>
                <w:szCs w:val="24"/>
              </w:rPr>
              <w:t>服务对象</w:t>
            </w:r>
          </w:p>
          <w:p w14:paraId="17D6768C">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满意度指标</w:t>
            </w:r>
          </w:p>
        </w:tc>
        <w:tc>
          <w:tcPr>
            <w:tcW w:w="1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511EF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18"/>
                <w:szCs w:val="18"/>
              </w:rPr>
            </w:pPr>
            <w:r>
              <w:rPr>
                <w:rFonts w:hint="default" w:ascii="宋体" w:hAnsi="宋体" w:eastAsia="宋体" w:cs="宋体"/>
                <w:color w:val="000000"/>
                <w:kern w:val="0"/>
                <w:sz w:val="18"/>
                <w:szCs w:val="18"/>
              </w:rPr>
              <w:t>满意度指标</w:t>
            </w:r>
          </w:p>
        </w:tc>
        <w:tc>
          <w:tcPr>
            <w:tcW w:w="6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2F555F">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18"/>
                <w:szCs w:val="18"/>
              </w:rPr>
            </w:pPr>
            <w:r>
              <w:rPr>
                <w:rFonts w:hint="default" w:ascii="宋体" w:hAnsi="宋体" w:eastAsia="宋体" w:cs="宋体"/>
                <w:color w:val="000000"/>
                <w:kern w:val="0"/>
                <w:sz w:val="18"/>
                <w:szCs w:val="18"/>
              </w:rPr>
              <w:t>指标1：参会人员满意度</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FE41C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18"/>
                <w:szCs w:val="18"/>
              </w:rPr>
            </w:pPr>
            <w:r>
              <w:rPr>
                <w:rFonts w:hint="default" w:ascii="宋体" w:hAnsi="宋体" w:eastAsia="宋体" w:cs="宋体"/>
                <w:color w:val="000000"/>
                <w:kern w:val="0"/>
                <w:sz w:val="18"/>
                <w:szCs w:val="18"/>
              </w:rPr>
              <w:t>≥</w:t>
            </w:r>
          </w:p>
        </w:tc>
        <w:tc>
          <w:tcPr>
            <w:tcW w:w="10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74EB4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18"/>
                <w:szCs w:val="18"/>
              </w:rPr>
            </w:pPr>
            <w:r>
              <w:rPr>
                <w:rFonts w:hint="default" w:ascii="宋体" w:hAnsi="宋体" w:eastAsia="宋体" w:cs="宋体"/>
                <w:color w:val="000000"/>
                <w:kern w:val="0"/>
                <w:sz w:val="18"/>
                <w:szCs w:val="18"/>
              </w:rPr>
              <w:t>95</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91C70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18"/>
                <w:szCs w:val="18"/>
              </w:rPr>
            </w:pPr>
            <w:r>
              <w:rPr>
                <w:rFonts w:hint="default" w:ascii="宋体" w:hAnsi="宋体" w:eastAsia="宋体" w:cs="宋体"/>
                <w:color w:val="000000"/>
                <w:kern w:val="0"/>
                <w:sz w:val="18"/>
                <w:szCs w:val="18"/>
              </w:rPr>
              <w:t>%</w:t>
            </w:r>
          </w:p>
        </w:tc>
        <w:tc>
          <w:tcPr>
            <w:tcW w:w="18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2EFB9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18"/>
                <w:szCs w:val="18"/>
              </w:rPr>
            </w:pPr>
            <w:r>
              <w:rPr>
                <w:rFonts w:hint="default" w:ascii="宋体" w:hAnsi="宋体" w:eastAsia="宋体" w:cs="宋体"/>
                <w:color w:val="000000"/>
                <w:kern w:val="0"/>
                <w:sz w:val="18"/>
                <w:szCs w:val="18"/>
              </w:rPr>
              <w:t>98</w:t>
            </w:r>
          </w:p>
        </w:tc>
      </w:tr>
      <w:tr w14:paraId="667F4E7D">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487BC559">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10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A03569">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成本指标</w:t>
            </w:r>
          </w:p>
        </w:tc>
        <w:tc>
          <w:tcPr>
            <w:tcW w:w="1250" w:type="dxa"/>
            <w:tcBorders>
              <w:top w:val="single" w:color="000000" w:sz="4" w:space="0"/>
              <w:left w:val="single" w:color="000000" w:sz="4" w:space="0"/>
              <w:right w:val="single" w:color="000000" w:sz="4" w:space="0"/>
            </w:tcBorders>
            <w:shd w:val="clear" w:color="auto" w:fill="auto"/>
            <w:vAlign w:val="center"/>
          </w:tcPr>
          <w:p w14:paraId="5C754740">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kern w:val="0"/>
                <w:sz w:val="24"/>
                <w:szCs w:val="24"/>
              </w:rPr>
            </w:pPr>
            <w:r>
              <w:rPr>
                <w:rFonts w:hint="default" w:ascii="宋体" w:hAnsi="宋体" w:eastAsia="宋体" w:cs="宋体"/>
                <w:color w:val="000000"/>
                <w:kern w:val="0"/>
                <w:sz w:val="24"/>
                <w:szCs w:val="24"/>
              </w:rPr>
              <w:t>经济成本</w:t>
            </w:r>
          </w:p>
          <w:p w14:paraId="0353EDF1">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指标</w:t>
            </w:r>
          </w:p>
        </w:tc>
        <w:tc>
          <w:tcPr>
            <w:tcW w:w="1806" w:type="dxa"/>
            <w:tcBorders>
              <w:top w:val="single" w:color="000000" w:sz="4" w:space="0"/>
              <w:bottom w:val="single" w:color="000000" w:sz="4" w:space="0"/>
              <w:right w:val="single" w:color="000000" w:sz="4" w:space="0"/>
            </w:tcBorders>
            <w:shd w:val="clear" w:color="auto" w:fill="auto"/>
            <w:vAlign w:val="center"/>
          </w:tcPr>
          <w:p w14:paraId="2FF701A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18"/>
                <w:szCs w:val="18"/>
              </w:rPr>
            </w:pPr>
            <w:r>
              <w:rPr>
                <w:rFonts w:hint="default" w:ascii="宋体" w:hAnsi="宋体" w:eastAsia="宋体" w:cs="宋体"/>
                <w:color w:val="000000"/>
                <w:kern w:val="0"/>
                <w:sz w:val="18"/>
                <w:szCs w:val="18"/>
              </w:rPr>
              <w:t>经济成本指标</w:t>
            </w:r>
          </w:p>
        </w:tc>
        <w:tc>
          <w:tcPr>
            <w:tcW w:w="6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44795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18"/>
                <w:szCs w:val="18"/>
              </w:rPr>
            </w:pPr>
            <w:r>
              <w:rPr>
                <w:rFonts w:hint="default" w:ascii="宋体" w:hAnsi="宋体" w:eastAsia="宋体" w:cs="宋体"/>
                <w:color w:val="000000"/>
                <w:kern w:val="0"/>
                <w:sz w:val="18"/>
                <w:szCs w:val="18"/>
              </w:rPr>
              <w:t>指标1：会议及调研费</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F0312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18"/>
                <w:szCs w:val="18"/>
              </w:rPr>
            </w:pPr>
            <w:r>
              <w:rPr>
                <w:rFonts w:hint="default" w:ascii="宋体" w:hAnsi="宋体" w:eastAsia="宋体" w:cs="宋体"/>
                <w:color w:val="000000"/>
                <w:kern w:val="0"/>
                <w:sz w:val="18"/>
                <w:szCs w:val="18"/>
              </w:rPr>
              <w:t>＝</w:t>
            </w:r>
          </w:p>
        </w:tc>
        <w:tc>
          <w:tcPr>
            <w:tcW w:w="10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9B3B4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18"/>
                <w:szCs w:val="18"/>
              </w:rPr>
            </w:pPr>
            <w:r>
              <w:rPr>
                <w:rFonts w:hint="default" w:ascii="宋体" w:hAnsi="宋体" w:eastAsia="宋体" w:cs="宋体"/>
                <w:color w:val="000000"/>
                <w:kern w:val="0"/>
                <w:sz w:val="18"/>
                <w:szCs w:val="18"/>
              </w:rPr>
              <w:t>23.1945</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62FAB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18"/>
                <w:szCs w:val="18"/>
              </w:rPr>
            </w:pPr>
            <w:r>
              <w:rPr>
                <w:rFonts w:hint="default" w:ascii="宋体" w:hAnsi="宋体" w:eastAsia="宋体" w:cs="宋体"/>
                <w:color w:val="000000"/>
                <w:kern w:val="0"/>
                <w:sz w:val="18"/>
                <w:szCs w:val="18"/>
              </w:rPr>
              <w:t>万元</w:t>
            </w:r>
          </w:p>
        </w:tc>
        <w:tc>
          <w:tcPr>
            <w:tcW w:w="18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E3DD5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000000"/>
                <w:sz w:val="18"/>
                <w:szCs w:val="18"/>
              </w:rPr>
            </w:pPr>
            <w:r>
              <w:rPr>
                <w:rFonts w:hint="default" w:ascii="宋体" w:hAnsi="宋体" w:eastAsia="宋体" w:cs="宋体"/>
                <w:color w:val="000000"/>
                <w:kern w:val="0"/>
                <w:sz w:val="18"/>
                <w:szCs w:val="18"/>
              </w:rPr>
              <w:t>23.1945</w:t>
            </w:r>
          </w:p>
        </w:tc>
      </w:tr>
    </w:tbl>
    <w:p w14:paraId="3E47168E">
      <w:pPr>
        <w:spacing w:line="600" w:lineRule="exact"/>
        <w:jc w:val="center"/>
        <w:outlineLvl w:val="0"/>
        <w:rPr>
          <w:rFonts w:hint="eastAsia" w:ascii="黑体" w:hAnsi="黑体" w:eastAsia="黑体"/>
          <w:color w:val="auto"/>
          <w:sz w:val="44"/>
          <w:szCs w:val="44"/>
          <w:highlight w:val="none"/>
        </w:rPr>
      </w:pPr>
    </w:p>
    <w:p w14:paraId="78EB610C">
      <w:pPr>
        <w:keepNext w:val="0"/>
        <w:keepLines w:val="0"/>
        <w:pageBreakBefore w:val="0"/>
        <w:widowControl w:val="0"/>
        <w:kinsoku/>
        <w:wordWrap/>
        <w:overflowPunct/>
        <w:topLinePunct w:val="0"/>
        <w:autoSpaceDE/>
        <w:autoSpaceDN/>
        <w:bidi w:val="0"/>
        <w:spacing w:line="576" w:lineRule="exact"/>
        <w:ind w:left="0" w:leftChars="0"/>
        <w:jc w:val="center"/>
        <w:textAlignment w:val="auto"/>
        <w:rPr>
          <w:rFonts w:hint="eastAsia" w:ascii="方正小标宋简体" w:hAnsi="方正小标宋简体" w:eastAsia="方正小标宋简体" w:cs="方正小标宋简体"/>
          <w:color w:val="auto"/>
          <w:kern w:val="2"/>
          <w:sz w:val="44"/>
          <w:szCs w:val="44"/>
          <w:highlight w:val="none"/>
          <w:lang w:val="en-US" w:eastAsia="zh-CN" w:bidi="ar-SA"/>
        </w:rPr>
      </w:pPr>
      <w:r>
        <w:rPr>
          <w:rFonts w:hint="eastAsia" w:ascii="方正小标宋简体" w:hAnsi="方正小标宋简体" w:eastAsia="方正小标宋简体" w:cs="方正小标宋简体"/>
          <w:color w:val="auto"/>
          <w:kern w:val="2"/>
          <w:sz w:val="44"/>
          <w:szCs w:val="44"/>
          <w:highlight w:val="none"/>
          <w:lang w:val="en-US" w:eastAsia="zh-CN" w:bidi="ar-SA"/>
        </w:rPr>
        <w:t>成渝地区粮食安全保障基地（广元）实施方案专项预算项目绩效评价报告</w:t>
      </w:r>
    </w:p>
    <w:p w14:paraId="4CD194C9">
      <w:pPr>
        <w:keepNext w:val="0"/>
        <w:keepLines w:val="0"/>
        <w:pageBreakBefore w:val="0"/>
        <w:widowControl w:val="0"/>
        <w:kinsoku/>
        <w:wordWrap/>
        <w:overflowPunct/>
        <w:topLinePunct w:val="0"/>
        <w:autoSpaceDE/>
        <w:autoSpaceDN/>
        <w:bidi w:val="0"/>
        <w:spacing w:line="576" w:lineRule="exact"/>
        <w:ind w:left="0" w:leftChars="0" w:firstLine="640"/>
        <w:jc w:val="center"/>
        <w:textAlignment w:val="auto"/>
        <w:rPr>
          <w:rFonts w:ascii="宋体" w:hAnsi="宋体" w:eastAsia="宋体" w:cs="Times New Roman"/>
          <w:color w:val="auto"/>
          <w:kern w:val="2"/>
          <w:sz w:val="32"/>
          <w:szCs w:val="32"/>
          <w:highlight w:val="none"/>
          <w:lang w:val="zh-CN" w:eastAsia="zh-CN" w:bidi="ar-SA"/>
        </w:rPr>
      </w:pPr>
    </w:p>
    <w:p w14:paraId="592F3C93">
      <w:pPr>
        <w:keepNext w:val="0"/>
        <w:keepLines w:val="0"/>
        <w:pageBreakBefore w:val="0"/>
        <w:widowControl w:val="0"/>
        <w:numPr>
          <w:ilvl w:val="0"/>
          <w:numId w:val="10"/>
        </w:numPr>
        <w:kinsoku/>
        <w:wordWrap/>
        <w:overflowPunct/>
        <w:topLinePunct w:val="0"/>
        <w:autoSpaceDE/>
        <w:autoSpaceDN/>
        <w:bidi w:val="0"/>
        <w:adjustRightInd w:val="0"/>
        <w:snapToGrid w:val="0"/>
        <w:spacing w:line="576" w:lineRule="exact"/>
        <w:ind w:firstLine="640" w:firstLineChars="200"/>
        <w:textAlignment w:val="auto"/>
        <w:rPr>
          <w:rFonts w:hint="eastAsia" w:ascii="黑体" w:hAnsi="宋体" w:eastAsia="黑体"/>
          <w:sz w:val="32"/>
          <w:szCs w:val="32"/>
          <w:highlight w:val="none"/>
          <w:lang w:val="zh-CN"/>
        </w:rPr>
      </w:pPr>
      <w:r>
        <w:rPr>
          <w:rFonts w:hint="eastAsia" w:ascii="黑体" w:hAnsi="宋体" w:eastAsia="黑体"/>
          <w:sz w:val="32"/>
          <w:szCs w:val="32"/>
          <w:highlight w:val="none"/>
          <w:lang w:val="zh-CN"/>
        </w:rPr>
        <w:t>项目概况</w:t>
      </w:r>
    </w:p>
    <w:p w14:paraId="484B244A">
      <w:pPr>
        <w:keepNext/>
        <w:keepLines w:val="0"/>
        <w:pageBreakBefore w:val="0"/>
        <w:widowControl w:val="0"/>
        <w:numPr>
          <w:ilvl w:val="1"/>
          <w:numId w:val="0"/>
        </w:numPr>
        <w:kinsoku/>
        <w:wordWrap/>
        <w:topLinePunct w:val="0"/>
        <w:autoSpaceDE/>
        <w:autoSpaceDN/>
        <w:bidi w:val="0"/>
        <w:snapToGrid w:val="0"/>
        <w:spacing w:beforeLines="50" w:afterLines="50" w:line="576" w:lineRule="exact"/>
        <w:ind w:left="3150"/>
        <w:jc w:val="both"/>
        <w:outlineLvl w:val="1"/>
        <w:rPr>
          <w:rFonts w:hint="eastAsia" w:ascii="楷体_GB2312" w:hAnsi="宋体" w:eastAsia="楷体_GB2312" w:cs="Times New Roman"/>
          <w:b/>
          <w:color w:val="auto"/>
          <w:kern w:val="2"/>
          <w:sz w:val="32"/>
          <w:szCs w:val="32"/>
          <w:highlight w:val="none"/>
          <w:u w:val="none"/>
          <w:lang w:val="zh-CN" w:eastAsia="zh-CN" w:bidi="ar-SA"/>
        </w:rPr>
      </w:pPr>
      <w:r>
        <w:rPr>
          <w:rFonts w:hint="eastAsia" w:ascii="宋体" w:hAnsi="宋体" w:eastAsia="仿宋_GB2312" w:cs="Times New Roman"/>
          <w:b/>
          <w:color w:val="000000"/>
          <w:kern w:val="2"/>
          <w:sz w:val="32"/>
          <w:szCs w:val="32"/>
          <w:lang w:val="en-US" w:eastAsia="zh-CN" w:bidi="ar-SA"/>
        </w:rPr>
        <w:t xml:space="preserve">   </w:t>
      </w:r>
      <w:r>
        <w:rPr>
          <w:rFonts w:hint="eastAsia" w:ascii="楷体_GB2312" w:hAnsi="楷体_GB2312" w:eastAsia="楷体_GB2312" w:cs="楷体_GB2312"/>
          <w:b/>
          <w:color w:val="000000"/>
          <w:kern w:val="2"/>
          <w:sz w:val="32"/>
          <w:szCs w:val="32"/>
          <w:lang w:val="en-US" w:eastAsia="zh-CN" w:bidi="ar-SA"/>
        </w:rPr>
        <w:t>（一）</w:t>
      </w:r>
      <w:r>
        <w:rPr>
          <w:rFonts w:hint="eastAsia" w:ascii="楷体_GB2312" w:hAnsi="楷体_GB2312" w:eastAsia="楷体_GB2312" w:cs="楷体_GB2312"/>
          <w:b/>
          <w:color w:val="auto"/>
          <w:kern w:val="2"/>
          <w:sz w:val="32"/>
          <w:szCs w:val="32"/>
          <w:highlight w:val="none"/>
          <w:u w:val="none"/>
          <w:lang w:val="zh-CN" w:eastAsia="zh-CN" w:bidi="ar-SA"/>
        </w:rPr>
        <w:t>设立背景及基本情况</w:t>
      </w:r>
    </w:p>
    <w:p w14:paraId="59940A5E">
      <w:pPr>
        <w:keepNext/>
        <w:keepLines w:val="0"/>
        <w:pageBreakBefore w:val="0"/>
        <w:widowControl w:val="0"/>
        <w:numPr>
          <w:ilvl w:val="1"/>
          <w:numId w:val="0"/>
        </w:numPr>
        <w:kinsoku/>
        <w:wordWrap/>
        <w:topLinePunct w:val="0"/>
        <w:autoSpaceDE/>
        <w:autoSpaceDN/>
        <w:bidi w:val="0"/>
        <w:snapToGrid w:val="0"/>
        <w:spacing w:beforeLines="50" w:afterLines="50" w:line="576" w:lineRule="exact"/>
        <w:ind w:left="3150" w:firstLine="642"/>
        <w:jc w:val="both"/>
        <w:outlineLvl w:val="1"/>
        <w:rPr>
          <w:rFonts w:hint="eastAsia" w:ascii="仿宋_GB2312" w:hAnsi="仿宋_GB2312" w:eastAsia="仿宋_GB2312" w:cs="仿宋_GB2312"/>
          <w:b/>
          <w:bCs w:val="0"/>
          <w:color w:val="auto"/>
          <w:kern w:val="0"/>
          <w:sz w:val="32"/>
          <w:szCs w:val="32"/>
          <w:highlight w:val="none"/>
          <w:u w:val="none"/>
          <w:shd w:val="clear" w:color="auto" w:fill="FFFFFF"/>
          <w:lang w:val="en-US" w:eastAsia="zh-CN" w:bidi="ar-SA"/>
        </w:rPr>
      </w:pPr>
      <w:r>
        <w:rPr>
          <w:rFonts w:hint="eastAsia" w:ascii="仿宋_GB2312" w:hAnsi="仿宋_GB2312" w:eastAsia="仿宋_GB2312" w:cs="仿宋_GB2312"/>
          <w:b/>
          <w:bCs w:val="0"/>
          <w:color w:val="auto"/>
          <w:kern w:val="2"/>
          <w:sz w:val="32"/>
          <w:szCs w:val="32"/>
          <w:highlight w:val="none"/>
          <w:u w:val="none"/>
          <w:lang w:val="en-US" w:eastAsia="zh-CN" w:bidi="ar-SA"/>
        </w:rPr>
        <w:t>1.</w:t>
      </w:r>
      <w:r>
        <w:rPr>
          <w:rFonts w:hint="eastAsia" w:ascii="仿宋_GB2312" w:hAnsi="仿宋_GB2312" w:eastAsia="仿宋_GB2312" w:cs="仿宋_GB2312"/>
          <w:b/>
          <w:bCs w:val="0"/>
          <w:color w:val="auto"/>
          <w:kern w:val="0"/>
          <w:sz w:val="32"/>
          <w:szCs w:val="32"/>
          <w:highlight w:val="none"/>
          <w:u w:val="none"/>
          <w:shd w:val="clear" w:color="auto" w:fill="FFFFFF"/>
          <w:lang w:val="en-US" w:eastAsia="zh-CN" w:bidi="ar-SA"/>
        </w:rPr>
        <w:t>项目设立原因及背景。</w:t>
      </w:r>
      <w:r>
        <w:rPr>
          <w:rFonts w:hint="eastAsia" w:ascii="仿宋_GB2312" w:hAnsi="仿宋_GB2312" w:eastAsia="仿宋_GB2312" w:cs="仿宋_GB2312"/>
          <w:b w:val="0"/>
          <w:bCs/>
          <w:color w:val="auto"/>
          <w:kern w:val="0"/>
          <w:sz w:val="32"/>
          <w:szCs w:val="32"/>
          <w:highlight w:val="none"/>
          <w:u w:val="none"/>
          <w:shd w:val="clear" w:color="auto" w:fill="FFFFFF"/>
          <w:lang w:val="en-US" w:eastAsia="zh-CN" w:bidi="ar-SA"/>
        </w:rPr>
        <w:t>根据《“十四五”粮食仓储物流设施布局和建设规划》《四川省“十四五”粮食和应急物资储备发展规划》，为贯彻落实市委1345发展战略，加快推进通道优势向经济优势转变，立足广元粮食物流关键节点等基础条件特编制此方案。实施方案编制单位为国家粮食科学研究院。</w:t>
      </w:r>
    </w:p>
    <w:p w14:paraId="0741090E">
      <w:pPr>
        <w:keepLines w:val="0"/>
        <w:pageBreakBefore w:val="0"/>
        <w:kinsoku/>
        <w:wordWrap/>
        <w:topLinePunct w:val="0"/>
        <w:autoSpaceDE/>
        <w:autoSpaceDN/>
        <w:bidi w:val="0"/>
        <w:spacing w:line="576" w:lineRule="exact"/>
        <w:ind w:firstLine="642"/>
        <w:rPr>
          <w:rFonts w:hint="eastAsia" w:ascii="仿宋_GB2312" w:hAnsi="仿宋_GB2312" w:eastAsia="仿宋_GB2312" w:cs="仿宋_GB2312"/>
          <w:sz w:val="32"/>
          <w:szCs w:val="32"/>
          <w:lang w:val="zh-CN"/>
        </w:rPr>
      </w:pPr>
      <w:r>
        <w:rPr>
          <w:rFonts w:hint="eastAsia" w:ascii="仿宋_GB2312" w:hAnsi="仿宋_GB2312" w:eastAsia="仿宋_GB2312" w:cs="仿宋_GB2312"/>
          <w:b/>
          <w:bCs w:val="0"/>
          <w:sz w:val="32"/>
          <w:szCs w:val="32"/>
          <w:lang w:val="en-US" w:eastAsia="zh-CN"/>
        </w:rPr>
        <w:t>2.</w:t>
      </w:r>
      <w:r>
        <w:rPr>
          <w:rFonts w:hint="eastAsia" w:ascii="仿宋_GB2312" w:hAnsi="仿宋_GB2312" w:eastAsia="仿宋_GB2312" w:cs="仿宋_GB2312"/>
          <w:b/>
          <w:bCs w:val="0"/>
          <w:color w:val="auto"/>
          <w:kern w:val="0"/>
          <w:sz w:val="32"/>
          <w:szCs w:val="32"/>
          <w:highlight w:val="none"/>
          <w:u w:val="none"/>
          <w:shd w:val="clear" w:color="auto" w:fill="FFFFFF"/>
          <w:lang w:val="zh-CN"/>
        </w:rPr>
        <w:t>项目立项及资金申报依据。</w:t>
      </w:r>
      <w:r>
        <w:rPr>
          <w:rFonts w:hint="eastAsia" w:ascii="仿宋_GB2312" w:hAnsi="仿宋_GB2312" w:eastAsia="仿宋_GB2312" w:cs="仿宋_GB2312"/>
          <w:b w:val="0"/>
          <w:bCs/>
          <w:color w:val="auto"/>
          <w:kern w:val="0"/>
          <w:sz w:val="32"/>
          <w:szCs w:val="32"/>
          <w:highlight w:val="none"/>
          <w:u w:val="none"/>
          <w:shd w:val="clear" w:color="auto" w:fill="FFFFFF"/>
          <w:lang w:val="zh-CN"/>
        </w:rPr>
        <w:t>该方案编制属于社会服务采购事项，立项依据为市政府主要领导签批意见。根据部门预算项目支出绩效目标申报表（</w:t>
      </w:r>
      <w:r>
        <w:rPr>
          <w:rFonts w:hint="eastAsia" w:ascii="仿宋_GB2312" w:hAnsi="仿宋_GB2312" w:eastAsia="仿宋_GB2312" w:cs="仿宋_GB2312"/>
          <w:b w:val="0"/>
          <w:bCs/>
          <w:color w:val="auto"/>
          <w:kern w:val="0"/>
          <w:sz w:val="32"/>
          <w:szCs w:val="32"/>
          <w:highlight w:val="none"/>
          <w:u w:val="none"/>
          <w:shd w:val="clear" w:color="auto" w:fill="FFFFFF"/>
          <w:lang w:val="en-US" w:eastAsia="zh-CN"/>
        </w:rPr>
        <w:t>2023年</w:t>
      </w:r>
      <w:r>
        <w:rPr>
          <w:rFonts w:hint="eastAsia" w:ascii="仿宋_GB2312" w:hAnsi="仿宋_GB2312" w:eastAsia="仿宋_GB2312" w:cs="仿宋_GB2312"/>
          <w:b w:val="0"/>
          <w:bCs/>
          <w:color w:val="auto"/>
          <w:kern w:val="0"/>
          <w:sz w:val="32"/>
          <w:szCs w:val="32"/>
          <w:highlight w:val="none"/>
          <w:u w:val="none"/>
          <w:shd w:val="clear" w:color="auto" w:fill="FFFFFF"/>
          <w:lang w:val="zh-CN"/>
        </w:rPr>
        <w:t>），项目名称为成渝地区粮食安全保障基地实施方案编制费用，预算单位为广元市财政局，项目资金费用为</w:t>
      </w:r>
      <w:r>
        <w:rPr>
          <w:rFonts w:hint="eastAsia" w:ascii="仿宋_GB2312" w:hAnsi="仿宋_GB2312" w:eastAsia="仿宋_GB2312" w:cs="仿宋_GB2312"/>
          <w:b w:val="0"/>
          <w:bCs/>
          <w:color w:val="auto"/>
          <w:kern w:val="0"/>
          <w:sz w:val="32"/>
          <w:szCs w:val="32"/>
          <w:highlight w:val="none"/>
          <w:u w:val="none"/>
          <w:shd w:val="clear" w:color="auto" w:fill="FFFFFF"/>
          <w:lang w:val="en-US" w:eastAsia="zh-CN"/>
        </w:rPr>
        <w:t>29万元。</w:t>
      </w:r>
    </w:p>
    <w:p w14:paraId="25BACF89">
      <w:pPr>
        <w:keepNext/>
        <w:keepLines w:val="0"/>
        <w:pageBreakBefore w:val="0"/>
        <w:widowControl w:val="0"/>
        <w:numPr>
          <w:ilvl w:val="1"/>
          <w:numId w:val="0"/>
        </w:numPr>
        <w:kinsoku/>
        <w:wordWrap/>
        <w:topLinePunct w:val="0"/>
        <w:autoSpaceDE/>
        <w:autoSpaceDN/>
        <w:bidi w:val="0"/>
        <w:snapToGrid w:val="0"/>
        <w:spacing w:beforeLines="50" w:afterLines="50" w:line="576" w:lineRule="exact"/>
        <w:ind w:left="3150" w:firstLine="642"/>
        <w:jc w:val="both"/>
        <w:outlineLvl w:val="1"/>
        <w:rPr>
          <w:rFonts w:hint="eastAsia" w:ascii="仿宋_GB2312" w:hAnsi="仿宋_GB2312" w:eastAsia="仿宋_GB2312" w:cs="仿宋_GB2312"/>
          <w:b/>
          <w:bCs w:val="0"/>
          <w:color w:val="auto"/>
          <w:kern w:val="0"/>
          <w:sz w:val="32"/>
          <w:szCs w:val="32"/>
          <w:highlight w:val="none"/>
          <w:u w:val="none"/>
          <w:shd w:val="clear" w:color="auto" w:fill="FFFFFF"/>
          <w:lang w:val="zh-CN" w:eastAsia="zh-CN" w:bidi="ar-SA"/>
        </w:rPr>
      </w:pPr>
      <w:r>
        <w:rPr>
          <w:rFonts w:hint="eastAsia" w:ascii="仿宋_GB2312" w:hAnsi="仿宋_GB2312" w:eastAsia="仿宋_GB2312" w:cs="仿宋_GB2312"/>
          <w:b/>
          <w:bCs w:val="0"/>
          <w:color w:val="auto"/>
          <w:kern w:val="0"/>
          <w:sz w:val="32"/>
          <w:szCs w:val="32"/>
          <w:highlight w:val="none"/>
          <w:u w:val="none"/>
          <w:shd w:val="clear" w:color="auto" w:fill="FFFFFF"/>
          <w:lang w:val="en-US" w:eastAsia="zh-CN" w:bidi="ar-SA"/>
        </w:rPr>
        <w:t>3.</w:t>
      </w:r>
      <w:r>
        <w:rPr>
          <w:rFonts w:hint="eastAsia" w:ascii="仿宋_GB2312" w:hAnsi="仿宋_GB2312" w:eastAsia="仿宋_GB2312" w:cs="仿宋_GB2312"/>
          <w:b/>
          <w:bCs w:val="0"/>
          <w:color w:val="auto"/>
          <w:kern w:val="0"/>
          <w:sz w:val="32"/>
          <w:szCs w:val="32"/>
          <w:highlight w:val="none"/>
          <w:u w:val="none"/>
          <w:shd w:val="clear" w:color="auto" w:fill="FFFFFF"/>
          <w:lang w:val="zh-CN" w:eastAsia="zh-CN" w:bidi="ar-SA"/>
        </w:rPr>
        <w:t>项目主要内容。</w:t>
      </w:r>
      <w:r>
        <w:rPr>
          <w:rFonts w:hint="eastAsia" w:ascii="仿宋_GB2312" w:hAnsi="仿宋_GB2312" w:eastAsia="仿宋_GB2312" w:cs="仿宋_GB2312"/>
          <w:b w:val="0"/>
          <w:bCs/>
          <w:color w:val="000000"/>
          <w:kern w:val="2"/>
          <w:sz w:val="32"/>
          <w:szCs w:val="32"/>
          <w:vertAlign w:val="baseline"/>
          <w:lang w:val="en-US" w:eastAsia="zh-CN" w:bidi="ar-SA"/>
        </w:rPr>
        <w:t>以推动高质量发展为主题，聚焦增强全市粮食仓储流通、收储调控、产业支撑、协同保障和现代化治理能力，立足区位优势，开展成渝地区粮食安全保障基地（广元）实施方案编制。</w:t>
      </w:r>
    </w:p>
    <w:p w14:paraId="6D7AB0FB">
      <w:pPr>
        <w:keepNext w:val="0"/>
        <w:keepLines w:val="0"/>
        <w:pageBreakBefore w:val="0"/>
        <w:widowControl w:val="0"/>
        <w:numPr>
          <w:ilvl w:val="0"/>
          <w:numId w:val="0"/>
        </w:numPr>
        <w:tabs>
          <w:tab w:val="left" w:pos="0"/>
        </w:tabs>
        <w:kinsoku/>
        <w:wordWrap/>
        <w:overflowPunct w:val="0"/>
        <w:topLinePunct w:val="0"/>
        <w:autoSpaceDE/>
        <w:autoSpaceDN/>
        <w:bidi w:val="0"/>
        <w:adjustRightInd w:val="0"/>
        <w:snapToGrid w:val="0"/>
        <w:spacing w:beforeLines="0" w:afterLines="0" w:line="576" w:lineRule="exact"/>
        <w:ind w:firstLine="643" w:firstLineChars="200"/>
        <w:textAlignment w:val="auto"/>
        <w:rPr>
          <w:rFonts w:hint="eastAsia" w:ascii="仿宋_GB2312" w:hAnsi="仿宋_GB2312" w:eastAsia="仿宋_GB2312" w:cs="仿宋_GB2312"/>
          <w:b/>
          <w:bCs w:val="0"/>
          <w:sz w:val="32"/>
          <w:szCs w:val="32"/>
          <w:lang w:val="en-US" w:eastAsia="zh-CN"/>
        </w:rPr>
      </w:pPr>
      <w:r>
        <w:rPr>
          <w:rFonts w:hint="eastAsia" w:ascii="仿宋_GB2312" w:hAnsi="仿宋_GB2312" w:eastAsia="仿宋_GB2312" w:cs="仿宋_GB2312"/>
          <w:b/>
          <w:bCs w:val="0"/>
          <w:sz w:val="32"/>
          <w:szCs w:val="32"/>
          <w:lang w:val="en-US" w:eastAsia="zh-CN"/>
        </w:rPr>
        <w:t>4.主管部门职能。</w:t>
      </w:r>
      <w:r>
        <w:rPr>
          <w:rFonts w:hint="eastAsia" w:ascii="仿宋_GB2312" w:hAnsi="仿宋_GB2312" w:eastAsia="仿宋_GB2312" w:cs="仿宋_GB2312"/>
          <w:sz w:val="32"/>
          <w:szCs w:val="32"/>
          <w:lang w:val="en-US" w:eastAsia="zh-CN"/>
        </w:rPr>
        <w:t>项目主管部门为广元市发展和改革委员会、广元市财政局，主要负责方案编制过程管理、专项资金监管、方案验收及评价等工作。</w:t>
      </w:r>
    </w:p>
    <w:p w14:paraId="3AC7EF77">
      <w:pPr>
        <w:keepNext w:val="0"/>
        <w:keepLines w:val="0"/>
        <w:pageBreakBefore w:val="0"/>
        <w:kinsoku/>
        <w:wordWrap/>
        <w:overflowPunct/>
        <w:topLinePunct w:val="0"/>
        <w:autoSpaceDE/>
        <w:autoSpaceDN/>
        <w:bidi w:val="0"/>
        <w:adjustRightInd w:val="0"/>
        <w:snapToGrid w:val="0"/>
        <w:spacing w:line="576" w:lineRule="exact"/>
        <w:ind w:left="0" w:leftChars="0" w:firstLine="643" w:firstLineChars="200"/>
        <w:textAlignment w:val="auto"/>
        <w:rPr>
          <w:rFonts w:hint="eastAsia" w:ascii="楷体_GB2312" w:hAnsi="宋体" w:eastAsia="楷体_GB2312" w:cs="Times New Roman"/>
          <w:b/>
          <w:color w:val="auto"/>
          <w:sz w:val="32"/>
          <w:szCs w:val="32"/>
          <w:highlight w:val="none"/>
          <w:u w:val="none"/>
          <w:lang w:val="en-US" w:eastAsia="zh-CN"/>
        </w:rPr>
      </w:pPr>
      <w:r>
        <w:rPr>
          <w:rFonts w:hint="eastAsia" w:ascii="楷体_GB2312" w:hAnsi="宋体" w:eastAsia="楷体_GB2312"/>
          <w:b/>
          <w:color w:val="auto"/>
          <w:sz w:val="32"/>
          <w:szCs w:val="32"/>
          <w:highlight w:val="none"/>
          <w:u w:val="none"/>
          <w:lang w:val="zh-CN"/>
        </w:rPr>
        <w:t>（</w:t>
      </w:r>
      <w:r>
        <w:rPr>
          <w:rFonts w:hint="eastAsia" w:ascii="楷体_GB2312" w:hAnsi="宋体" w:eastAsia="楷体_GB2312" w:cs="Times New Roman"/>
          <w:b/>
          <w:color w:val="auto"/>
          <w:sz w:val="32"/>
          <w:szCs w:val="32"/>
          <w:highlight w:val="none"/>
          <w:u w:val="none"/>
          <w:lang w:val="zh-CN"/>
        </w:rPr>
        <w:t>二）</w:t>
      </w:r>
      <w:r>
        <w:rPr>
          <w:rFonts w:hint="default" w:ascii="楷体_GB2312" w:hAnsi="宋体" w:eastAsia="楷体_GB2312" w:cs="Times New Roman"/>
          <w:b/>
          <w:color w:val="auto"/>
          <w:sz w:val="32"/>
          <w:szCs w:val="32"/>
          <w:highlight w:val="none"/>
          <w:u w:val="none"/>
          <w:lang w:val="en-US" w:eastAsia="zh-CN"/>
        </w:rPr>
        <w:t>实施目的及支持方向</w:t>
      </w:r>
    </w:p>
    <w:p w14:paraId="218C7328">
      <w:pPr>
        <w:keepNext w:val="0"/>
        <w:keepLines w:val="0"/>
        <w:pageBreakBefore w:val="0"/>
        <w:kinsoku/>
        <w:wordWrap/>
        <w:overflowPunct/>
        <w:topLinePunct w:val="0"/>
        <w:autoSpaceDE/>
        <w:autoSpaceDN/>
        <w:bidi w:val="0"/>
        <w:adjustRightInd w:val="0"/>
        <w:snapToGrid w:val="0"/>
        <w:spacing w:line="576" w:lineRule="exact"/>
        <w:ind w:firstLine="643" w:firstLineChars="200"/>
        <w:textAlignment w:val="auto"/>
        <w:rPr>
          <w:rFonts w:hint="eastAsia" w:ascii="仿宋_GB2312" w:hAnsi="仿宋_GB2312" w:eastAsia="仿宋_GB2312" w:cs="仿宋_GB2312"/>
          <w:b/>
          <w:bCs/>
          <w:color w:val="auto"/>
          <w:kern w:val="0"/>
          <w:sz w:val="32"/>
          <w:szCs w:val="32"/>
          <w:highlight w:val="none"/>
          <w:u w:val="none"/>
          <w:shd w:val="clear" w:color="auto" w:fill="FFFFFF"/>
          <w:lang w:val="zh-CN"/>
        </w:rPr>
      </w:pPr>
      <w:r>
        <w:rPr>
          <w:rFonts w:hint="eastAsia" w:ascii="仿宋_GB2312" w:hAnsi="仿宋_GB2312" w:eastAsia="仿宋_GB2312" w:cs="仿宋_GB2312"/>
          <w:b/>
          <w:bCs/>
          <w:color w:val="auto"/>
          <w:kern w:val="0"/>
          <w:sz w:val="32"/>
          <w:szCs w:val="32"/>
          <w:highlight w:val="none"/>
          <w:u w:val="none"/>
          <w:shd w:val="clear" w:color="auto" w:fill="FFFFFF"/>
          <w:lang w:val="en-US" w:eastAsia="zh-CN"/>
        </w:rPr>
        <w:t>1.项目资金</w:t>
      </w:r>
      <w:r>
        <w:rPr>
          <w:rFonts w:hint="eastAsia" w:ascii="仿宋_GB2312" w:hAnsi="仿宋_GB2312" w:eastAsia="仿宋_GB2312" w:cs="仿宋_GB2312"/>
          <w:b/>
          <w:bCs/>
          <w:color w:val="auto"/>
          <w:kern w:val="0"/>
          <w:sz w:val="32"/>
          <w:szCs w:val="32"/>
          <w:highlight w:val="none"/>
          <w:u w:val="none"/>
          <w:shd w:val="clear" w:color="auto" w:fill="FFFFFF"/>
          <w:lang w:val="zh-CN"/>
        </w:rPr>
        <w:t>管理办法制定情况</w:t>
      </w:r>
    </w:p>
    <w:p w14:paraId="400865D7">
      <w:pPr>
        <w:keepLines w:val="0"/>
        <w:pageBreakBefore w:val="0"/>
        <w:kinsoku/>
        <w:topLinePunct w:val="0"/>
        <w:autoSpaceDE/>
        <w:autoSpaceDN/>
        <w:bidi w:val="0"/>
        <w:spacing w:line="576" w:lineRule="exact"/>
        <w:rPr>
          <w:rFonts w:hint="default" w:eastAsia="仿宋_GB2312"/>
          <w:sz w:val="32"/>
          <w:szCs w:val="32"/>
          <w:lang w:val="en-US" w:eastAsia="zh-CN"/>
        </w:rPr>
      </w:pPr>
      <w:r>
        <w:rPr>
          <w:rFonts w:hint="eastAsia" w:ascii="仿宋_GB2312" w:hAnsi="仿宋_GB2312" w:eastAsia="仿宋_GB2312" w:cs="仿宋_GB2312"/>
          <w:color w:val="auto"/>
          <w:kern w:val="0"/>
          <w:sz w:val="32"/>
          <w:szCs w:val="32"/>
          <w:highlight w:val="none"/>
          <w:u w:val="none"/>
          <w:shd w:val="clear" w:color="auto" w:fill="FFFFFF"/>
          <w:lang w:val="en-US" w:eastAsia="zh-CN"/>
        </w:rPr>
        <w:t xml:space="preserve">    </w:t>
      </w:r>
      <w:r>
        <w:rPr>
          <w:rFonts w:hint="eastAsia" w:eastAsia="仿宋_GB2312"/>
          <w:sz w:val="32"/>
          <w:szCs w:val="32"/>
          <w:lang w:val="en-US" w:eastAsia="zh-CN"/>
        </w:rPr>
        <w:t>项目在实施过程中参照《广元市政府采购预算绩效管理暂行办法》《2023年政府采购预算编制指引》有关规定，严格执行《</w:t>
      </w:r>
      <w:r>
        <w:rPr>
          <w:rFonts w:hint="default" w:eastAsia="仿宋_GB2312"/>
          <w:sz w:val="32"/>
          <w:szCs w:val="32"/>
          <w:lang w:val="en-US" w:eastAsia="zh-CN"/>
        </w:rPr>
        <w:t>广元市发展和改革委员会</w:t>
      </w:r>
      <w:r>
        <w:rPr>
          <w:rFonts w:hint="eastAsia" w:eastAsia="仿宋_GB2312"/>
          <w:sz w:val="32"/>
          <w:szCs w:val="32"/>
          <w:lang w:val="en-US" w:eastAsia="zh-CN"/>
        </w:rPr>
        <w:t>政府采购限额标准以下采购活动内控管理制度》。</w:t>
      </w:r>
    </w:p>
    <w:p w14:paraId="3319EC50">
      <w:pPr>
        <w:keepNext w:val="0"/>
        <w:keepLines w:val="0"/>
        <w:pageBreakBefore w:val="0"/>
        <w:kinsoku/>
        <w:wordWrap/>
        <w:overflowPunct/>
        <w:topLinePunct w:val="0"/>
        <w:autoSpaceDE/>
        <w:autoSpaceDN/>
        <w:bidi w:val="0"/>
        <w:adjustRightInd w:val="0"/>
        <w:snapToGrid w:val="0"/>
        <w:spacing w:line="576" w:lineRule="exact"/>
        <w:ind w:firstLine="643" w:firstLineChars="200"/>
        <w:textAlignment w:val="auto"/>
        <w:rPr>
          <w:rFonts w:hint="eastAsia" w:ascii="仿宋_GB2312" w:hAnsi="仿宋_GB2312" w:eastAsia="仿宋_GB2312" w:cs="仿宋_GB2312"/>
          <w:b/>
          <w:bCs/>
          <w:color w:val="auto"/>
          <w:kern w:val="0"/>
          <w:sz w:val="32"/>
          <w:szCs w:val="32"/>
          <w:highlight w:val="none"/>
          <w:u w:val="none"/>
          <w:shd w:val="clear" w:color="auto" w:fill="FFFFFF"/>
          <w:lang w:val="zh-CN"/>
        </w:rPr>
      </w:pPr>
      <w:r>
        <w:rPr>
          <w:rFonts w:hint="eastAsia" w:ascii="仿宋_GB2312" w:hAnsi="仿宋_GB2312" w:eastAsia="仿宋_GB2312" w:cs="仿宋_GB2312"/>
          <w:b/>
          <w:bCs/>
          <w:color w:val="auto"/>
          <w:kern w:val="0"/>
          <w:sz w:val="32"/>
          <w:szCs w:val="32"/>
          <w:highlight w:val="none"/>
          <w:u w:val="none"/>
          <w:shd w:val="clear" w:color="auto" w:fill="FFFFFF"/>
          <w:lang w:val="en-US" w:eastAsia="zh-CN"/>
        </w:rPr>
        <w:t>2.</w:t>
      </w:r>
      <w:r>
        <w:rPr>
          <w:rFonts w:hint="eastAsia" w:ascii="仿宋_GB2312" w:hAnsi="仿宋_GB2312" w:eastAsia="仿宋_GB2312" w:cs="仿宋_GB2312"/>
          <w:b/>
          <w:bCs/>
          <w:color w:val="auto"/>
          <w:kern w:val="0"/>
          <w:sz w:val="32"/>
          <w:szCs w:val="32"/>
          <w:highlight w:val="none"/>
          <w:u w:val="none"/>
          <w:shd w:val="clear" w:color="auto" w:fill="FFFFFF"/>
          <w:lang w:val="zh-CN"/>
        </w:rPr>
        <w:t>项目实施目的和主要工作任务</w:t>
      </w:r>
    </w:p>
    <w:p w14:paraId="0CDD5F0E">
      <w:pPr>
        <w:keepLines w:val="0"/>
        <w:pageBreakBefore w:val="0"/>
        <w:kinsoku/>
        <w:topLinePunct w:val="0"/>
        <w:autoSpaceDE/>
        <w:autoSpaceDN/>
        <w:bidi w:val="0"/>
        <w:spacing w:line="576" w:lineRule="exact"/>
        <w:ind w:firstLine="640"/>
        <w:rPr>
          <w:rFonts w:hint="eastAsia" w:eastAsia="仿宋_GB2312"/>
          <w:sz w:val="32"/>
          <w:szCs w:val="32"/>
          <w:lang w:val="en-US" w:eastAsia="zh-CN"/>
        </w:rPr>
      </w:pPr>
      <w:r>
        <w:rPr>
          <w:rFonts w:hint="eastAsia" w:eastAsia="仿宋_GB2312"/>
          <w:sz w:val="32"/>
          <w:szCs w:val="32"/>
          <w:lang w:val="en-US" w:eastAsia="zh-CN"/>
        </w:rPr>
        <w:t>主动融入成渝地区双城经济圈建设，建设成渝地区优质粮油供给和储备基地，打造成渝地区粮食安全保障基地，特编制实施方案。主要工作任务：打通成渝地区粮食大通道，建设成渝地区绿色大粮仓，发展成渝地区粮食大产业，提升成渝地区粮食安全保障能力。</w:t>
      </w:r>
    </w:p>
    <w:p w14:paraId="3DF883CD">
      <w:pPr>
        <w:widowControl/>
        <w:tabs>
          <w:tab w:val="left" w:pos="2160"/>
        </w:tabs>
        <w:spacing w:line="480" w:lineRule="auto"/>
        <w:ind w:firstLine="640"/>
        <w:jc w:val="left"/>
        <w:rPr>
          <w:rFonts w:hint="eastAsia" w:ascii="仿宋_GB2312" w:hAnsi="仿宋_GB2312" w:eastAsia="黑体" w:cs="仿宋_GB2312"/>
          <w:b/>
          <w:bCs/>
          <w:color w:val="auto"/>
          <w:kern w:val="0"/>
          <w:position w:val="3"/>
          <w:sz w:val="32"/>
          <w:szCs w:val="32"/>
          <w:highlight w:val="none"/>
          <w:u w:val="none"/>
          <w:shd w:val="clear" w:color="auto" w:fill="FFFFFF"/>
          <w:lang w:val="zh-CN" w:eastAsia="en-US" w:bidi="ar-SA"/>
        </w:rPr>
      </w:pPr>
      <w:r>
        <w:rPr>
          <w:rFonts w:hint="eastAsia" w:ascii="仿宋_GB2312" w:hAnsi="仿宋_GB2312" w:eastAsia="黑体" w:cs="仿宋_GB2312"/>
          <w:b/>
          <w:bCs/>
          <w:color w:val="auto"/>
          <w:kern w:val="0"/>
          <w:position w:val="3"/>
          <w:sz w:val="32"/>
          <w:szCs w:val="32"/>
          <w:highlight w:val="none"/>
          <w:u w:val="none"/>
          <w:shd w:val="clear" w:color="auto" w:fill="FFFFFF"/>
          <w:lang w:val="en-US" w:eastAsia="zh-CN" w:bidi="ar-SA"/>
        </w:rPr>
        <w:t>3.</w:t>
      </w:r>
      <w:r>
        <w:rPr>
          <w:rFonts w:hint="eastAsia" w:ascii="仿宋_GB2312" w:hAnsi="仿宋_GB2312" w:eastAsia="黑体" w:cs="仿宋_GB2312"/>
          <w:b/>
          <w:bCs/>
          <w:color w:val="auto"/>
          <w:kern w:val="0"/>
          <w:position w:val="3"/>
          <w:sz w:val="32"/>
          <w:szCs w:val="32"/>
          <w:highlight w:val="none"/>
          <w:u w:val="none"/>
          <w:shd w:val="clear" w:color="auto" w:fill="FFFFFF"/>
          <w:lang w:val="zh-CN" w:eastAsia="en-US" w:bidi="ar-SA"/>
        </w:rPr>
        <w:t>项目支持方向</w:t>
      </w:r>
    </w:p>
    <w:p w14:paraId="77FFD1C7">
      <w:pPr>
        <w:keepLines w:val="0"/>
        <w:pageBreakBefore w:val="0"/>
        <w:widowControl/>
        <w:numPr>
          <w:ilvl w:val="0"/>
          <w:numId w:val="0"/>
        </w:numPr>
        <w:tabs>
          <w:tab w:val="left" w:pos="2160"/>
        </w:tabs>
        <w:kinsoku/>
        <w:topLinePunct w:val="0"/>
        <w:autoSpaceDE/>
        <w:autoSpaceDN/>
        <w:bidi w:val="0"/>
        <w:spacing w:line="576" w:lineRule="exact"/>
        <w:jc w:val="left"/>
        <w:rPr>
          <w:rFonts w:hint="default" w:ascii="楷体_GB2312" w:hAnsi="Times New Roman" w:eastAsia="黑体" w:cs="Times New Roman"/>
          <w:kern w:val="0"/>
          <w:position w:val="3"/>
          <w:sz w:val="20"/>
          <w:szCs w:val="20"/>
          <w:lang w:val="en-US" w:eastAsia="zh-CN" w:bidi="ar-SA"/>
        </w:rPr>
      </w:pPr>
      <w:r>
        <w:rPr>
          <w:rFonts w:hint="eastAsia" w:ascii="楷体_GB2312" w:hAnsi="Times New Roman" w:eastAsia="黑体" w:cs="Times New Roman"/>
          <w:kern w:val="0"/>
          <w:position w:val="3"/>
          <w:sz w:val="20"/>
          <w:szCs w:val="20"/>
          <w:lang w:val="en-US" w:eastAsia="zh-CN" w:bidi="ar-SA"/>
        </w:rPr>
        <w:t xml:space="preserve">     </w:t>
      </w:r>
      <w:r>
        <w:rPr>
          <w:rFonts w:hint="eastAsia" w:ascii="Times New Roman" w:hAnsi="Times New Roman" w:eastAsia="仿宋_GB2312" w:cs="Times New Roman"/>
          <w:kern w:val="2"/>
          <w:position w:val="0"/>
          <w:sz w:val="32"/>
          <w:szCs w:val="32"/>
          <w:lang w:val="en-US" w:eastAsia="zh-CN" w:bidi="ar-SA"/>
        </w:rPr>
        <w:t xml:space="preserve"> 成渝地区粮食安全保障基地（广元）实施方案编制工作。</w:t>
      </w:r>
    </w:p>
    <w:p w14:paraId="382DD55B">
      <w:pPr>
        <w:keepNext w:val="0"/>
        <w:keepLines w:val="0"/>
        <w:pageBreakBefore w:val="0"/>
        <w:widowControl/>
        <w:numPr>
          <w:ilvl w:val="0"/>
          <w:numId w:val="11"/>
        </w:numPr>
        <w:kinsoku/>
        <w:wordWrap/>
        <w:overflowPunct/>
        <w:topLinePunct w:val="0"/>
        <w:autoSpaceDE/>
        <w:autoSpaceDN/>
        <w:bidi w:val="0"/>
        <w:adjustRightInd w:val="0"/>
        <w:snapToGrid w:val="0"/>
        <w:spacing w:line="576" w:lineRule="exact"/>
        <w:ind w:left="0" w:leftChars="0" w:firstLine="643" w:firstLineChars="200"/>
        <w:contextualSpacing/>
        <w:jc w:val="left"/>
        <w:textAlignment w:val="auto"/>
        <w:rPr>
          <w:rFonts w:hint="default" w:ascii="楷体_GB2312" w:hAnsi="宋体" w:eastAsia="楷体_GB2312" w:cs="Times New Roman"/>
          <w:b/>
          <w:color w:val="auto"/>
          <w:sz w:val="32"/>
          <w:szCs w:val="32"/>
          <w:highlight w:val="none"/>
          <w:u w:val="none"/>
          <w:lang w:val="en-US" w:eastAsia="zh-CN"/>
        </w:rPr>
      </w:pPr>
      <w:r>
        <w:rPr>
          <w:rFonts w:hint="default" w:ascii="楷体_GB2312" w:hAnsi="宋体" w:eastAsia="楷体_GB2312" w:cs="Times New Roman"/>
          <w:b/>
          <w:color w:val="auto"/>
          <w:sz w:val="32"/>
          <w:szCs w:val="32"/>
          <w:highlight w:val="none"/>
          <w:u w:val="none"/>
          <w:lang w:val="en-US" w:eastAsia="zh-CN"/>
        </w:rPr>
        <w:t>预算安排</w:t>
      </w:r>
    </w:p>
    <w:p w14:paraId="47D6C449">
      <w:pPr>
        <w:keepLines w:val="0"/>
        <w:pageBreakBefore w:val="0"/>
        <w:widowControl/>
        <w:numPr>
          <w:ilvl w:val="0"/>
          <w:numId w:val="0"/>
        </w:numPr>
        <w:tabs>
          <w:tab w:val="left" w:pos="2160"/>
        </w:tabs>
        <w:kinsoku/>
        <w:topLinePunct w:val="0"/>
        <w:autoSpaceDE/>
        <w:autoSpaceDN/>
        <w:bidi w:val="0"/>
        <w:spacing w:line="576" w:lineRule="exact"/>
        <w:jc w:val="left"/>
        <w:rPr>
          <w:rFonts w:hint="default" w:ascii="仿宋_GB2312" w:hAnsi="仿宋_GB2312" w:eastAsia="仿宋_GB2312" w:cs="仿宋_GB2312"/>
          <w:color w:val="auto"/>
          <w:kern w:val="0"/>
          <w:position w:val="3"/>
          <w:sz w:val="32"/>
          <w:szCs w:val="32"/>
          <w:highlight w:val="none"/>
          <w:u w:val="none"/>
          <w:shd w:val="clear" w:color="auto" w:fill="FFFFFF"/>
          <w:lang w:val="en-US" w:eastAsia="zh-CN" w:bidi="ar-SA"/>
        </w:rPr>
      </w:pPr>
      <w:r>
        <w:rPr>
          <w:rFonts w:hint="eastAsia" w:ascii="楷体_GB2312" w:hAnsi="Times New Roman" w:eastAsia="黑体" w:cs="Times New Roman"/>
          <w:kern w:val="0"/>
          <w:position w:val="3"/>
          <w:sz w:val="20"/>
          <w:szCs w:val="20"/>
          <w:lang w:val="en-US" w:eastAsia="zh-CN" w:bidi="ar-SA"/>
        </w:rPr>
        <w:t xml:space="preserve">       </w:t>
      </w:r>
      <w:r>
        <w:rPr>
          <w:rFonts w:hint="eastAsia" w:ascii="Times New Roman" w:hAnsi="Times New Roman" w:eastAsia="仿宋_GB2312" w:cs="Times New Roman"/>
          <w:kern w:val="2"/>
          <w:position w:val="0"/>
          <w:sz w:val="32"/>
          <w:szCs w:val="32"/>
          <w:lang w:val="en-US" w:eastAsia="zh-CN" w:bidi="ar-SA"/>
        </w:rPr>
        <w:t xml:space="preserve"> 2023年</w:t>
      </w:r>
      <w:r>
        <w:rPr>
          <w:rFonts w:hint="eastAsia" w:eastAsia="仿宋_GB2312" w:cs="Times New Roman"/>
          <w:kern w:val="2"/>
          <w:position w:val="0"/>
          <w:sz w:val="32"/>
          <w:szCs w:val="32"/>
          <w:lang w:val="en-US" w:eastAsia="zh-CN" w:bidi="ar-SA"/>
        </w:rPr>
        <w:t>6</w:t>
      </w:r>
      <w:r>
        <w:rPr>
          <w:rFonts w:hint="eastAsia" w:ascii="Times New Roman" w:hAnsi="Times New Roman" w:eastAsia="仿宋_GB2312" w:cs="Times New Roman"/>
          <w:kern w:val="2"/>
          <w:position w:val="0"/>
          <w:sz w:val="32"/>
          <w:szCs w:val="32"/>
          <w:lang w:val="en-US" w:eastAsia="zh-CN" w:bidi="ar-SA"/>
        </w:rPr>
        <w:t>月</w:t>
      </w:r>
      <w:r>
        <w:rPr>
          <w:rFonts w:hint="eastAsia" w:eastAsia="仿宋_GB2312" w:cs="Times New Roman"/>
          <w:kern w:val="2"/>
          <w:position w:val="0"/>
          <w:sz w:val="32"/>
          <w:szCs w:val="32"/>
          <w:lang w:val="en-US" w:eastAsia="zh-CN" w:bidi="ar-SA"/>
        </w:rPr>
        <w:t>9</w:t>
      </w:r>
      <w:r>
        <w:rPr>
          <w:rFonts w:hint="eastAsia" w:ascii="Times New Roman" w:hAnsi="Times New Roman" w:eastAsia="仿宋_GB2312" w:cs="Times New Roman"/>
          <w:kern w:val="2"/>
          <w:position w:val="0"/>
          <w:sz w:val="32"/>
          <w:szCs w:val="32"/>
          <w:lang w:val="en-US" w:eastAsia="zh-CN" w:bidi="ar-SA"/>
        </w:rPr>
        <w:t>日，广元市财政局下达项目资金29万元（</w:t>
      </w:r>
      <w:r>
        <w:rPr>
          <w:rFonts w:hint="eastAsia" w:eastAsia="仿宋_GB2312" w:cs="Times New Roman"/>
          <w:kern w:val="2"/>
          <w:position w:val="0"/>
          <w:sz w:val="32"/>
          <w:szCs w:val="32"/>
          <w:lang w:val="en-US" w:eastAsia="zh-CN" w:bidi="ar-SA"/>
        </w:rPr>
        <w:t>广财建〔2023〕051号</w:t>
      </w:r>
      <w:r>
        <w:rPr>
          <w:rFonts w:hint="eastAsia" w:ascii="Times New Roman" w:hAnsi="Times New Roman" w:eastAsia="仿宋_GB2312" w:cs="Times New Roman"/>
          <w:kern w:val="2"/>
          <w:position w:val="0"/>
          <w:sz w:val="32"/>
          <w:szCs w:val="32"/>
          <w:lang w:val="en-US" w:eastAsia="zh-CN" w:bidi="ar-SA"/>
        </w:rPr>
        <w:t>）。</w:t>
      </w:r>
    </w:p>
    <w:p w14:paraId="4DA28B96">
      <w:pPr>
        <w:keepNext w:val="0"/>
        <w:keepLines w:val="0"/>
        <w:pageBreakBefore w:val="0"/>
        <w:numPr>
          <w:ilvl w:val="0"/>
          <w:numId w:val="11"/>
        </w:numPr>
        <w:kinsoku/>
        <w:wordWrap/>
        <w:overflowPunct/>
        <w:topLinePunct w:val="0"/>
        <w:autoSpaceDE/>
        <w:autoSpaceDN/>
        <w:bidi w:val="0"/>
        <w:adjustRightInd w:val="0"/>
        <w:snapToGrid w:val="0"/>
        <w:spacing w:line="576" w:lineRule="exact"/>
        <w:ind w:left="0" w:leftChars="0" w:firstLine="643" w:firstLineChars="200"/>
        <w:textAlignment w:val="auto"/>
        <w:rPr>
          <w:rFonts w:hint="eastAsia" w:ascii="楷体_GB2312" w:hAnsi="宋体" w:eastAsia="楷体_GB2312" w:cs="Times New Roman"/>
          <w:b/>
          <w:color w:val="auto"/>
          <w:sz w:val="32"/>
          <w:szCs w:val="32"/>
          <w:highlight w:val="none"/>
          <w:u w:val="none"/>
          <w:lang w:val="zh-CN" w:eastAsia="zh-CN"/>
        </w:rPr>
      </w:pPr>
      <w:r>
        <w:rPr>
          <w:rFonts w:hint="eastAsia" w:ascii="楷体_GB2312" w:hAnsi="宋体" w:eastAsia="楷体_GB2312" w:cs="Times New Roman"/>
          <w:b/>
          <w:color w:val="auto"/>
          <w:sz w:val="32"/>
          <w:szCs w:val="32"/>
          <w:highlight w:val="none"/>
          <w:u w:val="none"/>
          <w:lang w:val="zh-CN" w:eastAsia="zh-CN"/>
        </w:rPr>
        <w:t>项目绩效目标设置。</w:t>
      </w:r>
    </w:p>
    <w:p w14:paraId="4E29F2D8">
      <w:pPr>
        <w:keepNext w:val="0"/>
        <w:keepLines w:val="0"/>
        <w:pageBreakBefore w:val="0"/>
        <w:numPr>
          <w:ilvl w:val="0"/>
          <w:numId w:val="0"/>
        </w:numPr>
        <w:kinsoku/>
        <w:wordWrap/>
        <w:overflowPunct/>
        <w:topLinePunct w:val="0"/>
        <w:autoSpaceDE/>
        <w:autoSpaceDN/>
        <w:bidi w:val="0"/>
        <w:adjustRightInd w:val="0"/>
        <w:snapToGrid w:val="0"/>
        <w:spacing w:line="576" w:lineRule="exact"/>
        <w:textAlignment w:val="auto"/>
        <w:rPr>
          <w:rFonts w:hint="eastAsia" w:ascii="仿宋_GB2312" w:hAnsi="仿宋_GB2312" w:eastAsia="仿宋_GB2312" w:cs="仿宋_GB2312"/>
          <w:b w:val="0"/>
          <w:bCs/>
          <w:color w:val="auto"/>
          <w:sz w:val="32"/>
          <w:szCs w:val="32"/>
          <w:highlight w:val="none"/>
          <w:u w:val="none"/>
          <w:lang w:val="en-US" w:eastAsia="zh-CN"/>
        </w:rPr>
      </w:pPr>
      <w:r>
        <w:rPr>
          <w:rFonts w:hint="eastAsia" w:ascii="楷体_GB2312" w:hAnsi="宋体" w:eastAsia="楷体_GB2312" w:cs="Times New Roman"/>
          <w:b/>
          <w:color w:val="auto"/>
          <w:sz w:val="32"/>
          <w:szCs w:val="32"/>
          <w:highlight w:val="none"/>
          <w:u w:val="none"/>
          <w:lang w:val="en-US" w:eastAsia="zh-CN"/>
        </w:rPr>
        <w:t xml:space="preserve">     1.</w:t>
      </w:r>
      <w:r>
        <w:rPr>
          <w:rFonts w:hint="eastAsia" w:ascii="仿宋_GB2312" w:hAnsi="仿宋_GB2312" w:eastAsia="仿宋_GB2312" w:cs="仿宋_GB2312"/>
          <w:b/>
          <w:bCs w:val="0"/>
          <w:color w:val="auto"/>
          <w:sz w:val="32"/>
          <w:szCs w:val="32"/>
          <w:highlight w:val="none"/>
          <w:u w:val="none"/>
          <w:lang w:val="en-US" w:eastAsia="zh-CN"/>
        </w:rPr>
        <w:t>项目目标设置情况。</w:t>
      </w:r>
      <w:r>
        <w:rPr>
          <w:rFonts w:hint="eastAsia" w:ascii="Times New Roman" w:hAnsi="Times New Roman" w:eastAsia="仿宋_GB2312" w:cs="Times New Roman"/>
          <w:b w:val="0"/>
          <w:bCs/>
          <w:sz w:val="32"/>
          <w:szCs w:val="32"/>
          <w:vertAlign w:val="baseline"/>
          <w:lang w:val="en-US" w:eastAsia="zh-CN" w:bidi="ar-SA"/>
        </w:rPr>
        <w:t>围绕国省粮食专项规划发展定位和市委市政府工作要求，立足广元粮食物流通道关键节点优势，</w:t>
      </w:r>
      <w:r>
        <w:rPr>
          <w:rFonts w:ascii="Times New Roman" w:hAnsi="Times New Roman" w:eastAsia="仿宋_GB2312" w:cs="Times New Roman"/>
          <w:b w:val="0"/>
          <w:bCs/>
          <w:sz w:val="32"/>
          <w:szCs w:val="32"/>
          <w:vertAlign w:val="baseline"/>
          <w:lang w:val="en-US" w:eastAsia="zh-CN" w:bidi="ar-SA"/>
        </w:rPr>
        <w:t>编制</w:t>
      </w:r>
      <w:r>
        <w:rPr>
          <w:rFonts w:hint="eastAsia" w:ascii="Times New Roman" w:hAnsi="Times New Roman" w:eastAsia="仿宋_GB2312" w:cs="Times New Roman"/>
          <w:b w:val="0"/>
          <w:bCs/>
          <w:sz w:val="32"/>
          <w:szCs w:val="32"/>
          <w:vertAlign w:val="baseline"/>
          <w:lang w:val="en-US" w:eastAsia="zh-CN" w:bidi="ar-SA"/>
        </w:rPr>
        <w:t>成渝地区粮食安全保障基地实施方案</w:t>
      </w:r>
      <w:r>
        <w:rPr>
          <w:rFonts w:ascii="Times New Roman" w:hAnsi="Times New Roman" w:eastAsia="仿宋_GB2312" w:cs="Times New Roman"/>
          <w:b w:val="0"/>
          <w:bCs/>
          <w:sz w:val="32"/>
          <w:szCs w:val="32"/>
          <w:vertAlign w:val="baseline"/>
          <w:lang w:val="en-US" w:eastAsia="zh-CN" w:bidi="ar-SA"/>
        </w:rPr>
        <w:t>。</w:t>
      </w:r>
      <w:r>
        <w:rPr>
          <w:rFonts w:hint="eastAsia" w:ascii="Times New Roman" w:hAnsi="Times New Roman" w:eastAsia="仿宋_GB2312" w:cs="Times New Roman"/>
          <w:b w:val="0"/>
          <w:bCs/>
          <w:sz w:val="32"/>
          <w:szCs w:val="32"/>
          <w:vertAlign w:val="baseline"/>
          <w:lang w:val="en-US" w:eastAsia="zh-CN" w:bidi="ar-SA"/>
        </w:rPr>
        <w:t>着力打造粮食产业基地</w:t>
      </w:r>
      <w:r>
        <w:rPr>
          <w:rFonts w:ascii="Times New Roman" w:hAnsi="Times New Roman" w:eastAsia="仿宋_GB2312" w:cs="Times New Roman"/>
          <w:b w:val="0"/>
          <w:bCs/>
          <w:sz w:val="32"/>
          <w:szCs w:val="32"/>
          <w:vertAlign w:val="baseline"/>
          <w:lang w:val="en-US" w:eastAsia="zh-CN" w:bidi="ar-SA"/>
        </w:rPr>
        <w:t>，加强</w:t>
      </w:r>
      <w:r>
        <w:rPr>
          <w:rFonts w:hint="eastAsia" w:ascii="Times New Roman" w:hAnsi="Times New Roman" w:eastAsia="仿宋_GB2312" w:cs="Times New Roman"/>
          <w:b w:val="0"/>
          <w:bCs/>
          <w:sz w:val="32"/>
          <w:szCs w:val="32"/>
          <w:vertAlign w:val="baseline"/>
          <w:lang w:val="en-US" w:eastAsia="zh-CN" w:bidi="ar-SA"/>
        </w:rPr>
        <w:t>粮食仓储物流设施</w:t>
      </w:r>
      <w:r>
        <w:rPr>
          <w:rFonts w:ascii="Times New Roman" w:hAnsi="Times New Roman" w:eastAsia="仿宋_GB2312" w:cs="Times New Roman"/>
          <w:b w:val="0"/>
          <w:bCs/>
          <w:sz w:val="32"/>
          <w:szCs w:val="32"/>
          <w:vertAlign w:val="baseline"/>
          <w:lang w:val="en-US" w:eastAsia="zh-CN" w:bidi="ar-SA"/>
        </w:rPr>
        <w:t>建设</w:t>
      </w:r>
      <w:r>
        <w:rPr>
          <w:rFonts w:hint="eastAsia" w:ascii="Times New Roman" w:hAnsi="Times New Roman" w:eastAsia="仿宋_GB2312" w:cs="Times New Roman"/>
          <w:b w:val="0"/>
          <w:bCs/>
          <w:sz w:val="32"/>
          <w:szCs w:val="32"/>
          <w:vertAlign w:val="baseline"/>
          <w:lang w:val="en-US" w:eastAsia="zh-CN" w:bidi="ar-SA"/>
        </w:rPr>
        <w:t>，提升</w:t>
      </w:r>
      <w:r>
        <w:rPr>
          <w:rFonts w:ascii="Times New Roman" w:hAnsi="Times New Roman" w:eastAsia="仿宋_GB2312" w:cs="Times New Roman"/>
          <w:b w:val="0"/>
          <w:bCs/>
          <w:sz w:val="32"/>
          <w:szCs w:val="32"/>
          <w:vertAlign w:val="baseline"/>
          <w:lang w:val="en-US" w:eastAsia="zh-CN" w:bidi="ar-SA"/>
        </w:rPr>
        <w:t>粮食</w:t>
      </w:r>
      <w:r>
        <w:rPr>
          <w:rFonts w:hint="eastAsia" w:ascii="Times New Roman" w:hAnsi="Times New Roman" w:eastAsia="仿宋_GB2312" w:cs="Times New Roman"/>
          <w:b w:val="0"/>
          <w:bCs/>
          <w:sz w:val="32"/>
          <w:szCs w:val="32"/>
          <w:vertAlign w:val="baseline"/>
          <w:lang w:val="en-US" w:eastAsia="zh-CN" w:bidi="ar-SA"/>
        </w:rPr>
        <w:t>加工</w:t>
      </w:r>
      <w:r>
        <w:rPr>
          <w:rFonts w:ascii="Times New Roman" w:hAnsi="Times New Roman" w:eastAsia="仿宋_GB2312" w:cs="Times New Roman"/>
          <w:b w:val="0"/>
          <w:bCs/>
          <w:sz w:val="32"/>
          <w:szCs w:val="32"/>
          <w:vertAlign w:val="baseline"/>
          <w:lang w:val="en-US" w:eastAsia="zh-CN" w:bidi="ar-SA"/>
        </w:rPr>
        <w:t>流通</w:t>
      </w:r>
      <w:r>
        <w:rPr>
          <w:rFonts w:hint="eastAsia" w:ascii="Times New Roman" w:hAnsi="Times New Roman" w:eastAsia="仿宋_GB2312" w:cs="Times New Roman"/>
          <w:b w:val="0"/>
          <w:bCs/>
          <w:sz w:val="32"/>
          <w:szCs w:val="32"/>
          <w:vertAlign w:val="baseline"/>
          <w:lang w:val="en-US" w:eastAsia="zh-CN" w:bidi="ar-SA"/>
        </w:rPr>
        <w:t>能力，建设成渝地区优质粮油产业基地、区域粮食仓储物流集散中心。</w:t>
      </w:r>
    </w:p>
    <w:p w14:paraId="4DC6A65A">
      <w:pPr>
        <w:keepNext w:val="0"/>
        <w:keepLines w:val="0"/>
        <w:pageBreakBefore w:val="0"/>
        <w:widowControl w:val="0"/>
        <w:kinsoku/>
        <w:wordWrap/>
        <w:overflowPunct/>
        <w:topLinePunct w:val="0"/>
        <w:autoSpaceDE/>
        <w:autoSpaceDN/>
        <w:bidi w:val="0"/>
        <w:adjustRightInd/>
        <w:snapToGrid w:val="0"/>
        <w:spacing w:line="576" w:lineRule="exact"/>
        <w:ind w:firstLine="643" w:firstLineChars="200"/>
        <w:textAlignment w:val="auto"/>
        <w:rPr>
          <w:rFonts w:hint="default" w:eastAsia="仿宋_GB2312"/>
          <w:sz w:val="32"/>
          <w:szCs w:val="32"/>
          <w:lang w:val="en-US" w:eastAsia="zh-CN"/>
        </w:rPr>
      </w:pPr>
      <w:r>
        <w:rPr>
          <w:rFonts w:hint="eastAsia" w:ascii="仿宋_GB2312" w:hAnsi="仿宋_GB2312" w:eastAsia="仿宋_GB2312" w:cs="仿宋_GB2312"/>
          <w:b/>
          <w:bCs w:val="0"/>
          <w:color w:val="auto"/>
          <w:sz w:val="32"/>
          <w:szCs w:val="32"/>
          <w:highlight w:val="none"/>
          <w:u w:val="none"/>
          <w:lang w:val="en-US" w:eastAsia="zh-CN"/>
        </w:rPr>
        <w:t>2.项目自评工作开展情况。</w:t>
      </w:r>
      <w:r>
        <w:rPr>
          <w:rFonts w:hint="eastAsia" w:ascii="仿宋_GB2312" w:eastAsia="仿宋_GB2312" w:cs="仿宋_GB2312"/>
          <w:color w:val="auto"/>
          <w:sz w:val="32"/>
          <w:szCs w:val="32"/>
          <w:lang w:val="en-US" w:eastAsia="zh-CN" w:bidi="ar-SA"/>
        </w:rPr>
        <w:t>按照《四川省政府投资项目后评价实施办法》</w:t>
      </w:r>
      <w:r>
        <w:rPr>
          <w:rFonts w:hint="eastAsia" w:ascii="仿宋_GB2312" w:eastAsia="仿宋_GB2312" w:cs="仿宋_GB2312"/>
          <w:color w:val="auto"/>
          <w:sz w:val="32"/>
          <w:szCs w:val="32"/>
          <w:lang w:eastAsia="zh-CN" w:bidi="ar-SA"/>
        </w:rPr>
        <w:t>，市发展改革委成立由分管领导牵头、财务、后勤、纪检、粮食仓储等科室人员组成的自评小组。</w:t>
      </w:r>
      <w:r>
        <w:rPr>
          <w:rFonts w:hint="eastAsia" w:ascii="仿宋_GB2312" w:eastAsia="仿宋_GB2312" w:cs="仿宋_GB2312"/>
          <w:color w:val="auto"/>
          <w:sz w:val="32"/>
          <w:szCs w:val="32"/>
          <w:lang w:bidi="ar-SA"/>
        </w:rPr>
        <w:t>通过</w:t>
      </w:r>
      <w:r>
        <w:rPr>
          <w:rFonts w:hint="eastAsia" w:ascii="仿宋_GB2312" w:eastAsia="仿宋_GB2312" w:cs="仿宋_GB2312"/>
          <w:color w:val="auto"/>
          <w:sz w:val="32"/>
          <w:szCs w:val="32"/>
          <w:lang w:eastAsia="zh-CN" w:bidi="ar-SA"/>
        </w:rPr>
        <w:t>查阅</w:t>
      </w:r>
      <w:r>
        <w:rPr>
          <w:rFonts w:hint="eastAsia" w:ascii="仿宋_GB2312" w:eastAsia="仿宋_GB2312" w:cs="仿宋_GB2312"/>
          <w:color w:val="auto"/>
          <w:sz w:val="32"/>
          <w:szCs w:val="32"/>
          <w:lang w:bidi="ar-SA"/>
        </w:rPr>
        <w:t>项目相关基础资料，收集数据信息等，</w:t>
      </w:r>
      <w:r>
        <w:rPr>
          <w:rFonts w:hint="eastAsia" w:ascii="仿宋_GB2312" w:eastAsia="仿宋_GB2312" w:cs="仿宋_GB2312"/>
          <w:color w:val="auto"/>
          <w:sz w:val="32"/>
          <w:szCs w:val="32"/>
          <w:lang w:eastAsia="zh-CN" w:bidi="ar-SA"/>
        </w:rPr>
        <w:t>对方案的目标设置合理性和实施路径可行性等方面开展评估。</w:t>
      </w:r>
    </w:p>
    <w:p w14:paraId="03016EC5">
      <w:pPr>
        <w:keepNext w:val="0"/>
        <w:keepLines w:val="0"/>
        <w:pageBreakBefore w:val="0"/>
        <w:widowControl w:val="0"/>
        <w:kinsoku/>
        <w:wordWrap/>
        <w:overflowPunct/>
        <w:topLinePunct w:val="0"/>
        <w:autoSpaceDE/>
        <w:autoSpaceDN/>
        <w:bidi w:val="0"/>
        <w:adjustRightInd w:val="0"/>
        <w:snapToGrid w:val="0"/>
        <w:spacing w:line="576" w:lineRule="exact"/>
        <w:ind w:firstLine="640" w:firstLineChars="200"/>
        <w:textAlignment w:val="auto"/>
        <w:outlineLvl w:val="9"/>
        <w:rPr>
          <w:rFonts w:hint="eastAsia" w:ascii="黑体" w:hAnsi="宋体" w:eastAsia="黑体"/>
          <w:sz w:val="32"/>
          <w:szCs w:val="32"/>
          <w:highlight w:val="none"/>
          <w:lang w:eastAsia="zh-CN"/>
        </w:rPr>
      </w:pPr>
      <w:r>
        <w:rPr>
          <w:rFonts w:hint="eastAsia" w:ascii="黑体" w:hAnsi="宋体" w:eastAsia="黑体"/>
          <w:sz w:val="32"/>
          <w:szCs w:val="32"/>
          <w:highlight w:val="none"/>
        </w:rPr>
        <w:t>二、</w:t>
      </w:r>
      <w:r>
        <w:rPr>
          <w:rFonts w:hint="eastAsia" w:ascii="黑体" w:hAnsi="宋体" w:eastAsia="黑体"/>
          <w:sz w:val="32"/>
          <w:szCs w:val="32"/>
          <w:highlight w:val="none"/>
          <w:lang w:eastAsia="zh-CN"/>
        </w:rPr>
        <w:t>评价实施</w:t>
      </w:r>
    </w:p>
    <w:p w14:paraId="410D741F">
      <w:pPr>
        <w:keepLines w:val="0"/>
        <w:pageBreakBefore w:val="0"/>
        <w:widowControl/>
        <w:tabs>
          <w:tab w:val="left" w:pos="2160"/>
        </w:tabs>
        <w:kinsoku/>
        <w:topLinePunct w:val="0"/>
        <w:autoSpaceDE/>
        <w:autoSpaceDN/>
        <w:bidi w:val="0"/>
        <w:spacing w:line="576" w:lineRule="exact"/>
        <w:jc w:val="left"/>
        <w:rPr>
          <w:rFonts w:hint="eastAsia" w:ascii="仿宋_GB2312" w:hAnsi="仿宋_GB2312" w:eastAsia="仿宋_GB2312" w:cs="仿宋_GB2312"/>
          <w:b w:val="0"/>
          <w:color w:val="auto"/>
          <w:kern w:val="0"/>
          <w:position w:val="3"/>
          <w:sz w:val="32"/>
          <w:szCs w:val="32"/>
          <w:shd w:val="clear" w:color="auto" w:fill="FFFFFF"/>
          <w:lang w:val="en-US" w:eastAsia="zh-CN" w:bidi="ar-SA"/>
        </w:rPr>
      </w:pPr>
      <w:r>
        <w:rPr>
          <w:rFonts w:hint="eastAsia" w:ascii="黑体" w:hAnsi="宋体" w:eastAsia="黑体" w:cs="Times New Roman"/>
          <w:kern w:val="0"/>
          <w:position w:val="3"/>
          <w:sz w:val="20"/>
          <w:szCs w:val="20"/>
          <w:highlight w:val="none"/>
          <w:lang w:val="en-US" w:eastAsia="zh-CN" w:bidi="ar-SA"/>
        </w:rPr>
        <w:t xml:space="preserve">    </w:t>
      </w:r>
      <w:r>
        <w:rPr>
          <w:rFonts w:hint="eastAsia" w:ascii="楷体_GB2312" w:hAnsi="楷体_GB2312" w:eastAsia="楷体_GB2312" w:cs="楷体_GB2312"/>
          <w:b/>
          <w:bCs/>
          <w:kern w:val="2"/>
          <w:position w:val="0"/>
          <w:sz w:val="32"/>
          <w:szCs w:val="32"/>
          <w:highlight w:val="none"/>
          <w:lang w:val="en-US" w:eastAsia="zh-CN" w:bidi="ar-SA"/>
        </w:rPr>
        <w:t xml:space="preserve"> （一）评价目的。</w:t>
      </w:r>
      <w:r>
        <w:rPr>
          <w:rFonts w:hint="eastAsia" w:ascii="仿宋_GB2312" w:hAnsi="仿宋_GB2312" w:eastAsia="仿宋_GB2312" w:cs="仿宋_GB2312"/>
          <w:b w:val="0"/>
          <w:color w:val="auto"/>
          <w:kern w:val="0"/>
          <w:position w:val="3"/>
          <w:sz w:val="32"/>
          <w:szCs w:val="32"/>
          <w:shd w:val="clear" w:color="auto" w:fill="FFFFFF"/>
          <w:lang w:val="en-US" w:eastAsia="zh-CN" w:bidi="ar-SA"/>
        </w:rPr>
        <w:t>一是评估项目目标的达成程度，通过比较项目计划与实际执行结果，判断项目是否按照预期完成，是否实现了预期的成果。二是发现问题并提出改进措施，通过自评，发现项目执行中可能存在的风险和问题，并及时采取措施加以解决。三是提高项目管理水平，通过对项目进行全面、系统的评估，发现问题和不足，及时总结经验教训，为未来的项目提供有益的借鉴。</w:t>
      </w:r>
    </w:p>
    <w:p w14:paraId="68357A27">
      <w:pPr>
        <w:keepLines w:val="0"/>
        <w:pageBreakBefore w:val="0"/>
        <w:kinsoku/>
        <w:topLinePunct w:val="0"/>
        <w:autoSpaceDE/>
        <w:autoSpaceDN/>
        <w:bidi w:val="0"/>
        <w:spacing w:line="576" w:lineRule="exact"/>
        <w:rPr>
          <w:rFonts w:hint="eastAsia" w:ascii="仿宋_GB2312" w:hAnsi="仿宋_GB2312" w:eastAsia="仿宋_GB2312" w:cs="仿宋_GB2312"/>
          <w:b w:val="0"/>
          <w:color w:val="auto"/>
          <w:kern w:val="0"/>
          <w:sz w:val="32"/>
          <w:szCs w:val="32"/>
          <w:shd w:val="clear" w:color="auto" w:fill="FFFFFF"/>
          <w:lang w:val="en-US" w:eastAsia="zh-CN" w:bidi="ar-SA"/>
        </w:rPr>
      </w:pPr>
      <w:r>
        <w:rPr>
          <w:rFonts w:hint="eastAsia" w:ascii="仿宋_GB2312" w:hAnsi="仿宋_GB2312" w:eastAsia="仿宋_GB2312" w:cs="仿宋_GB2312"/>
          <w:b w:val="0"/>
          <w:color w:val="auto"/>
          <w:kern w:val="0"/>
          <w:sz w:val="32"/>
          <w:szCs w:val="32"/>
          <w:shd w:val="clear" w:color="auto" w:fill="FFFFFF"/>
          <w:lang w:val="en-US" w:eastAsia="zh-CN" w:bidi="ar-SA"/>
        </w:rPr>
        <w:t xml:space="preserve"> </w:t>
      </w:r>
      <w:r>
        <w:rPr>
          <w:rFonts w:hint="eastAsia" w:ascii="楷体_GB2312" w:hAnsi="宋体" w:eastAsia="楷体_GB2312" w:cs="Times New Roman"/>
          <w:b/>
          <w:color w:val="auto"/>
          <w:sz w:val="32"/>
          <w:szCs w:val="32"/>
          <w:highlight w:val="none"/>
          <w:u w:val="none"/>
          <w:lang w:val="en-US" w:eastAsia="zh-CN"/>
        </w:rPr>
        <w:t xml:space="preserve">  （二）</w:t>
      </w:r>
      <w:r>
        <w:rPr>
          <w:rFonts w:hint="eastAsia" w:ascii="楷体_GB2312" w:hAnsi="宋体" w:eastAsia="楷体_GB2312"/>
          <w:b/>
          <w:color w:val="auto"/>
          <w:sz w:val="32"/>
          <w:szCs w:val="32"/>
          <w:highlight w:val="none"/>
          <w:u w:val="none"/>
          <w:lang w:val="zh-CN"/>
        </w:rPr>
        <w:t>预设问题及评价重点。</w:t>
      </w:r>
      <w:r>
        <w:rPr>
          <w:rFonts w:hint="eastAsia" w:ascii="仿宋_GB2312" w:hAnsi="仿宋_GB2312" w:eastAsia="仿宋_GB2312" w:cs="仿宋_GB2312"/>
          <w:b w:val="0"/>
          <w:color w:val="auto"/>
          <w:kern w:val="0"/>
          <w:sz w:val="32"/>
          <w:szCs w:val="32"/>
          <w:shd w:val="clear" w:color="auto" w:fill="FFFFFF"/>
          <w:lang w:val="en-US" w:eastAsia="zh-CN" w:bidi="ar-SA"/>
        </w:rPr>
        <w:t>项目实施中，严格按照资金使用管理规章制度，完善内控制度，严格专款专用，防止项目资金流失、浪费、挪用，支出程序规范，支出效果明显，保障了项目建设进度和建设质量。</w:t>
      </w:r>
    </w:p>
    <w:p w14:paraId="16E1FB1D">
      <w:pPr>
        <w:keepLines w:val="0"/>
        <w:pageBreakBefore w:val="0"/>
        <w:kinsoku/>
        <w:topLinePunct w:val="0"/>
        <w:autoSpaceDE/>
        <w:autoSpaceDN/>
        <w:bidi w:val="0"/>
        <w:spacing w:line="576" w:lineRule="exact"/>
        <w:rPr>
          <w:rFonts w:hint="eastAsia" w:ascii="仿宋_GB2312" w:hAnsi="仿宋_GB2312" w:eastAsia="仿宋_GB2312" w:cs="仿宋_GB2312"/>
          <w:b w:val="0"/>
          <w:color w:val="auto"/>
          <w:kern w:val="0"/>
          <w:sz w:val="32"/>
          <w:szCs w:val="32"/>
          <w:shd w:val="clear" w:color="auto" w:fill="FFFFFF"/>
          <w:lang w:val="zh-CN" w:eastAsia="zh-CN" w:bidi="ar-SA"/>
        </w:rPr>
      </w:pPr>
      <w:r>
        <w:rPr>
          <w:rFonts w:hint="eastAsia" w:ascii="仿宋_GB2312" w:hAnsi="仿宋_GB2312" w:eastAsia="仿宋_GB2312" w:cs="仿宋_GB2312"/>
          <w:b w:val="0"/>
          <w:color w:val="auto"/>
          <w:kern w:val="0"/>
          <w:sz w:val="32"/>
          <w:szCs w:val="32"/>
          <w:shd w:val="clear" w:color="auto" w:fill="FFFFFF"/>
          <w:lang w:val="en-US" w:eastAsia="zh-CN" w:bidi="ar-SA"/>
        </w:rPr>
        <w:t xml:space="preserve">   </w:t>
      </w:r>
      <w:r>
        <w:rPr>
          <w:rFonts w:hint="eastAsia" w:ascii="楷体_GB2312" w:hAnsi="楷体_GB2312" w:eastAsia="楷体_GB2312" w:cs="楷体_GB2312"/>
          <w:b/>
          <w:bCs/>
          <w:color w:val="auto"/>
          <w:kern w:val="0"/>
          <w:sz w:val="32"/>
          <w:szCs w:val="32"/>
          <w:shd w:val="clear" w:color="auto" w:fill="FFFFFF"/>
          <w:lang w:val="en-US" w:eastAsia="zh-CN" w:bidi="ar-SA"/>
        </w:rPr>
        <w:t>（三）</w:t>
      </w:r>
      <w:r>
        <w:rPr>
          <w:rFonts w:hint="eastAsia" w:ascii="楷体_GB2312" w:hAnsi="楷体_GB2312" w:eastAsia="楷体_GB2312" w:cs="楷体_GB2312"/>
          <w:b/>
          <w:bCs/>
          <w:color w:val="auto"/>
          <w:sz w:val="32"/>
          <w:szCs w:val="32"/>
          <w:highlight w:val="none"/>
          <w:u w:val="none"/>
          <w:lang w:val="zh-CN"/>
        </w:rPr>
        <w:t>评价选点。</w:t>
      </w:r>
      <w:r>
        <w:rPr>
          <w:rFonts w:hint="eastAsia" w:ascii="仿宋_GB2312" w:hAnsi="仿宋_GB2312" w:eastAsia="仿宋_GB2312" w:cs="仿宋_GB2312"/>
          <w:b w:val="0"/>
          <w:color w:val="auto"/>
          <w:kern w:val="0"/>
          <w:sz w:val="32"/>
          <w:szCs w:val="32"/>
          <w:shd w:val="clear" w:color="auto" w:fill="FFFFFF"/>
          <w:lang w:val="zh-CN" w:eastAsia="zh-CN" w:bidi="ar-SA"/>
        </w:rPr>
        <w:t>自评点位为</w:t>
      </w:r>
      <w:r>
        <w:rPr>
          <w:rFonts w:hint="eastAsia" w:ascii="仿宋_GB2312" w:hAnsi="仿宋_GB2312" w:eastAsia="仿宋_GB2312" w:cs="仿宋_GB2312"/>
          <w:b w:val="0"/>
          <w:color w:val="auto"/>
          <w:kern w:val="0"/>
          <w:sz w:val="32"/>
          <w:szCs w:val="32"/>
          <w:shd w:val="clear" w:color="auto" w:fill="FFFFFF"/>
          <w:lang w:val="en-US" w:eastAsia="zh-CN" w:bidi="ar-SA"/>
        </w:rPr>
        <w:t>成渝地区粮食安全保障基地（广元）实施方案。</w:t>
      </w:r>
    </w:p>
    <w:p w14:paraId="1C18C268">
      <w:pPr>
        <w:keepLines w:val="0"/>
        <w:pageBreakBefore w:val="0"/>
        <w:kinsoku/>
        <w:topLinePunct w:val="0"/>
        <w:autoSpaceDE/>
        <w:autoSpaceDN/>
        <w:bidi w:val="0"/>
        <w:spacing w:line="576" w:lineRule="exact"/>
        <w:rPr>
          <w:rFonts w:hint="eastAsia" w:ascii="仿宋_GB2312" w:hAnsi="仿宋_GB2312" w:eastAsia="仿宋_GB2312" w:cs="仿宋_GB2312"/>
          <w:b w:val="0"/>
          <w:color w:val="auto"/>
          <w:kern w:val="0"/>
          <w:sz w:val="32"/>
          <w:szCs w:val="32"/>
          <w:shd w:val="clear" w:color="auto" w:fill="FFFFFF"/>
          <w:lang w:val="en-US" w:eastAsia="zh-CN" w:bidi="ar-SA"/>
        </w:rPr>
      </w:pPr>
      <w:r>
        <w:rPr>
          <w:rFonts w:hint="eastAsia" w:ascii="仿宋_GB2312" w:hAnsi="仿宋_GB2312" w:eastAsia="仿宋_GB2312" w:cs="仿宋_GB2312"/>
          <w:b w:val="0"/>
          <w:color w:val="auto"/>
          <w:kern w:val="0"/>
          <w:sz w:val="32"/>
          <w:szCs w:val="32"/>
          <w:shd w:val="clear" w:color="auto" w:fill="FFFFFF"/>
          <w:lang w:val="en-US" w:eastAsia="zh-CN" w:bidi="ar-SA"/>
        </w:rPr>
        <w:t xml:space="preserve">   </w:t>
      </w:r>
      <w:r>
        <w:rPr>
          <w:rFonts w:hint="eastAsia" w:ascii="楷体_GB2312" w:hAnsi="楷体_GB2312" w:eastAsia="楷体_GB2312" w:cs="楷体_GB2312"/>
          <w:b/>
          <w:bCs/>
          <w:color w:val="auto"/>
          <w:kern w:val="0"/>
          <w:sz w:val="32"/>
          <w:szCs w:val="32"/>
          <w:shd w:val="clear" w:color="auto" w:fill="FFFFFF"/>
          <w:lang w:val="en-US" w:eastAsia="zh-CN" w:bidi="ar-SA"/>
        </w:rPr>
        <w:t>（四）</w:t>
      </w:r>
      <w:r>
        <w:rPr>
          <w:rFonts w:hint="eastAsia" w:ascii="楷体_GB2312" w:hAnsi="楷体_GB2312" w:eastAsia="楷体_GB2312" w:cs="楷体_GB2312"/>
          <w:b/>
          <w:bCs/>
          <w:color w:val="auto"/>
          <w:sz w:val="32"/>
          <w:szCs w:val="32"/>
          <w:highlight w:val="none"/>
          <w:u w:val="none"/>
          <w:lang w:val="zh-CN"/>
        </w:rPr>
        <w:t>评价方法。</w:t>
      </w:r>
      <w:r>
        <w:rPr>
          <w:rFonts w:hint="eastAsia" w:ascii="仿宋_GB2312" w:hAnsi="仿宋_GB2312" w:eastAsia="仿宋_GB2312" w:cs="仿宋_GB2312"/>
          <w:b w:val="0"/>
          <w:color w:val="auto"/>
          <w:kern w:val="0"/>
          <w:sz w:val="32"/>
          <w:szCs w:val="32"/>
          <w:shd w:val="clear" w:color="auto" w:fill="FFFFFF"/>
          <w:lang w:val="en-US" w:eastAsia="zh-CN" w:bidi="ar-SA"/>
        </w:rPr>
        <w:t>评价方法为采用成本效益分析法、单位自评法等方法。</w:t>
      </w:r>
    </w:p>
    <w:p w14:paraId="25F7FF14">
      <w:pPr>
        <w:keepNext/>
        <w:keepLines w:val="0"/>
        <w:pageBreakBefore w:val="0"/>
        <w:widowControl w:val="0"/>
        <w:numPr>
          <w:ilvl w:val="1"/>
          <w:numId w:val="0"/>
        </w:numPr>
        <w:kinsoku/>
        <w:topLinePunct w:val="0"/>
        <w:autoSpaceDE/>
        <w:autoSpaceDN/>
        <w:bidi w:val="0"/>
        <w:snapToGrid w:val="0"/>
        <w:spacing w:beforeLines="50" w:afterLines="50" w:line="576" w:lineRule="exact"/>
        <w:jc w:val="both"/>
        <w:outlineLvl w:val="1"/>
        <w:rPr>
          <w:rFonts w:hint="eastAsia" w:ascii="宋体" w:hAnsi="宋体" w:eastAsia="仿宋_GB2312" w:cs="Times New Roman"/>
          <w:b/>
          <w:bCs/>
          <w:color w:val="000000"/>
          <w:kern w:val="2"/>
          <w:sz w:val="32"/>
          <w:szCs w:val="32"/>
          <w:lang w:val="en-US" w:eastAsia="zh-CN" w:bidi="ar-SA"/>
        </w:rPr>
      </w:pPr>
      <w:r>
        <w:rPr>
          <w:rFonts w:hint="eastAsia" w:ascii="仿宋_GB2312" w:hAnsi="仿宋_GB2312" w:eastAsia="仿宋_GB2312" w:cs="仿宋_GB2312"/>
          <w:b w:val="0"/>
          <w:color w:val="auto"/>
          <w:kern w:val="0"/>
          <w:sz w:val="32"/>
          <w:szCs w:val="32"/>
          <w:shd w:val="clear" w:color="auto" w:fill="FFFFFF"/>
          <w:lang w:val="en-US" w:eastAsia="zh-CN" w:bidi="ar-SA"/>
        </w:rPr>
        <w:t xml:space="preserve">   </w:t>
      </w:r>
      <w:r>
        <w:rPr>
          <w:rFonts w:hint="eastAsia" w:ascii="楷体_GB2312" w:hAnsi="楷体_GB2312" w:eastAsia="楷体_GB2312" w:cs="楷体_GB2312"/>
          <w:b/>
          <w:bCs/>
          <w:color w:val="auto"/>
          <w:kern w:val="0"/>
          <w:sz w:val="32"/>
          <w:szCs w:val="32"/>
          <w:shd w:val="clear" w:color="auto" w:fill="FFFFFF"/>
          <w:lang w:val="en-US" w:eastAsia="zh-CN" w:bidi="ar-SA"/>
        </w:rPr>
        <w:t>（五）</w:t>
      </w:r>
      <w:r>
        <w:rPr>
          <w:rFonts w:hint="eastAsia" w:ascii="楷体_GB2312" w:hAnsi="楷体_GB2312" w:eastAsia="楷体_GB2312" w:cs="楷体_GB2312"/>
          <w:b/>
          <w:bCs/>
          <w:color w:val="auto"/>
          <w:kern w:val="2"/>
          <w:sz w:val="32"/>
          <w:szCs w:val="32"/>
          <w:highlight w:val="none"/>
          <w:u w:val="none"/>
          <w:lang w:val="zh-CN" w:eastAsia="zh-CN" w:bidi="ar-SA"/>
        </w:rPr>
        <w:t>评价组织。</w:t>
      </w:r>
      <w:r>
        <w:rPr>
          <w:rFonts w:hint="eastAsia" w:ascii="仿宋_GB2312" w:hAnsi="仿宋_GB2312" w:eastAsia="仿宋_GB2312" w:cs="仿宋_GB2312"/>
          <w:b w:val="0"/>
          <w:color w:val="auto"/>
          <w:kern w:val="0"/>
          <w:sz w:val="32"/>
          <w:szCs w:val="32"/>
          <w:shd w:val="clear" w:color="auto" w:fill="FFFFFF"/>
          <w:lang w:val="en-US" w:eastAsia="zh-CN" w:bidi="ar-SA"/>
        </w:rPr>
        <w:t>评价组由主要负责人陈林为组长，文伦贵、赵静为副组长，牛凯莉、苏德勇、李芬、薛岳为成员。陈林对评价工作负总责，赵静主要负责资金管理、项目建设结果等方面的评价，文伦贵主要负责项目实施等方面的评价，刘凯莉主要负责项目设备效果等方面评价，苏德勇主要负责项目经济、财务等方面的评价。</w:t>
      </w:r>
    </w:p>
    <w:p w14:paraId="58592178">
      <w:pPr>
        <w:keepNext w:val="0"/>
        <w:keepLines w:val="0"/>
        <w:pageBreakBefore w:val="0"/>
        <w:kinsoku/>
        <w:wordWrap/>
        <w:overflowPunct/>
        <w:topLinePunct w:val="0"/>
        <w:autoSpaceDE/>
        <w:autoSpaceDN/>
        <w:bidi w:val="0"/>
        <w:adjustRightInd w:val="0"/>
        <w:snapToGrid w:val="0"/>
        <w:spacing w:line="576" w:lineRule="exact"/>
        <w:ind w:firstLine="640" w:firstLineChars="200"/>
        <w:textAlignment w:val="auto"/>
        <w:rPr>
          <w:rFonts w:ascii="仿宋_GB2312" w:hAnsi="宋体" w:eastAsia="仿宋_GB2312"/>
          <w:color w:val="auto"/>
          <w:sz w:val="32"/>
          <w:szCs w:val="32"/>
          <w:highlight w:val="none"/>
          <w:u w:val="none"/>
          <w:lang w:val="zh-CN"/>
        </w:rPr>
      </w:pPr>
      <w:r>
        <w:rPr>
          <w:rFonts w:hint="eastAsia" w:ascii="黑体" w:hAnsi="宋体" w:eastAsia="黑体"/>
          <w:color w:val="auto"/>
          <w:sz w:val="32"/>
          <w:szCs w:val="32"/>
          <w:highlight w:val="none"/>
          <w:u w:val="none"/>
        </w:rPr>
        <w:t>三、</w:t>
      </w:r>
      <w:r>
        <w:rPr>
          <w:rFonts w:hint="eastAsia" w:ascii="黑体" w:hAnsi="宋体" w:eastAsia="黑体"/>
          <w:color w:val="auto"/>
          <w:sz w:val="32"/>
          <w:szCs w:val="32"/>
          <w:highlight w:val="none"/>
          <w:u w:val="none"/>
          <w:lang w:eastAsia="zh-CN"/>
        </w:rPr>
        <w:t>绩效分析</w:t>
      </w:r>
      <w:r>
        <w:rPr>
          <w:rFonts w:hint="eastAsia" w:ascii="仿宋_GB2312" w:hAnsi="宋体" w:eastAsia="仿宋_GB2312"/>
          <w:color w:val="auto"/>
          <w:sz w:val="32"/>
          <w:szCs w:val="32"/>
          <w:highlight w:val="none"/>
          <w:u w:val="none"/>
          <w:lang w:val="zh-CN"/>
        </w:rPr>
        <w:tab/>
      </w:r>
    </w:p>
    <w:p w14:paraId="135167DC">
      <w:pPr>
        <w:keepNext w:val="0"/>
        <w:keepLines w:val="0"/>
        <w:pageBreakBefore w:val="0"/>
        <w:widowControl w:val="0"/>
        <w:kinsoku/>
        <w:wordWrap/>
        <w:overflowPunct/>
        <w:topLinePunct w:val="0"/>
        <w:autoSpaceDE/>
        <w:autoSpaceDN/>
        <w:bidi w:val="0"/>
        <w:adjustRightInd/>
        <w:snapToGrid/>
        <w:spacing w:line="576" w:lineRule="exact"/>
        <w:ind w:firstLine="640"/>
        <w:textAlignment w:val="auto"/>
        <w:outlineLvl w:val="9"/>
        <w:rPr>
          <w:rFonts w:hint="eastAsia" w:ascii="楷体_GB2312" w:hAnsi="宋体" w:eastAsia="楷体_GB2312" w:cs="Times New Roman"/>
          <w:b/>
          <w:color w:val="auto"/>
          <w:sz w:val="32"/>
          <w:szCs w:val="32"/>
          <w:highlight w:val="none"/>
          <w:u w:val="none"/>
          <w:lang w:val="en-US" w:eastAsia="zh-CN"/>
        </w:rPr>
      </w:pPr>
      <w:r>
        <w:rPr>
          <w:rFonts w:hint="eastAsia" w:ascii="楷体_GB2312" w:hAnsi="宋体" w:eastAsia="楷体_GB2312" w:cs="Times New Roman"/>
          <w:b/>
          <w:color w:val="auto"/>
          <w:sz w:val="32"/>
          <w:szCs w:val="32"/>
          <w:highlight w:val="none"/>
          <w:u w:val="none"/>
          <w:lang w:val="zh-CN"/>
        </w:rPr>
        <w:t>（一）</w:t>
      </w:r>
      <w:r>
        <w:rPr>
          <w:rFonts w:hint="eastAsia" w:ascii="楷体_GB2312" w:hAnsi="宋体" w:eastAsia="楷体_GB2312" w:cs="Times New Roman"/>
          <w:b/>
          <w:color w:val="auto"/>
          <w:sz w:val="32"/>
          <w:szCs w:val="32"/>
          <w:highlight w:val="none"/>
          <w:u w:val="none"/>
          <w:lang w:val="en-US" w:eastAsia="zh-CN"/>
        </w:rPr>
        <w:t>通用指标</w:t>
      </w:r>
      <w:r>
        <w:rPr>
          <w:rFonts w:hint="default" w:ascii="Times New Roman" w:hAnsi="Times New Roman" w:eastAsia="楷体_GB2312" w:cs="Times New Roman"/>
          <w:b/>
          <w:bCs/>
          <w:color w:val="000000"/>
          <w:kern w:val="0"/>
          <w:sz w:val="32"/>
          <w:szCs w:val="32"/>
          <w:highlight w:val="none"/>
          <w:shd w:val="clear" w:color="auto" w:fill="FFFFFF"/>
          <w:lang w:val="zh-CN"/>
        </w:rPr>
        <w:t>绩效分析</w:t>
      </w:r>
    </w:p>
    <w:p w14:paraId="3555B393">
      <w:pPr>
        <w:keepNext w:val="0"/>
        <w:keepLines w:val="0"/>
        <w:pageBreakBefore w:val="0"/>
        <w:widowControl w:val="0"/>
        <w:kinsoku/>
        <w:wordWrap/>
        <w:overflowPunct/>
        <w:topLinePunct w:val="0"/>
        <w:autoSpaceDE/>
        <w:autoSpaceDN/>
        <w:bidi w:val="0"/>
        <w:adjustRightInd/>
        <w:snapToGrid/>
        <w:spacing w:line="576" w:lineRule="exact"/>
        <w:ind w:firstLine="640"/>
        <w:textAlignment w:val="auto"/>
        <w:outlineLvl w:val="9"/>
        <w:rPr>
          <w:rFonts w:hint="default" w:ascii="仿宋_GB2312" w:hAnsi="仿宋_GB2312" w:eastAsia="仿宋_GB2312" w:cs="仿宋_GB2312"/>
          <w:b w:val="0"/>
          <w:color w:val="auto"/>
          <w:kern w:val="0"/>
          <w:sz w:val="32"/>
          <w:szCs w:val="32"/>
          <w:shd w:val="clear" w:color="auto" w:fill="FFFFFF"/>
          <w:lang w:val="en-US" w:eastAsia="zh-CN" w:bidi="ar-SA"/>
        </w:rPr>
      </w:pPr>
      <w:r>
        <w:rPr>
          <w:rFonts w:hint="eastAsia" w:ascii="仿宋_GB2312" w:hAnsi="仿宋_GB2312" w:eastAsia="仿宋_GB2312" w:cs="仿宋_GB2312"/>
          <w:b/>
          <w:bCs/>
          <w:color w:val="auto"/>
          <w:sz w:val="32"/>
          <w:szCs w:val="32"/>
          <w:lang w:val="en-US" w:eastAsia="zh-CN"/>
        </w:rPr>
        <w:t>1.</w:t>
      </w:r>
      <w:r>
        <w:rPr>
          <w:rFonts w:hint="eastAsia" w:ascii="仿宋_GB2312" w:hAnsi="仿宋_GB2312" w:eastAsia="仿宋_GB2312" w:cs="仿宋_GB2312"/>
          <w:b/>
          <w:bCs/>
          <w:color w:val="auto"/>
          <w:sz w:val="32"/>
          <w:szCs w:val="32"/>
          <w:lang w:eastAsia="zh-CN"/>
        </w:rPr>
        <w:t>项目决策。</w:t>
      </w:r>
      <w:r>
        <w:rPr>
          <w:rFonts w:hint="eastAsia" w:ascii="仿宋_GB2312" w:hAnsi="仿宋_GB2312" w:eastAsia="仿宋_GB2312" w:cs="仿宋_GB2312"/>
          <w:b w:val="0"/>
          <w:color w:val="auto"/>
          <w:kern w:val="0"/>
          <w:sz w:val="32"/>
          <w:szCs w:val="32"/>
          <w:shd w:val="clear" w:color="auto" w:fill="FFFFFF"/>
          <w:lang w:val="en-US" w:eastAsia="zh-CN" w:bidi="ar-SA"/>
        </w:rPr>
        <w:t>项目实施中严格按照“三重一大”决策程序，坚持重大事项、大额资金等集体研究、集体决策，确保项目每一项决策民主、科学，公平、公开、公正。自评分析得分18分。</w:t>
      </w:r>
    </w:p>
    <w:p w14:paraId="48D09769">
      <w:pPr>
        <w:keepNext w:val="0"/>
        <w:keepLines w:val="0"/>
        <w:pageBreakBefore w:val="0"/>
        <w:widowControl w:val="0"/>
        <w:numPr>
          <w:ilvl w:val="1"/>
          <w:numId w:val="0"/>
        </w:numPr>
        <w:kinsoku/>
        <w:wordWrap/>
        <w:overflowPunct w:val="0"/>
        <w:topLinePunct w:val="0"/>
        <w:autoSpaceDE/>
        <w:autoSpaceDN/>
        <w:bidi w:val="0"/>
        <w:adjustRightInd w:val="0"/>
        <w:snapToGrid w:val="0"/>
        <w:spacing w:beforeLines="50" w:afterLines="50" w:line="576" w:lineRule="exact"/>
        <w:ind w:firstLine="643" w:firstLineChars="200"/>
        <w:jc w:val="both"/>
        <w:textAlignment w:val="auto"/>
        <w:outlineLvl w:val="1"/>
        <w:rPr>
          <w:rFonts w:hint="default" w:ascii="仿宋_GB2312" w:hAnsi="仿宋_GB2312" w:eastAsia="仿宋_GB2312" w:cs="仿宋_GB2312"/>
          <w:b/>
          <w:color w:val="auto"/>
          <w:kern w:val="2"/>
          <w:sz w:val="32"/>
          <w:szCs w:val="32"/>
          <w:lang w:val="en-US" w:eastAsia="zh-CN" w:bidi="ar-SA"/>
        </w:rPr>
      </w:pPr>
      <w:r>
        <w:rPr>
          <w:rFonts w:hint="eastAsia" w:ascii="仿宋_GB2312" w:hAnsi="仿宋_GB2312" w:eastAsia="仿宋_GB2312" w:cs="仿宋_GB2312"/>
          <w:b/>
          <w:color w:val="auto"/>
          <w:kern w:val="2"/>
          <w:sz w:val="32"/>
          <w:szCs w:val="32"/>
          <w:lang w:val="en-US" w:eastAsia="zh-CN" w:bidi="ar-SA"/>
        </w:rPr>
        <w:t>2.项目管理。</w:t>
      </w:r>
      <w:r>
        <w:rPr>
          <w:rFonts w:hint="eastAsia" w:ascii="仿宋_GB2312" w:hAnsi="仿宋_GB2312" w:eastAsia="仿宋_GB2312" w:cs="仿宋_GB2312"/>
          <w:b w:val="0"/>
          <w:color w:val="auto"/>
          <w:kern w:val="0"/>
          <w:sz w:val="32"/>
          <w:szCs w:val="32"/>
          <w:shd w:val="clear" w:color="auto" w:fill="FFFFFF"/>
          <w:lang w:val="en-US" w:eastAsia="zh-CN" w:bidi="ar-SA"/>
        </w:rPr>
        <w:t>项目建立完善了项目管理制度，资金使用实施细则等管理制度，成立有项目建设工作领导小组以及各相关事务小组，对项目推进、质量监督、项目实施及时跟踪，扎实抓好项目质量管理，确保项目质量。自评分析得分18分。</w:t>
      </w:r>
    </w:p>
    <w:p w14:paraId="2DD237F0">
      <w:pPr>
        <w:keepNext w:val="0"/>
        <w:keepLines w:val="0"/>
        <w:pageBreakBefore w:val="0"/>
        <w:widowControl w:val="0"/>
        <w:numPr>
          <w:ilvl w:val="1"/>
          <w:numId w:val="0"/>
        </w:numPr>
        <w:kinsoku/>
        <w:wordWrap/>
        <w:overflowPunct w:val="0"/>
        <w:topLinePunct w:val="0"/>
        <w:autoSpaceDE/>
        <w:autoSpaceDN/>
        <w:bidi w:val="0"/>
        <w:adjustRightInd w:val="0"/>
        <w:snapToGrid w:val="0"/>
        <w:spacing w:beforeLines="50" w:afterLines="50" w:line="576" w:lineRule="exact"/>
        <w:ind w:firstLine="643" w:firstLineChars="200"/>
        <w:jc w:val="both"/>
        <w:textAlignment w:val="auto"/>
        <w:outlineLvl w:val="1"/>
        <w:rPr>
          <w:rFonts w:hint="default" w:ascii="仿宋_GB2312" w:hAnsi="仿宋_GB2312" w:eastAsia="仿宋_GB2312" w:cs="仿宋_GB2312"/>
          <w:b w:val="0"/>
          <w:color w:val="auto"/>
          <w:kern w:val="0"/>
          <w:sz w:val="32"/>
          <w:szCs w:val="32"/>
          <w:shd w:val="clear" w:color="auto" w:fill="FFFFFF"/>
          <w:lang w:val="en-US" w:eastAsia="zh-CN" w:bidi="ar-SA"/>
        </w:rPr>
      </w:pPr>
      <w:r>
        <w:rPr>
          <w:rFonts w:hint="eastAsia" w:ascii="仿宋_GB2312" w:hAnsi="仿宋_GB2312" w:eastAsia="仿宋_GB2312" w:cs="仿宋_GB2312"/>
          <w:b/>
          <w:color w:val="auto"/>
          <w:kern w:val="2"/>
          <w:sz w:val="32"/>
          <w:szCs w:val="32"/>
          <w:lang w:val="en-US" w:eastAsia="zh-CN" w:bidi="ar-SA"/>
        </w:rPr>
        <w:t>3.项目实施。</w:t>
      </w:r>
      <w:r>
        <w:rPr>
          <w:rFonts w:hint="eastAsia" w:ascii="仿宋_GB2312" w:hAnsi="仿宋_GB2312" w:eastAsia="仿宋_GB2312" w:cs="仿宋_GB2312"/>
          <w:b w:val="0"/>
          <w:color w:val="auto"/>
          <w:kern w:val="0"/>
          <w:sz w:val="32"/>
          <w:szCs w:val="32"/>
          <w:shd w:val="clear" w:color="auto" w:fill="FFFFFF"/>
          <w:lang w:val="en-US" w:eastAsia="zh-CN" w:bidi="ar-SA"/>
        </w:rPr>
        <w:t>项目资金使用、拨付符合国家财经法规、财务管理制度及有关专项资金管理制度办法规定和审批程序，没有超范围、超标准、超进度使用专项资金，没有资金损失浪费，长期沉淀、截留、挤占、挪用、虚列支出等情况，项目实施遵守相关法律法规。自评分析得分9分。</w:t>
      </w:r>
    </w:p>
    <w:p w14:paraId="1B4B4008">
      <w:pPr>
        <w:keepNext w:val="0"/>
        <w:keepLines w:val="0"/>
        <w:pageBreakBefore w:val="0"/>
        <w:widowControl w:val="0"/>
        <w:numPr>
          <w:ilvl w:val="1"/>
          <w:numId w:val="0"/>
        </w:numPr>
        <w:kinsoku/>
        <w:wordWrap/>
        <w:overflowPunct w:val="0"/>
        <w:topLinePunct w:val="0"/>
        <w:autoSpaceDE/>
        <w:autoSpaceDN/>
        <w:bidi w:val="0"/>
        <w:adjustRightInd w:val="0"/>
        <w:snapToGrid w:val="0"/>
        <w:spacing w:beforeLines="50" w:afterLines="50" w:line="576" w:lineRule="exact"/>
        <w:ind w:firstLine="643" w:firstLineChars="200"/>
        <w:jc w:val="both"/>
        <w:textAlignment w:val="auto"/>
        <w:outlineLvl w:val="1"/>
        <w:rPr>
          <w:rFonts w:hint="default" w:ascii="仿宋_GB2312" w:hAnsi="仿宋_GB2312" w:eastAsia="仿宋_GB2312" w:cs="仿宋_GB2312"/>
          <w:b w:val="0"/>
          <w:color w:val="auto"/>
          <w:kern w:val="0"/>
          <w:sz w:val="32"/>
          <w:szCs w:val="32"/>
          <w:shd w:val="clear" w:color="auto" w:fill="FFFFFF"/>
          <w:lang w:val="en-US" w:eastAsia="zh-CN" w:bidi="ar-SA"/>
        </w:rPr>
      </w:pPr>
      <w:r>
        <w:rPr>
          <w:rFonts w:hint="eastAsia" w:ascii="仿宋_GB2312" w:hAnsi="仿宋_GB2312" w:eastAsia="仿宋_GB2312" w:cs="仿宋_GB2312"/>
          <w:b/>
          <w:color w:val="auto"/>
          <w:kern w:val="2"/>
          <w:sz w:val="32"/>
          <w:szCs w:val="32"/>
          <w:lang w:val="en-US" w:eastAsia="zh-CN" w:bidi="ar-SA"/>
        </w:rPr>
        <w:t>4.项目结果。</w:t>
      </w:r>
      <w:r>
        <w:rPr>
          <w:rFonts w:hint="eastAsia" w:ascii="仿宋_GB2312" w:hAnsi="仿宋_GB2312" w:eastAsia="仿宋_GB2312" w:cs="仿宋_GB2312"/>
          <w:b w:val="0"/>
          <w:color w:val="auto"/>
          <w:kern w:val="0"/>
          <w:sz w:val="32"/>
          <w:szCs w:val="32"/>
          <w:shd w:val="clear" w:color="auto" w:fill="FFFFFF"/>
          <w:lang w:val="en-US" w:eastAsia="zh-CN" w:bidi="ar-SA"/>
        </w:rPr>
        <w:t>项目建设目标已按照申报方案全部完成，实际完成时间严格控制在计划完成时间内，没有超期完成情况。自评分析得分9分。</w:t>
      </w:r>
    </w:p>
    <w:p w14:paraId="614FC4FC">
      <w:pPr>
        <w:keepLines w:val="0"/>
        <w:pageBreakBefore w:val="0"/>
        <w:kinsoku/>
        <w:topLinePunct w:val="0"/>
        <w:autoSpaceDE/>
        <w:autoSpaceDN/>
        <w:bidi w:val="0"/>
        <w:spacing w:line="576" w:lineRule="exact"/>
        <w:rPr>
          <w:rFonts w:hint="default" w:ascii="Times New Roman" w:hAnsi="Times New Roman" w:eastAsia="楷体_GB2312" w:cs="Times New Roman"/>
          <w:b/>
          <w:bCs/>
          <w:color w:val="000000"/>
          <w:kern w:val="0"/>
          <w:sz w:val="32"/>
          <w:szCs w:val="32"/>
          <w:highlight w:val="none"/>
          <w:shd w:val="clear" w:color="auto" w:fill="FFFFFF"/>
          <w:lang w:val="zh-CN"/>
        </w:rPr>
      </w:pPr>
      <w:r>
        <w:rPr>
          <w:rFonts w:hint="eastAsia" w:ascii="仿宋_GB2312" w:hAnsi="仿宋_GB2312" w:eastAsia="仿宋_GB2312" w:cs="仿宋_GB2312"/>
          <w:b w:val="0"/>
          <w:color w:val="auto"/>
          <w:kern w:val="0"/>
          <w:sz w:val="32"/>
          <w:szCs w:val="32"/>
          <w:shd w:val="clear" w:color="auto" w:fill="FFFFFF"/>
          <w:lang w:val="en-US" w:eastAsia="zh-CN" w:bidi="ar-SA"/>
        </w:rPr>
        <w:t xml:space="preserve">   </w:t>
      </w:r>
      <w:r>
        <w:rPr>
          <w:rFonts w:hint="eastAsia" w:ascii="Times New Roman" w:hAnsi="Times New Roman" w:eastAsia="楷体_GB2312" w:cs="Times New Roman"/>
          <w:b/>
          <w:bCs/>
          <w:color w:val="000000"/>
          <w:kern w:val="0"/>
          <w:sz w:val="32"/>
          <w:szCs w:val="32"/>
          <w:highlight w:val="none"/>
          <w:shd w:val="clear" w:color="auto" w:fill="FFFFFF"/>
          <w:lang w:val="en-US" w:eastAsia="zh-CN"/>
        </w:rPr>
        <w:t>（二）</w:t>
      </w:r>
      <w:r>
        <w:rPr>
          <w:rFonts w:hint="eastAsia" w:ascii="楷体_GB2312" w:hAnsi="宋体" w:eastAsia="楷体_GB2312" w:cs="Times New Roman"/>
          <w:b/>
          <w:color w:val="auto"/>
          <w:sz w:val="32"/>
          <w:szCs w:val="32"/>
          <w:highlight w:val="none"/>
          <w:u w:val="none"/>
          <w:lang w:val="en-US" w:eastAsia="zh-CN"/>
        </w:rPr>
        <w:t>专用指标</w:t>
      </w:r>
      <w:r>
        <w:rPr>
          <w:rFonts w:hint="default" w:ascii="Times New Roman" w:hAnsi="Times New Roman" w:eastAsia="楷体_GB2312" w:cs="Times New Roman"/>
          <w:b/>
          <w:bCs/>
          <w:color w:val="000000"/>
          <w:kern w:val="0"/>
          <w:sz w:val="32"/>
          <w:szCs w:val="32"/>
          <w:highlight w:val="none"/>
          <w:shd w:val="clear" w:color="auto" w:fill="FFFFFF"/>
          <w:lang w:val="zh-CN"/>
        </w:rPr>
        <w:t>绩效分析</w:t>
      </w:r>
    </w:p>
    <w:p w14:paraId="10B11914">
      <w:pPr>
        <w:keepLines w:val="0"/>
        <w:pageBreakBefore w:val="0"/>
        <w:kinsoku/>
        <w:topLinePunct w:val="0"/>
        <w:autoSpaceDE/>
        <w:autoSpaceDN/>
        <w:bidi w:val="0"/>
        <w:spacing w:line="576" w:lineRule="exact"/>
        <w:rPr>
          <w:rFonts w:hint="eastAsia" w:eastAsia="仿宋_GB2312"/>
          <w:sz w:val="32"/>
          <w:szCs w:val="32"/>
          <w:lang w:val="en-US" w:eastAsia="zh-CN"/>
        </w:rPr>
      </w:pPr>
      <w:r>
        <w:rPr>
          <w:rFonts w:hint="eastAsia" w:ascii="Times New Roman" w:eastAsia="楷体_GB2312" w:cs="Times New Roman"/>
          <w:b/>
          <w:bCs/>
          <w:color w:val="000000"/>
          <w:kern w:val="0"/>
          <w:sz w:val="32"/>
          <w:szCs w:val="32"/>
          <w:highlight w:val="none"/>
          <w:shd w:val="clear" w:color="auto" w:fill="FFFFFF"/>
          <w:lang w:val="en-US" w:eastAsia="zh-CN"/>
        </w:rPr>
        <w:t xml:space="preserve">    </w:t>
      </w:r>
      <w:r>
        <w:rPr>
          <w:rFonts w:hint="eastAsia" w:eastAsia="仿宋_GB2312"/>
          <w:b/>
          <w:bCs/>
          <w:sz w:val="32"/>
          <w:szCs w:val="32"/>
          <w:lang w:val="en-US" w:eastAsia="zh-CN"/>
        </w:rPr>
        <w:t>1.</w:t>
      </w:r>
      <w:r>
        <w:rPr>
          <w:rFonts w:hint="eastAsia" w:eastAsia="仿宋_GB2312"/>
          <w:b/>
          <w:bCs/>
          <w:sz w:val="32"/>
          <w:szCs w:val="32"/>
          <w:lang w:eastAsia="zh-CN"/>
        </w:rPr>
        <w:t>符合性</w:t>
      </w:r>
      <w:r>
        <w:rPr>
          <w:rFonts w:hint="eastAsia" w:eastAsia="仿宋_GB2312"/>
          <w:b/>
          <w:bCs/>
          <w:sz w:val="32"/>
          <w:szCs w:val="32"/>
          <w:lang w:val="en-US" w:eastAsia="zh-CN"/>
        </w:rPr>
        <w:t>分析</w:t>
      </w:r>
    </w:p>
    <w:p w14:paraId="2505AD0A">
      <w:pPr>
        <w:keepLines w:val="0"/>
        <w:pageBreakBefore w:val="0"/>
        <w:widowControl/>
        <w:tabs>
          <w:tab w:val="left" w:pos="2160"/>
        </w:tabs>
        <w:kinsoku/>
        <w:topLinePunct w:val="0"/>
        <w:autoSpaceDE/>
        <w:autoSpaceDN/>
        <w:bidi w:val="0"/>
        <w:spacing w:line="576" w:lineRule="exact"/>
        <w:jc w:val="left"/>
        <w:rPr>
          <w:rFonts w:hint="default" w:ascii="仿宋_GB2312" w:hAnsi="仿宋_GB2312" w:eastAsia="仿宋_GB2312" w:cs="仿宋_GB2312"/>
          <w:kern w:val="0"/>
          <w:position w:val="3"/>
          <w:sz w:val="32"/>
          <w:szCs w:val="32"/>
          <w:lang w:val="en-US" w:eastAsia="zh-CN" w:bidi="ar-SA"/>
        </w:rPr>
      </w:pPr>
      <w:r>
        <w:rPr>
          <w:rFonts w:hint="eastAsia" w:ascii="楷体_GB2312" w:hAnsi="Times New Roman" w:eastAsia="黑体" w:cs="Times New Roman"/>
          <w:kern w:val="0"/>
          <w:position w:val="3"/>
          <w:sz w:val="20"/>
          <w:szCs w:val="20"/>
          <w:lang w:val="en-US" w:eastAsia="zh-CN" w:bidi="ar-SA"/>
        </w:rPr>
        <w:t xml:space="preserve">       </w:t>
      </w:r>
      <w:r>
        <w:rPr>
          <w:rFonts w:hint="eastAsia" w:ascii="仿宋_GB2312" w:hAnsi="仿宋_GB2312" w:eastAsia="仿宋_GB2312" w:cs="仿宋_GB2312"/>
          <w:kern w:val="0"/>
          <w:position w:val="3"/>
          <w:sz w:val="32"/>
          <w:szCs w:val="32"/>
          <w:lang w:val="en-US" w:eastAsia="zh-CN" w:bidi="ar-SA"/>
        </w:rPr>
        <w:t>项目实施符合《</w:t>
      </w:r>
      <w:r>
        <w:rPr>
          <w:rFonts w:hint="default" w:ascii="仿宋_GB2312" w:hAnsi="仿宋_GB2312" w:eastAsia="仿宋_GB2312" w:cs="仿宋_GB2312"/>
          <w:kern w:val="0"/>
          <w:position w:val="3"/>
          <w:sz w:val="32"/>
          <w:szCs w:val="32"/>
          <w:lang w:val="en-US" w:eastAsia="zh-CN" w:bidi="ar-SA"/>
        </w:rPr>
        <w:t>广元市发展和改革委员会</w:t>
      </w:r>
      <w:r>
        <w:rPr>
          <w:rFonts w:hint="eastAsia" w:ascii="仿宋_GB2312" w:hAnsi="仿宋_GB2312" w:eastAsia="仿宋_GB2312" w:cs="仿宋_GB2312"/>
          <w:kern w:val="0"/>
          <w:position w:val="3"/>
          <w:sz w:val="32"/>
          <w:szCs w:val="32"/>
          <w:lang w:val="en-US" w:eastAsia="zh-CN" w:bidi="ar-SA"/>
        </w:rPr>
        <w:t>政府采购限额标准以下采购活动内控管理制度》《广元市政府采购预算绩效管理暂行办法》《2023年政府采购预算编制指引》。自评分析得分10分。</w:t>
      </w:r>
    </w:p>
    <w:p w14:paraId="73BF42B0">
      <w:pPr>
        <w:keepLines w:val="0"/>
        <w:pageBreakBefore w:val="0"/>
        <w:widowControl/>
        <w:tabs>
          <w:tab w:val="left" w:pos="2160"/>
        </w:tabs>
        <w:kinsoku/>
        <w:topLinePunct w:val="0"/>
        <w:autoSpaceDE/>
        <w:autoSpaceDN/>
        <w:bidi w:val="0"/>
        <w:spacing w:line="576" w:lineRule="exact"/>
        <w:ind w:firstLine="643" w:firstLineChars="200"/>
        <w:jc w:val="left"/>
        <w:rPr>
          <w:rFonts w:hint="eastAsia" w:ascii="仿宋_GB2312" w:hAnsi="仿宋_GB2312" w:eastAsia="仿宋_GB2312" w:cs="仿宋_GB2312"/>
          <w:b/>
          <w:bCs/>
          <w:kern w:val="0"/>
          <w:position w:val="3"/>
          <w:sz w:val="32"/>
          <w:szCs w:val="32"/>
          <w:lang w:val="en-US" w:eastAsia="zh-CN" w:bidi="ar-SA"/>
        </w:rPr>
      </w:pPr>
      <w:r>
        <w:rPr>
          <w:rFonts w:hint="eastAsia" w:ascii="仿宋_GB2312" w:hAnsi="仿宋_GB2312" w:eastAsia="仿宋_GB2312" w:cs="仿宋_GB2312"/>
          <w:b/>
          <w:bCs/>
          <w:kern w:val="0"/>
          <w:position w:val="3"/>
          <w:sz w:val="32"/>
          <w:szCs w:val="32"/>
          <w:lang w:val="en-US" w:eastAsia="zh-CN" w:bidi="ar-SA"/>
        </w:rPr>
        <w:t>2.成长性分析</w:t>
      </w:r>
    </w:p>
    <w:p w14:paraId="19332CA2">
      <w:pPr>
        <w:keepLines w:val="0"/>
        <w:pageBreakBefore w:val="0"/>
        <w:kinsoku/>
        <w:topLinePunct w:val="0"/>
        <w:autoSpaceDE/>
        <w:autoSpaceDN/>
        <w:bidi w:val="0"/>
        <w:spacing w:line="576" w:lineRule="exact"/>
        <w:ind w:firstLine="640" w:firstLineChars="200"/>
        <w:rPr>
          <w:rFonts w:hint="default" w:eastAsia="仿宋_GB2312"/>
          <w:sz w:val="32"/>
          <w:szCs w:val="32"/>
          <w:lang w:val="en-US" w:eastAsia="zh-CN"/>
        </w:rPr>
      </w:pPr>
      <w:r>
        <w:rPr>
          <w:rFonts w:hint="eastAsia" w:eastAsia="仿宋_GB2312"/>
          <w:sz w:val="32"/>
          <w:szCs w:val="32"/>
          <w:lang w:val="en-US" w:eastAsia="zh-CN"/>
        </w:rPr>
        <w:t>方案编制后，启动</w:t>
      </w:r>
      <w:r>
        <w:rPr>
          <w:rFonts w:hint="eastAsia" w:ascii="仿宋_GB2312" w:eastAsia="仿宋_GB2312"/>
          <w:sz w:val="32"/>
          <w:szCs w:val="32"/>
        </w:rPr>
        <w:t>成渝地区粮食安全保障基地建设载体项目落地</w:t>
      </w:r>
      <w:r>
        <w:rPr>
          <w:rFonts w:hint="eastAsia" w:ascii="仿宋_GB2312" w:eastAsia="仿宋_GB2312"/>
          <w:sz w:val="32"/>
          <w:szCs w:val="32"/>
          <w:lang w:eastAsia="zh-CN"/>
        </w:rPr>
        <w:t>实施。</w:t>
      </w:r>
      <w:r>
        <w:rPr>
          <w:rFonts w:hint="eastAsia" w:ascii="仿宋_GB2312" w:eastAsia="仿宋_GB2312"/>
          <w:sz w:val="32"/>
          <w:szCs w:val="32"/>
        </w:rPr>
        <w:t>其中川北粮食现代物流园区、剑阁县粮食仓储物流园、川北红岩港粮食现代物流中心、旺苍县粮食现代仓储和冷链物流建设、利州区粮油仓储物流园等大园区项目5个全面启动建设，</w:t>
      </w:r>
      <w:r>
        <w:rPr>
          <w:rFonts w:hint="eastAsia" w:ascii="仿宋_GB2312" w:eastAsia="仿宋_GB2312"/>
          <w:sz w:val="32"/>
          <w:szCs w:val="32"/>
          <w:lang w:eastAsia="zh-CN"/>
        </w:rPr>
        <w:t>已</w:t>
      </w:r>
      <w:r>
        <w:rPr>
          <w:rFonts w:hint="eastAsia" w:ascii="仿宋_GB2312" w:eastAsia="仿宋_GB2312"/>
          <w:sz w:val="32"/>
          <w:szCs w:val="32"/>
        </w:rPr>
        <w:t>完成固定资产投资</w:t>
      </w:r>
      <w:r>
        <w:rPr>
          <w:rFonts w:hint="eastAsia" w:ascii="仿宋_GB2312" w:eastAsia="仿宋_GB2312"/>
          <w:sz w:val="32"/>
          <w:szCs w:val="32"/>
          <w:lang w:val="en-US" w:eastAsia="zh-CN"/>
        </w:rPr>
        <w:t>9.</w:t>
      </w:r>
      <w:r>
        <w:rPr>
          <w:rFonts w:hint="eastAsia" w:ascii="仿宋_GB2312" w:eastAsia="仿宋_GB2312"/>
          <w:sz w:val="32"/>
          <w:szCs w:val="32"/>
        </w:rPr>
        <w:t>5</w:t>
      </w:r>
      <w:r>
        <w:rPr>
          <w:rFonts w:hint="eastAsia" w:ascii="仿宋_GB2312" w:eastAsia="仿宋_GB2312"/>
          <w:sz w:val="32"/>
          <w:szCs w:val="32"/>
          <w:lang w:eastAsia="zh-CN"/>
        </w:rPr>
        <w:t>亿</w:t>
      </w:r>
      <w:r>
        <w:rPr>
          <w:rFonts w:hint="eastAsia" w:ascii="仿宋_GB2312" w:eastAsia="仿宋_GB2312"/>
          <w:sz w:val="32"/>
          <w:szCs w:val="32"/>
        </w:rPr>
        <w:t>元</w:t>
      </w:r>
      <w:r>
        <w:rPr>
          <w:rFonts w:hint="eastAsia" w:ascii="仿宋_GB2312" w:eastAsia="仿宋_GB2312"/>
          <w:sz w:val="32"/>
          <w:szCs w:val="32"/>
          <w:lang w:eastAsia="zh-CN"/>
        </w:rPr>
        <w:t>；按照计划，到</w:t>
      </w:r>
      <w:r>
        <w:rPr>
          <w:rFonts w:hint="eastAsia" w:ascii="仿宋_GB2312" w:eastAsia="仿宋_GB2312"/>
          <w:sz w:val="32"/>
          <w:szCs w:val="32"/>
          <w:lang w:val="en-US" w:eastAsia="zh-CN"/>
        </w:rPr>
        <w:t>2030年项目建设完成投资32亿元</w:t>
      </w:r>
      <w:r>
        <w:rPr>
          <w:rFonts w:hint="eastAsia" w:ascii="仿宋_GB2312" w:eastAsia="仿宋_GB2312"/>
          <w:sz w:val="32"/>
          <w:szCs w:val="32"/>
        </w:rPr>
        <w:t>。</w:t>
      </w:r>
      <w:r>
        <w:rPr>
          <w:rFonts w:hint="eastAsia" w:ascii="仿宋_GB2312" w:eastAsia="仿宋_GB2312"/>
          <w:sz w:val="32"/>
          <w:szCs w:val="32"/>
          <w:lang w:eastAsia="zh-CN"/>
        </w:rPr>
        <w:t>自评分析得分</w:t>
      </w:r>
      <w:r>
        <w:rPr>
          <w:rFonts w:hint="eastAsia" w:ascii="仿宋_GB2312" w:eastAsia="仿宋_GB2312"/>
          <w:sz w:val="32"/>
          <w:szCs w:val="32"/>
          <w:lang w:val="en-US" w:eastAsia="zh-CN"/>
        </w:rPr>
        <w:t>10分。</w:t>
      </w:r>
    </w:p>
    <w:p w14:paraId="5C5AF4ED">
      <w:pPr>
        <w:keepLines w:val="0"/>
        <w:pageBreakBefore w:val="0"/>
        <w:kinsoku/>
        <w:topLinePunct w:val="0"/>
        <w:autoSpaceDE/>
        <w:autoSpaceDN/>
        <w:bidi w:val="0"/>
        <w:spacing w:line="576" w:lineRule="exact"/>
        <w:ind w:firstLine="643" w:firstLineChars="200"/>
        <w:rPr>
          <w:rFonts w:hint="eastAsia" w:eastAsia="仿宋_GB2312"/>
          <w:b/>
          <w:bCs/>
          <w:sz w:val="32"/>
          <w:szCs w:val="32"/>
          <w:lang w:eastAsia="zh-CN"/>
        </w:rPr>
      </w:pPr>
      <w:r>
        <w:rPr>
          <w:rFonts w:hint="eastAsia" w:eastAsia="仿宋_GB2312"/>
          <w:b/>
          <w:bCs/>
          <w:sz w:val="32"/>
          <w:szCs w:val="32"/>
          <w:lang w:val="en-US" w:eastAsia="zh-CN"/>
        </w:rPr>
        <w:t>3.</w:t>
      </w:r>
      <w:r>
        <w:rPr>
          <w:rFonts w:hint="eastAsia" w:eastAsia="仿宋_GB2312"/>
          <w:b/>
          <w:bCs/>
          <w:sz w:val="32"/>
          <w:szCs w:val="32"/>
          <w:lang w:eastAsia="zh-CN"/>
        </w:rPr>
        <w:t>经济性分析</w:t>
      </w:r>
    </w:p>
    <w:p w14:paraId="09A37692">
      <w:pPr>
        <w:keepLines w:val="0"/>
        <w:pageBreakBefore w:val="0"/>
        <w:widowControl/>
        <w:numPr>
          <w:ilvl w:val="0"/>
          <w:numId w:val="0"/>
        </w:numPr>
        <w:tabs>
          <w:tab w:val="left" w:pos="2160"/>
        </w:tabs>
        <w:kinsoku/>
        <w:topLinePunct w:val="0"/>
        <w:autoSpaceDE/>
        <w:autoSpaceDN/>
        <w:bidi w:val="0"/>
        <w:spacing w:line="576" w:lineRule="exact"/>
        <w:ind w:firstLine="640" w:firstLineChars="200"/>
        <w:jc w:val="left"/>
        <w:rPr>
          <w:rFonts w:hint="default" w:ascii="Times New Roman" w:hAnsi="Times New Roman" w:eastAsia="仿宋_GB2312" w:cs="Times New Roman"/>
          <w:kern w:val="2"/>
          <w:position w:val="0"/>
          <w:sz w:val="32"/>
          <w:szCs w:val="32"/>
          <w:lang w:val="en-US" w:eastAsia="zh-CN" w:bidi="ar-SA"/>
        </w:rPr>
      </w:pPr>
      <w:r>
        <w:rPr>
          <w:rFonts w:hint="eastAsia" w:ascii="Times New Roman" w:hAnsi="Times New Roman" w:eastAsia="仿宋_GB2312" w:cs="Times New Roman"/>
          <w:kern w:val="2"/>
          <w:position w:val="0"/>
          <w:sz w:val="32"/>
          <w:szCs w:val="32"/>
          <w:lang w:val="en-US" w:eastAsia="zh-CN" w:bidi="ar-SA"/>
        </w:rPr>
        <w:t>预计到2030年，粮食产量稳定在160万吨以上，地方储备规模达到30万吨，粮食有效仓容达到100万吨以上，粮食年中转量达到500万吨，粮食年加工能力达到300万吨，全市粮油加工贸易综合产值达到300亿元，形成大通道、大粮仓、大产业的发展格局，有力保障成渝地区粮食安全。自评分析得分10分。</w:t>
      </w:r>
    </w:p>
    <w:p w14:paraId="0D533A99">
      <w:pPr>
        <w:keepLines w:val="0"/>
        <w:pageBreakBefore w:val="0"/>
        <w:kinsoku/>
        <w:wordWrap w:val="0"/>
        <w:topLinePunct w:val="0"/>
        <w:autoSpaceDE/>
        <w:autoSpaceDN/>
        <w:bidi w:val="0"/>
        <w:spacing w:before="200" w:after="160" w:line="576" w:lineRule="exact"/>
        <w:ind w:left="0" w:leftChars="0" w:right="864" w:firstLine="0" w:firstLineChars="0"/>
        <w:jc w:val="both"/>
        <w:rPr>
          <w:rFonts w:hint="default" w:ascii="黑体" w:hAnsi="宋体" w:eastAsia="黑体" w:cs="Times New Roman"/>
          <w:i w:val="0"/>
          <w:color w:val="auto"/>
          <w:kern w:val="0"/>
          <w:position w:val="3"/>
          <w:sz w:val="32"/>
          <w:szCs w:val="32"/>
          <w:highlight w:val="none"/>
          <w:u w:val="none"/>
          <w:lang w:val="zh-CN" w:eastAsia="en-US" w:bidi="ar-SA"/>
        </w:rPr>
      </w:pPr>
      <w:r>
        <w:rPr>
          <w:rFonts w:hint="eastAsia" w:ascii="Times New Roman" w:hAnsi="Times New Roman" w:eastAsia="仿宋_GB2312" w:cs="Times New Roman"/>
          <w:i/>
          <w:kern w:val="2"/>
          <w:position w:val="0"/>
          <w:sz w:val="32"/>
          <w:szCs w:val="32"/>
          <w:lang w:val="en-US" w:eastAsia="zh-CN" w:bidi="ar-SA"/>
        </w:rPr>
        <w:t xml:space="preserve">   </w:t>
      </w:r>
      <w:r>
        <w:rPr>
          <w:rFonts w:hint="eastAsia" w:ascii="黑体" w:hAnsi="宋体" w:eastAsia="黑体" w:cs="Times New Roman"/>
          <w:i w:val="0"/>
          <w:color w:val="auto"/>
          <w:kern w:val="0"/>
          <w:position w:val="3"/>
          <w:sz w:val="32"/>
          <w:szCs w:val="32"/>
          <w:highlight w:val="none"/>
          <w:u w:val="none"/>
          <w:lang w:val="en-US" w:eastAsia="zh-CN" w:bidi="ar-SA"/>
        </w:rPr>
        <w:t>（四）个性指标</w:t>
      </w:r>
      <w:r>
        <w:rPr>
          <w:rFonts w:hint="default" w:ascii="黑体" w:hAnsi="宋体" w:eastAsia="黑体" w:cs="Times New Roman"/>
          <w:i w:val="0"/>
          <w:color w:val="auto"/>
          <w:kern w:val="0"/>
          <w:position w:val="3"/>
          <w:sz w:val="32"/>
          <w:szCs w:val="32"/>
          <w:highlight w:val="none"/>
          <w:u w:val="none"/>
          <w:lang w:val="zh-CN" w:eastAsia="en-US" w:bidi="ar-SA"/>
        </w:rPr>
        <w:t>绩效分析</w:t>
      </w:r>
    </w:p>
    <w:p w14:paraId="143CAE0B">
      <w:pPr>
        <w:keepLines w:val="0"/>
        <w:pageBreakBefore w:val="0"/>
        <w:kinsoku/>
        <w:topLinePunct w:val="0"/>
        <w:autoSpaceDE/>
        <w:autoSpaceDN/>
        <w:bidi w:val="0"/>
        <w:spacing w:line="576" w:lineRule="exact"/>
        <w:ind w:firstLine="640"/>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1.社会效益指标</w:t>
      </w:r>
    </w:p>
    <w:p w14:paraId="273641EE">
      <w:pPr>
        <w:keepLines w:val="0"/>
        <w:pageBreakBefore w:val="0"/>
        <w:kinsoku/>
        <w:topLinePunct w:val="0"/>
        <w:autoSpaceDE/>
        <w:autoSpaceDN/>
        <w:bidi w:val="0"/>
        <w:spacing w:line="576" w:lineRule="exact"/>
        <w:ind w:firstLine="640"/>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i w:val="0"/>
          <w:iCs/>
          <w:sz w:val="32"/>
          <w:szCs w:val="32"/>
          <w:lang w:val="en-US" w:eastAsia="zh-CN"/>
        </w:rPr>
        <w:t>该实施方案施行后，物流通道更加畅通高效、仓储设施布局更加合理、粮食产业经济突破发展、安全保障能力全面提升，有利于国家粮食安全和社会稳定。自评分析得分8分。</w:t>
      </w:r>
    </w:p>
    <w:p w14:paraId="6D10B875">
      <w:pPr>
        <w:keepLines w:val="0"/>
        <w:pageBreakBefore w:val="0"/>
        <w:kinsoku/>
        <w:wordWrap w:val="0"/>
        <w:topLinePunct w:val="0"/>
        <w:autoSpaceDE/>
        <w:autoSpaceDN/>
        <w:bidi w:val="0"/>
        <w:spacing w:before="200" w:after="160" w:line="576" w:lineRule="exact"/>
        <w:ind w:left="0" w:leftChars="0" w:right="864" w:firstLine="0" w:firstLineChars="0"/>
        <w:jc w:val="both"/>
        <w:rPr>
          <w:rFonts w:hint="eastAsia" w:ascii="仿宋_GB2312" w:hAnsi="仿宋_GB2312" w:eastAsia="仿宋_GB2312" w:cs="仿宋_GB2312"/>
          <w:i w:val="0"/>
          <w:iCs/>
          <w:sz w:val="32"/>
          <w:szCs w:val="32"/>
          <w:lang w:val="en-US" w:eastAsia="zh-CN" w:bidi="ar-SA"/>
        </w:rPr>
      </w:pPr>
      <w:r>
        <w:rPr>
          <w:rFonts w:hint="eastAsia" w:ascii="仿宋_GB2312" w:hAnsi="仿宋_GB2312" w:eastAsia="仿宋_GB2312" w:cs="仿宋_GB2312"/>
          <w:i/>
          <w:sz w:val="32"/>
          <w:szCs w:val="32"/>
          <w:lang w:val="en-US" w:eastAsia="zh-CN" w:bidi="ar-SA"/>
        </w:rPr>
        <w:t xml:space="preserve">    </w:t>
      </w:r>
      <w:r>
        <w:rPr>
          <w:rFonts w:hint="eastAsia" w:ascii="仿宋_GB2312" w:hAnsi="仿宋_GB2312" w:eastAsia="仿宋_GB2312" w:cs="仿宋_GB2312"/>
          <w:i w:val="0"/>
          <w:iCs/>
          <w:sz w:val="32"/>
          <w:szCs w:val="32"/>
          <w:lang w:val="en-US" w:eastAsia="zh-CN" w:bidi="ar-SA"/>
        </w:rPr>
        <w:t>2.服务对象满意度指标</w:t>
      </w:r>
    </w:p>
    <w:p w14:paraId="379D9C4F">
      <w:pPr>
        <w:spacing w:line="576" w:lineRule="exact"/>
        <w:ind w:firstLine="640" w:firstLineChars="200"/>
        <w:rPr>
          <w:rFonts w:hint="default" w:eastAsia="仿宋_GB2312"/>
          <w:sz w:val="32"/>
          <w:szCs w:val="32"/>
          <w:lang w:val="en-US" w:eastAsia="zh-CN"/>
        </w:rPr>
      </w:pPr>
      <w:r>
        <w:rPr>
          <w:rFonts w:hint="eastAsia" w:ascii="仿宋_GB2312" w:eastAsia="仿宋_GB2312"/>
          <w:sz w:val="32"/>
          <w:szCs w:val="32"/>
          <w:lang w:eastAsia="zh-CN"/>
        </w:rPr>
        <w:t>一是</w:t>
      </w:r>
      <w:r>
        <w:rPr>
          <w:rFonts w:hint="eastAsia" w:ascii="仿宋_GB2312" w:eastAsia="仿宋_GB2312"/>
          <w:sz w:val="32"/>
          <w:szCs w:val="32"/>
        </w:rPr>
        <w:t>工作得到市长肯定。董里市长在《政务要情》115期上批示：“市发改委在推动我市建设成渝地区粮食安全保障基地中积极主动，值得肯定！”</w:t>
      </w:r>
      <w:r>
        <w:rPr>
          <w:rFonts w:hint="eastAsia" w:ascii="仿宋_GB2312" w:eastAsia="仿宋_GB2312"/>
          <w:sz w:val="32"/>
          <w:szCs w:val="32"/>
          <w:lang w:eastAsia="zh-CN"/>
        </w:rPr>
        <w:t>二是</w:t>
      </w:r>
      <w:r>
        <w:rPr>
          <w:rFonts w:hint="eastAsia" w:ascii="仿宋_GB2312" w:eastAsia="仿宋_GB2312"/>
          <w:sz w:val="32"/>
          <w:szCs w:val="32"/>
          <w:lang w:val="en-US" w:eastAsia="zh-CN"/>
        </w:rPr>
        <w:t>2022年</w:t>
      </w:r>
      <w:r>
        <w:rPr>
          <w:rFonts w:hint="eastAsia" w:ascii="仿宋_GB2312" w:eastAsia="仿宋_GB2312"/>
          <w:sz w:val="32"/>
          <w:szCs w:val="32"/>
        </w:rPr>
        <w:t>粮安考核获全省先进</w:t>
      </w:r>
      <w:r>
        <w:rPr>
          <w:rFonts w:hint="eastAsia" w:ascii="仿宋_GB2312" w:eastAsia="仿宋_GB2312"/>
          <w:sz w:val="32"/>
          <w:szCs w:val="32"/>
          <w:lang w:eastAsia="zh-CN"/>
        </w:rPr>
        <w:t>单位、</w:t>
      </w:r>
      <w:r>
        <w:rPr>
          <w:rFonts w:hint="eastAsia" w:ascii="仿宋_GB2312" w:eastAsia="仿宋_GB2312"/>
          <w:sz w:val="32"/>
          <w:szCs w:val="32"/>
        </w:rPr>
        <w:t>食品安全党政同责考核获得全市先进单位</w:t>
      </w:r>
      <w:r>
        <w:rPr>
          <w:rFonts w:hint="eastAsia" w:ascii="仿宋_GB2312" w:eastAsia="仿宋_GB2312"/>
          <w:sz w:val="32"/>
          <w:szCs w:val="32"/>
          <w:lang w:eastAsia="zh-CN"/>
        </w:rPr>
        <w:t>、</w:t>
      </w:r>
      <w:r>
        <w:rPr>
          <w:rFonts w:hint="eastAsia" w:ascii="仿宋_GB2312" w:eastAsia="仿宋_GB2312"/>
          <w:sz w:val="32"/>
          <w:szCs w:val="32"/>
        </w:rPr>
        <w:t>粮油案例入选国家优秀案例。</w:t>
      </w:r>
      <w:r>
        <w:rPr>
          <w:rFonts w:hint="eastAsia" w:ascii="仿宋_GB2312" w:eastAsia="仿宋_GB2312"/>
          <w:sz w:val="32"/>
          <w:szCs w:val="32"/>
          <w:lang w:eastAsia="zh-CN"/>
        </w:rPr>
        <w:t>自评分析得分</w:t>
      </w:r>
      <w:r>
        <w:rPr>
          <w:rFonts w:hint="eastAsia" w:ascii="仿宋_GB2312" w:eastAsia="仿宋_GB2312"/>
          <w:sz w:val="32"/>
          <w:szCs w:val="32"/>
          <w:lang w:val="en-US" w:eastAsia="zh-CN"/>
        </w:rPr>
        <w:t>8分。</w:t>
      </w:r>
    </w:p>
    <w:p w14:paraId="1588186C">
      <w:pPr>
        <w:keepLines w:val="0"/>
        <w:pageBreakBefore w:val="0"/>
        <w:widowControl/>
        <w:numPr>
          <w:ilvl w:val="0"/>
          <w:numId w:val="0"/>
        </w:numPr>
        <w:tabs>
          <w:tab w:val="left" w:pos="2160"/>
        </w:tabs>
        <w:kinsoku/>
        <w:wordWrap/>
        <w:overflowPunct/>
        <w:topLinePunct w:val="0"/>
        <w:autoSpaceDE/>
        <w:autoSpaceDN/>
        <w:bidi w:val="0"/>
        <w:adjustRightInd/>
        <w:spacing w:line="576" w:lineRule="exact"/>
        <w:ind w:firstLine="640" w:firstLineChars="200"/>
        <w:jc w:val="left"/>
        <w:textAlignment w:val="auto"/>
        <w:rPr>
          <w:rFonts w:hint="eastAsia" w:ascii="黑体" w:hAnsi="宋体" w:eastAsia="黑体" w:cs="Times New Roman"/>
          <w:color w:val="auto"/>
          <w:kern w:val="0"/>
          <w:position w:val="3"/>
          <w:sz w:val="32"/>
          <w:szCs w:val="32"/>
          <w:highlight w:val="none"/>
          <w:u w:val="none"/>
          <w:lang w:val="en-US" w:eastAsia="en-US" w:bidi="ar-SA"/>
        </w:rPr>
      </w:pPr>
      <w:r>
        <w:rPr>
          <w:rFonts w:hint="eastAsia" w:ascii="黑体" w:hAnsi="宋体" w:eastAsia="黑体" w:cs="Times New Roman"/>
          <w:color w:val="auto"/>
          <w:kern w:val="0"/>
          <w:position w:val="3"/>
          <w:sz w:val="32"/>
          <w:szCs w:val="32"/>
          <w:highlight w:val="none"/>
          <w:u w:val="none"/>
          <w:lang w:val="en-US" w:eastAsia="zh-CN" w:bidi="ar-SA"/>
        </w:rPr>
        <w:t>四</w:t>
      </w:r>
      <w:r>
        <w:rPr>
          <w:rFonts w:hint="eastAsia" w:ascii="黑体" w:hAnsi="宋体" w:eastAsia="黑体" w:cs="Times New Roman"/>
          <w:color w:val="auto"/>
          <w:kern w:val="0"/>
          <w:position w:val="3"/>
          <w:sz w:val="32"/>
          <w:szCs w:val="32"/>
          <w:highlight w:val="none"/>
          <w:u w:val="none"/>
          <w:lang w:val="en-US" w:eastAsia="en-US" w:bidi="ar-SA"/>
        </w:rPr>
        <w:t>、评价结论</w:t>
      </w:r>
    </w:p>
    <w:p w14:paraId="447DA437">
      <w:pPr>
        <w:keepLines w:val="0"/>
        <w:pageBreakBefore w:val="0"/>
        <w:kinsoku/>
        <w:topLinePunct w:val="0"/>
        <w:autoSpaceDE/>
        <w:autoSpaceDN/>
        <w:bidi w:val="0"/>
        <w:spacing w:line="576" w:lineRule="exact"/>
        <w:ind w:firstLine="640" w:firstLineChars="200"/>
        <w:rPr>
          <w:rFonts w:hint="eastAsia" w:eastAsia="仿宋_GB2312"/>
          <w:sz w:val="32"/>
          <w:szCs w:val="32"/>
          <w:lang w:val="en-US" w:eastAsia="zh-CN"/>
        </w:rPr>
      </w:pPr>
      <w:r>
        <w:rPr>
          <w:rFonts w:hint="eastAsia" w:eastAsia="仿宋_GB2312"/>
          <w:sz w:val="32"/>
          <w:szCs w:val="32"/>
          <w:lang w:val="en-US" w:eastAsia="zh-CN"/>
        </w:rPr>
        <w:t>对照项目绩效评价指标体系表，自评得分为100分。项目实施程序合规，按时完成项目建设内容，资金使用专款专用，无挤占挪用截留等现象发生</w:t>
      </w:r>
      <w:r>
        <w:rPr>
          <w:rFonts w:hint="eastAsia" w:eastAsia="仿宋_GB2312"/>
          <w:sz w:val="32"/>
          <w:szCs w:val="32"/>
          <w:lang w:val="zh-CN"/>
        </w:rPr>
        <w:t>。</w:t>
      </w:r>
    </w:p>
    <w:p w14:paraId="416F8035">
      <w:pPr>
        <w:keepNext w:val="0"/>
        <w:keepLines w:val="0"/>
        <w:pageBreakBefore w:val="0"/>
        <w:widowControl w:val="0"/>
        <w:kinsoku/>
        <w:wordWrap/>
        <w:overflowPunct/>
        <w:topLinePunct w:val="0"/>
        <w:autoSpaceDE/>
        <w:autoSpaceDN/>
        <w:bidi w:val="0"/>
        <w:adjustRightInd w:val="0"/>
        <w:snapToGrid w:val="0"/>
        <w:spacing w:line="576" w:lineRule="exact"/>
        <w:ind w:firstLine="640" w:firstLineChars="200"/>
        <w:textAlignment w:val="auto"/>
        <w:rPr>
          <w:rFonts w:hint="eastAsia" w:ascii="黑体" w:hAnsi="黑体" w:eastAsia="黑体" w:cs="黑体"/>
          <w:color w:val="auto"/>
          <w:sz w:val="32"/>
          <w:szCs w:val="32"/>
          <w:highlight w:val="none"/>
          <w:u w:val="none"/>
          <w:lang w:eastAsia="zh-CN"/>
        </w:rPr>
      </w:pPr>
      <w:r>
        <w:rPr>
          <w:rFonts w:hint="eastAsia" w:ascii="黑体" w:hAnsi="黑体" w:eastAsia="黑体" w:cs="黑体"/>
          <w:color w:val="auto"/>
          <w:sz w:val="32"/>
          <w:szCs w:val="32"/>
          <w:highlight w:val="none"/>
          <w:u w:val="none"/>
          <w:lang w:eastAsia="zh-CN"/>
        </w:rPr>
        <w:t>五、存在主要问题</w:t>
      </w:r>
    </w:p>
    <w:p w14:paraId="5D9D53CD">
      <w:pPr>
        <w:keepLines w:val="0"/>
        <w:pageBreakBefore w:val="0"/>
        <w:widowControl/>
        <w:numPr>
          <w:ilvl w:val="0"/>
          <w:numId w:val="0"/>
        </w:numPr>
        <w:tabs>
          <w:tab w:val="left" w:pos="2160"/>
        </w:tabs>
        <w:kinsoku/>
        <w:wordWrap/>
        <w:overflowPunct/>
        <w:topLinePunct w:val="0"/>
        <w:autoSpaceDE/>
        <w:autoSpaceDN/>
        <w:bidi w:val="0"/>
        <w:adjustRightInd/>
        <w:spacing w:line="576" w:lineRule="exact"/>
        <w:ind w:firstLine="640" w:firstLineChars="200"/>
        <w:jc w:val="left"/>
        <w:textAlignment w:val="auto"/>
        <w:rPr>
          <w:rFonts w:hint="eastAsia" w:ascii="仿宋_GB2312" w:hAnsi="仿宋_GB2312" w:eastAsia="仿宋_GB2312" w:cs="仿宋_GB2312"/>
          <w:b w:val="0"/>
          <w:bCs w:val="0"/>
          <w:kern w:val="0"/>
          <w:position w:val="0"/>
          <w:sz w:val="32"/>
          <w:szCs w:val="32"/>
          <w:highlight w:val="none"/>
          <w:lang w:val="en-US" w:eastAsia="zh-CN" w:bidi="ar-SA"/>
        </w:rPr>
      </w:pPr>
      <w:r>
        <w:rPr>
          <w:rFonts w:hint="eastAsia" w:ascii="仿宋_GB2312" w:hAnsi="仿宋_GB2312" w:eastAsia="仿宋_GB2312" w:cs="仿宋_GB2312"/>
          <w:b w:val="0"/>
          <w:bCs w:val="0"/>
          <w:kern w:val="0"/>
          <w:position w:val="0"/>
          <w:sz w:val="32"/>
          <w:szCs w:val="32"/>
          <w:highlight w:val="none"/>
          <w:lang w:val="en-US" w:eastAsia="zh-CN" w:bidi="ar-SA"/>
        </w:rPr>
        <w:t>《成渝地区粮食安全保障基地（广元）实施方案》编制完成，并通过专家评审、社会稳定风险评估、合法性审查，但未提交市政府审定印发。</w:t>
      </w:r>
    </w:p>
    <w:p w14:paraId="1B5D60EB">
      <w:pPr>
        <w:keepLines w:val="0"/>
        <w:pageBreakBefore w:val="0"/>
        <w:widowControl/>
        <w:numPr>
          <w:ilvl w:val="0"/>
          <w:numId w:val="0"/>
        </w:numPr>
        <w:tabs>
          <w:tab w:val="left" w:pos="2160"/>
        </w:tabs>
        <w:kinsoku/>
        <w:wordWrap/>
        <w:overflowPunct/>
        <w:topLinePunct w:val="0"/>
        <w:autoSpaceDE/>
        <w:autoSpaceDN/>
        <w:bidi w:val="0"/>
        <w:adjustRightInd/>
        <w:spacing w:line="576" w:lineRule="exact"/>
        <w:ind w:firstLine="640" w:firstLineChars="200"/>
        <w:jc w:val="left"/>
        <w:textAlignment w:val="auto"/>
        <w:rPr>
          <w:rFonts w:hint="eastAsia" w:ascii="黑体" w:hAnsi="宋体" w:eastAsia="黑体" w:cs="Times New Roman"/>
          <w:color w:val="auto"/>
          <w:kern w:val="0"/>
          <w:position w:val="3"/>
          <w:sz w:val="32"/>
          <w:szCs w:val="32"/>
          <w:highlight w:val="none"/>
          <w:u w:val="none"/>
          <w:lang w:val="zh-CN" w:eastAsia="zh-CN" w:bidi="ar-SA"/>
        </w:rPr>
      </w:pPr>
      <w:r>
        <w:rPr>
          <w:rFonts w:hint="eastAsia" w:ascii="黑体" w:hAnsi="宋体" w:eastAsia="黑体" w:cs="Times New Roman"/>
          <w:color w:val="auto"/>
          <w:kern w:val="0"/>
          <w:position w:val="3"/>
          <w:sz w:val="32"/>
          <w:szCs w:val="32"/>
          <w:highlight w:val="none"/>
          <w:u w:val="none"/>
          <w:lang w:val="zh-CN" w:eastAsia="zh-CN" w:bidi="ar-SA"/>
        </w:rPr>
        <w:t>六、改进建议</w:t>
      </w:r>
    </w:p>
    <w:p w14:paraId="22898CDA">
      <w:pPr>
        <w:keepLines w:val="0"/>
        <w:pageBreakBefore w:val="0"/>
        <w:widowControl/>
        <w:tabs>
          <w:tab w:val="left" w:pos="2160"/>
        </w:tabs>
        <w:kinsoku/>
        <w:topLinePunct w:val="0"/>
        <w:autoSpaceDE/>
        <w:autoSpaceDN/>
        <w:bidi w:val="0"/>
        <w:spacing w:line="576" w:lineRule="exact"/>
        <w:ind w:firstLine="640"/>
        <w:jc w:val="left"/>
        <w:rPr>
          <w:rFonts w:hint="eastAsia" w:ascii="楷体_GB2312" w:hAnsi="Times New Roman" w:eastAsia="黑体" w:cs="Times New Roman"/>
          <w:kern w:val="0"/>
          <w:position w:val="3"/>
          <w:sz w:val="20"/>
          <w:szCs w:val="20"/>
          <w:lang w:val="zh-CN" w:eastAsia="zh-CN" w:bidi="ar-SA"/>
        </w:rPr>
      </w:pPr>
      <w:r>
        <w:rPr>
          <w:rFonts w:hint="eastAsia" w:ascii="仿宋_GB2312" w:hAnsi="仿宋_GB2312" w:eastAsia="仿宋_GB2312" w:cs="仿宋_GB2312"/>
          <w:b w:val="0"/>
          <w:bCs w:val="0"/>
          <w:kern w:val="0"/>
          <w:position w:val="0"/>
          <w:sz w:val="32"/>
          <w:szCs w:val="32"/>
          <w:highlight w:val="none"/>
          <w:lang w:val="en-US" w:eastAsia="zh-CN" w:bidi="ar-SA"/>
        </w:rPr>
        <w:t>加快推进送市政府审定印发程序。</w:t>
      </w:r>
    </w:p>
    <w:p w14:paraId="08E9243C">
      <w:pPr>
        <w:keepLines w:val="0"/>
        <w:pageBreakBefore w:val="0"/>
        <w:kinsoku/>
        <w:wordWrap w:val="0"/>
        <w:topLinePunct w:val="0"/>
        <w:autoSpaceDE/>
        <w:autoSpaceDN/>
        <w:bidi w:val="0"/>
        <w:spacing w:before="200" w:after="160" w:line="576" w:lineRule="exact"/>
        <w:ind w:left="864" w:right="864"/>
        <w:jc w:val="center"/>
        <w:rPr>
          <w:rFonts w:hint="eastAsia" w:ascii="Times New Roman" w:hAnsi="Times New Roman" w:eastAsia="宋体" w:cs="Times New Roman"/>
          <w:i/>
          <w:sz w:val="21"/>
          <w:lang w:val="zh-CN" w:eastAsia="zh-CN" w:bidi="ar-SA"/>
        </w:rPr>
      </w:pPr>
    </w:p>
    <w:p w14:paraId="2A85E5C3">
      <w:pPr>
        <w:keepNext w:val="0"/>
        <w:keepLines w:val="0"/>
        <w:pageBreakBefore w:val="0"/>
        <w:kinsoku/>
        <w:wordWrap/>
        <w:overflowPunct/>
        <w:topLinePunct w:val="0"/>
        <w:autoSpaceDE/>
        <w:autoSpaceDN/>
        <w:bidi w:val="0"/>
        <w:adjustRightInd/>
        <w:snapToGrid w:val="0"/>
        <w:spacing w:line="576" w:lineRule="exact"/>
        <w:ind w:left="0" w:leftChars="0" w:firstLine="640" w:firstLineChars="200"/>
        <w:textAlignment w:val="auto"/>
        <w:outlineLvl w:val="9"/>
        <w:rPr>
          <w:rFonts w:hint="eastAsia" w:ascii="Times New Roman" w:hAnsi="Times New Roman" w:eastAsia="仿宋_GB2312" w:cs="Times New Roman"/>
          <w:color w:val="000000"/>
          <w:kern w:val="0"/>
          <w:sz w:val="32"/>
          <w:szCs w:val="32"/>
          <w:highlight w:val="none"/>
          <w:shd w:val="clear" w:color="auto" w:fill="FFFFFF"/>
          <w:lang w:val="en-US" w:eastAsia="zh-CN"/>
        </w:rPr>
      </w:pPr>
      <w:r>
        <w:rPr>
          <w:rFonts w:hint="eastAsia" w:ascii="Times New Roman" w:hAnsi="Times New Roman" w:eastAsia="仿宋_GB2312" w:cs="Times New Roman"/>
          <w:color w:val="000000"/>
          <w:kern w:val="0"/>
          <w:sz w:val="32"/>
          <w:szCs w:val="32"/>
          <w:highlight w:val="none"/>
          <w:shd w:val="clear" w:color="auto" w:fill="FFFFFF"/>
          <w:lang w:val="en-US" w:eastAsia="zh-CN"/>
        </w:rPr>
        <w:t>附表：1.项目资金分配涉及所有点位自评得分情况表</w:t>
      </w:r>
    </w:p>
    <w:p w14:paraId="1DEE86A0">
      <w:pPr>
        <w:keepNext w:val="0"/>
        <w:keepLines w:val="0"/>
        <w:pageBreakBefore w:val="0"/>
        <w:kinsoku/>
        <w:wordWrap/>
        <w:overflowPunct/>
        <w:topLinePunct w:val="0"/>
        <w:autoSpaceDE/>
        <w:autoSpaceDN/>
        <w:bidi w:val="0"/>
        <w:adjustRightInd/>
        <w:snapToGrid w:val="0"/>
        <w:spacing w:line="576" w:lineRule="exact"/>
        <w:ind w:left="0" w:leftChars="0" w:firstLine="1600" w:firstLineChars="500"/>
        <w:textAlignment w:val="auto"/>
        <w:outlineLvl w:val="9"/>
        <w:rPr>
          <w:rFonts w:hint="default" w:ascii="Times New Roman" w:hAnsi="Times New Roman" w:eastAsia="仿宋_GB2312" w:cs="Times New Roman"/>
          <w:color w:val="000000"/>
          <w:kern w:val="0"/>
          <w:sz w:val="32"/>
          <w:szCs w:val="32"/>
          <w:highlight w:val="none"/>
          <w:shd w:val="clear" w:color="auto" w:fill="FFFFFF"/>
          <w:lang w:val="en-US" w:eastAsia="zh-CN"/>
        </w:rPr>
      </w:pPr>
      <w:r>
        <w:rPr>
          <w:rFonts w:hint="eastAsia" w:ascii="Times New Roman" w:hAnsi="Times New Roman" w:eastAsia="仿宋_GB2312" w:cs="Times New Roman"/>
          <w:color w:val="000000"/>
          <w:kern w:val="0"/>
          <w:sz w:val="32"/>
          <w:szCs w:val="32"/>
          <w:highlight w:val="none"/>
          <w:shd w:val="clear" w:color="auto" w:fill="FFFFFF"/>
          <w:lang w:val="en-US" w:eastAsia="zh-CN"/>
        </w:rPr>
        <w:t>2.专项预算项目绩效目标完成情况自评表</w:t>
      </w:r>
    </w:p>
    <w:p w14:paraId="03F2DC9D">
      <w:pPr>
        <w:keepNext w:val="0"/>
        <w:keepLines w:val="0"/>
        <w:pageBreakBefore w:val="0"/>
        <w:kinsoku/>
        <w:wordWrap/>
        <w:overflowPunct/>
        <w:topLinePunct w:val="0"/>
        <w:autoSpaceDE/>
        <w:autoSpaceDN/>
        <w:bidi w:val="0"/>
        <w:adjustRightInd/>
        <w:snapToGrid w:val="0"/>
        <w:spacing w:line="576" w:lineRule="exact"/>
        <w:ind w:left="0" w:leftChars="0" w:firstLine="640" w:firstLineChars="200"/>
        <w:textAlignment w:val="auto"/>
        <w:outlineLvl w:val="9"/>
        <w:rPr>
          <w:rFonts w:hint="eastAsia" w:ascii="Times New Roman" w:hAnsi="Times New Roman" w:eastAsia="仿宋_GB2312" w:cs="Times New Roman"/>
          <w:color w:val="000000"/>
          <w:kern w:val="0"/>
          <w:sz w:val="32"/>
          <w:szCs w:val="32"/>
          <w:highlight w:val="none"/>
          <w:shd w:val="clear" w:color="auto" w:fill="FFFFFF"/>
          <w:lang w:val="zh-CN" w:eastAsia="zh-CN"/>
        </w:rPr>
      </w:pPr>
      <w:r>
        <w:rPr>
          <w:rFonts w:hint="eastAsia" w:ascii="Times New Roman" w:hAnsi="Times New Roman" w:eastAsia="仿宋_GB2312" w:cs="Times New Roman"/>
          <w:color w:val="000000"/>
          <w:kern w:val="0"/>
          <w:sz w:val="32"/>
          <w:szCs w:val="32"/>
          <w:highlight w:val="none"/>
          <w:shd w:val="clear" w:color="auto" w:fill="FFFFFF"/>
          <w:lang w:val="zh-CN" w:eastAsia="zh-CN"/>
        </w:rPr>
        <w:br w:type="page"/>
      </w:r>
    </w:p>
    <w:p w14:paraId="7AAC7170">
      <w:pPr>
        <w:keepNext w:val="0"/>
        <w:keepLines w:val="0"/>
        <w:pageBreakBefore w:val="0"/>
        <w:widowControl/>
        <w:numPr>
          <w:ilvl w:val="0"/>
          <w:numId w:val="0"/>
        </w:numPr>
        <w:kinsoku/>
        <w:wordWrap/>
        <w:overflowPunct/>
        <w:topLinePunct w:val="0"/>
        <w:autoSpaceDE/>
        <w:autoSpaceDN/>
        <w:bidi w:val="0"/>
        <w:adjustRightInd w:val="0"/>
        <w:snapToGrid w:val="0"/>
        <w:spacing w:line="576" w:lineRule="exact"/>
        <w:contextualSpacing/>
        <w:jc w:val="left"/>
        <w:textAlignment w:val="auto"/>
        <w:rPr>
          <w:rFonts w:hint="eastAsia" w:ascii="黑体" w:hAnsi="黑体" w:eastAsia="黑体" w:cs="黑体"/>
          <w:b w:val="0"/>
          <w:bCs w:val="0"/>
          <w:color w:val="auto"/>
          <w:kern w:val="0"/>
          <w:sz w:val="32"/>
          <w:szCs w:val="32"/>
          <w:highlight w:val="none"/>
          <w:u w:val="none"/>
          <w:shd w:val="clear" w:color="auto" w:fill="FFFFFF"/>
          <w:lang w:val="zh-CN" w:eastAsia="zh-CN"/>
        </w:rPr>
      </w:pPr>
      <w:r>
        <w:rPr>
          <w:rFonts w:hint="eastAsia" w:ascii="黑体" w:hAnsi="黑体" w:eastAsia="黑体" w:cs="黑体"/>
          <w:b w:val="0"/>
          <w:bCs w:val="0"/>
          <w:color w:val="auto"/>
          <w:kern w:val="0"/>
          <w:sz w:val="32"/>
          <w:szCs w:val="32"/>
          <w:highlight w:val="none"/>
          <w:u w:val="none"/>
          <w:shd w:val="clear" w:color="auto" w:fill="FFFFFF"/>
          <w:lang w:val="zh-CN" w:eastAsia="zh-CN"/>
        </w:rPr>
        <w:t>附表</w:t>
      </w:r>
      <w:r>
        <w:rPr>
          <w:rFonts w:hint="eastAsia" w:ascii="黑体" w:hAnsi="黑体" w:eastAsia="黑体" w:cs="黑体"/>
          <w:b w:val="0"/>
          <w:bCs w:val="0"/>
          <w:color w:val="auto"/>
          <w:kern w:val="0"/>
          <w:sz w:val="32"/>
          <w:szCs w:val="32"/>
          <w:highlight w:val="none"/>
          <w:u w:val="none"/>
          <w:shd w:val="clear" w:color="auto" w:fill="FFFFFF"/>
          <w:lang w:val="en-US" w:eastAsia="zh-CN"/>
        </w:rPr>
        <w:t>1</w:t>
      </w:r>
    </w:p>
    <w:p w14:paraId="0201BA27">
      <w:pPr>
        <w:keepNext w:val="0"/>
        <w:keepLines w:val="0"/>
        <w:pageBreakBefore w:val="0"/>
        <w:kinsoku/>
        <w:wordWrap/>
        <w:overflowPunct/>
        <w:topLinePunct w:val="0"/>
        <w:autoSpaceDE/>
        <w:autoSpaceDN/>
        <w:bidi w:val="0"/>
        <w:spacing w:line="576" w:lineRule="exact"/>
        <w:ind w:left="0" w:leftChars="0"/>
        <w:jc w:val="center"/>
        <w:textAlignment w:val="auto"/>
        <w:rPr>
          <w:rFonts w:hint="eastAsia" w:ascii="方正小标宋_GBK" w:hAnsi="方正小标宋_GBK" w:eastAsia="方正小标宋_GBK" w:cs="方正小标宋_GBK"/>
          <w:b w:val="0"/>
          <w:bCs w:val="0"/>
          <w:color w:val="auto"/>
          <w:sz w:val="40"/>
          <w:szCs w:val="40"/>
          <w:highlight w:val="none"/>
          <w:u w:val="none"/>
          <w:lang w:val="en-US" w:eastAsia="zh-CN"/>
        </w:rPr>
      </w:pPr>
      <w:r>
        <w:rPr>
          <w:rFonts w:hint="eastAsia" w:ascii="方正小标宋_GBK" w:hAnsi="方正小标宋_GBK" w:eastAsia="方正小标宋_GBK" w:cs="方正小标宋_GBK"/>
          <w:b w:val="0"/>
          <w:bCs w:val="0"/>
          <w:color w:val="auto"/>
          <w:sz w:val="40"/>
          <w:szCs w:val="40"/>
          <w:highlight w:val="none"/>
          <w:u w:val="none"/>
          <w:lang w:val="en-US" w:eastAsia="zh-CN"/>
        </w:rPr>
        <w:t>项目资金分配涉及所有点位自评得分情况表</w:t>
      </w:r>
    </w:p>
    <w:tbl>
      <w:tblPr>
        <w:tblStyle w:val="21"/>
        <w:tblW w:w="88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23"/>
        <w:gridCol w:w="3843"/>
        <w:gridCol w:w="2861"/>
        <w:gridCol w:w="993"/>
      </w:tblGrid>
      <w:tr w14:paraId="0A9C01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3" w:hRule="exact"/>
          <w:jc w:val="center"/>
        </w:trPr>
        <w:tc>
          <w:tcPr>
            <w:tcW w:w="1123" w:type="dxa"/>
            <w:vAlign w:val="top"/>
          </w:tcPr>
          <w:p w14:paraId="319010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576" w:lineRule="exact"/>
              <w:ind w:left="0" w:leftChars="0" w:right="0"/>
              <w:jc w:val="center"/>
              <w:textAlignment w:val="auto"/>
              <w:outlineLvl w:val="9"/>
              <w:rPr>
                <w:rFonts w:hint="default" w:ascii="黑体" w:hAnsi="黑体" w:eastAsia="黑体" w:cs="黑体"/>
                <w:b w:val="0"/>
                <w:bCs w:val="0"/>
                <w:color w:val="auto"/>
                <w:sz w:val="24"/>
                <w:szCs w:val="24"/>
                <w:highlight w:val="none"/>
                <w:u w:val="none"/>
                <w:vertAlign w:val="baseline"/>
                <w:lang w:val="en" w:eastAsia="zh-CN"/>
              </w:rPr>
            </w:pPr>
            <w:r>
              <w:rPr>
                <w:rFonts w:hint="eastAsia" w:ascii="黑体" w:hAnsi="黑体" w:eastAsia="黑体" w:cs="黑体"/>
                <w:b w:val="0"/>
                <w:bCs w:val="0"/>
                <w:color w:val="auto"/>
                <w:sz w:val="24"/>
                <w:szCs w:val="24"/>
                <w:highlight w:val="none"/>
                <w:u w:val="none"/>
                <w:vertAlign w:val="baseline"/>
                <w:lang w:val="en" w:eastAsia="zh-CN"/>
              </w:rPr>
              <w:t>序号</w:t>
            </w:r>
          </w:p>
        </w:tc>
        <w:tc>
          <w:tcPr>
            <w:tcW w:w="3843" w:type="dxa"/>
            <w:vAlign w:val="top"/>
          </w:tcPr>
          <w:p w14:paraId="63BA1B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576" w:lineRule="exact"/>
              <w:ind w:left="0" w:leftChars="0" w:right="0"/>
              <w:jc w:val="center"/>
              <w:textAlignment w:val="auto"/>
              <w:outlineLvl w:val="9"/>
              <w:rPr>
                <w:rFonts w:hint="eastAsia" w:ascii="黑体" w:hAnsi="黑体" w:eastAsia="黑体" w:cs="黑体"/>
                <w:b w:val="0"/>
                <w:bCs w:val="0"/>
                <w:color w:val="auto"/>
                <w:sz w:val="24"/>
                <w:szCs w:val="24"/>
                <w:highlight w:val="none"/>
                <w:u w:val="none"/>
                <w:vertAlign w:val="baseline"/>
                <w:lang w:val="en" w:eastAsia="zh-CN"/>
              </w:rPr>
            </w:pPr>
            <w:r>
              <w:rPr>
                <w:rFonts w:hint="eastAsia" w:ascii="黑体" w:hAnsi="黑体" w:eastAsia="黑体" w:cs="黑体"/>
                <w:b w:val="0"/>
                <w:bCs w:val="0"/>
                <w:color w:val="auto"/>
                <w:sz w:val="24"/>
                <w:szCs w:val="24"/>
                <w:highlight w:val="none"/>
                <w:u w:val="none"/>
                <w:vertAlign w:val="baseline"/>
                <w:lang w:val="en-US" w:eastAsia="zh-CN"/>
              </w:rPr>
              <w:t>项目资金末端分配点位</w:t>
            </w:r>
          </w:p>
        </w:tc>
        <w:tc>
          <w:tcPr>
            <w:tcW w:w="2861" w:type="dxa"/>
            <w:vAlign w:val="top"/>
          </w:tcPr>
          <w:p w14:paraId="537134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576" w:lineRule="exact"/>
              <w:ind w:left="0" w:leftChars="0" w:right="0"/>
              <w:jc w:val="center"/>
              <w:textAlignment w:val="auto"/>
              <w:outlineLvl w:val="9"/>
              <w:rPr>
                <w:rFonts w:hint="eastAsia" w:ascii="黑体" w:hAnsi="黑体" w:eastAsia="黑体" w:cs="黑体"/>
                <w:b w:val="0"/>
                <w:bCs w:val="0"/>
                <w:color w:val="auto"/>
                <w:sz w:val="24"/>
                <w:szCs w:val="24"/>
                <w:highlight w:val="none"/>
                <w:u w:val="none"/>
                <w:vertAlign w:val="baseline"/>
                <w:lang w:val="en-US" w:eastAsia="zh-CN"/>
              </w:rPr>
            </w:pPr>
            <w:r>
              <w:rPr>
                <w:rFonts w:hint="eastAsia" w:ascii="黑体" w:hAnsi="黑体" w:eastAsia="黑体" w:cs="黑体"/>
                <w:b w:val="0"/>
                <w:bCs w:val="0"/>
                <w:color w:val="auto"/>
                <w:sz w:val="24"/>
                <w:szCs w:val="24"/>
                <w:highlight w:val="none"/>
                <w:u w:val="none"/>
                <w:vertAlign w:val="baseline"/>
                <w:lang w:val="en" w:eastAsia="zh-CN"/>
              </w:rPr>
              <w:t>自评得分（百分制）</w:t>
            </w:r>
          </w:p>
        </w:tc>
        <w:tc>
          <w:tcPr>
            <w:tcW w:w="993" w:type="dxa"/>
            <w:vAlign w:val="top"/>
          </w:tcPr>
          <w:p w14:paraId="614CA3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576" w:lineRule="exact"/>
              <w:ind w:left="0" w:leftChars="0" w:right="0"/>
              <w:jc w:val="center"/>
              <w:textAlignment w:val="auto"/>
              <w:outlineLvl w:val="9"/>
              <w:rPr>
                <w:rFonts w:hint="eastAsia" w:ascii="黑体" w:hAnsi="黑体" w:eastAsia="黑体" w:cs="黑体"/>
                <w:b w:val="0"/>
                <w:bCs w:val="0"/>
                <w:color w:val="auto"/>
                <w:sz w:val="24"/>
                <w:szCs w:val="24"/>
                <w:highlight w:val="none"/>
                <w:u w:val="none"/>
                <w:vertAlign w:val="baseline"/>
                <w:lang w:val="en-US" w:eastAsia="zh-CN"/>
              </w:rPr>
            </w:pPr>
            <w:r>
              <w:rPr>
                <w:rFonts w:hint="eastAsia" w:ascii="黑体" w:hAnsi="黑体" w:eastAsia="黑体" w:cs="黑体"/>
                <w:b w:val="0"/>
                <w:bCs w:val="0"/>
                <w:color w:val="auto"/>
                <w:sz w:val="24"/>
                <w:szCs w:val="24"/>
                <w:highlight w:val="none"/>
                <w:u w:val="none"/>
                <w:vertAlign w:val="baseline"/>
                <w:lang w:val="en-US" w:eastAsia="zh-CN"/>
              </w:rPr>
              <w:t>备注</w:t>
            </w:r>
          </w:p>
        </w:tc>
      </w:tr>
      <w:tr w14:paraId="12275B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7" w:hRule="exact"/>
          <w:jc w:val="center"/>
        </w:trPr>
        <w:tc>
          <w:tcPr>
            <w:tcW w:w="1123" w:type="dxa"/>
            <w:vAlign w:val="top"/>
          </w:tcPr>
          <w:p w14:paraId="32054E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576" w:lineRule="exact"/>
              <w:ind w:left="0" w:leftChars="0" w:right="0"/>
              <w:jc w:val="both"/>
              <w:textAlignment w:val="auto"/>
              <w:outlineLvl w:val="9"/>
              <w:rPr>
                <w:rFonts w:hint="default" w:ascii="宋体" w:hAnsi="宋体" w:eastAsia="宋体" w:cs="宋体"/>
                <w:b w:val="0"/>
                <w:bCs w:val="0"/>
                <w:color w:val="auto"/>
                <w:sz w:val="24"/>
                <w:szCs w:val="24"/>
                <w:highlight w:val="none"/>
                <w:u w:val="none"/>
                <w:lang w:val="en-US" w:eastAsia="zh-CN"/>
              </w:rPr>
            </w:pPr>
            <w:r>
              <w:rPr>
                <w:rFonts w:hint="eastAsia" w:ascii="宋体" w:hAnsi="宋体" w:eastAsia="宋体" w:cs="宋体"/>
                <w:b w:val="0"/>
                <w:bCs w:val="0"/>
                <w:color w:val="auto"/>
                <w:sz w:val="24"/>
                <w:szCs w:val="24"/>
                <w:highlight w:val="none"/>
                <w:u w:val="none"/>
                <w:lang w:val="en-US" w:eastAsia="zh-CN"/>
              </w:rPr>
              <w:t xml:space="preserve">   1</w:t>
            </w:r>
          </w:p>
        </w:tc>
        <w:tc>
          <w:tcPr>
            <w:tcW w:w="3843" w:type="dxa"/>
            <w:vAlign w:val="top"/>
          </w:tcPr>
          <w:p w14:paraId="612770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576" w:lineRule="exact"/>
              <w:ind w:left="0" w:right="0" w:firstLine="480" w:firstLineChars="200"/>
              <w:textAlignment w:val="auto"/>
              <w:outlineLvl w:val="9"/>
              <w:rPr>
                <w:rFonts w:hint="eastAsia" w:ascii="宋体" w:hAnsi="宋体" w:eastAsia="仿宋_GB2312" w:cs="宋体"/>
                <w:color w:val="auto"/>
                <w:sz w:val="24"/>
                <w:szCs w:val="24"/>
                <w:highlight w:val="none"/>
                <w:u w:val="none"/>
                <w:vertAlign w:val="baseline"/>
                <w:lang w:val="en" w:eastAsia="zh-CN"/>
              </w:rPr>
            </w:pPr>
            <w:r>
              <w:rPr>
                <w:rFonts w:hint="eastAsia" w:ascii="宋体" w:hAnsi="宋体" w:eastAsia="仿宋_GB2312" w:cs="宋体"/>
                <w:color w:val="auto"/>
                <w:sz w:val="24"/>
                <w:szCs w:val="24"/>
                <w:highlight w:val="none"/>
                <w:u w:val="none"/>
                <w:vertAlign w:val="baseline"/>
                <w:lang w:val="en" w:eastAsia="zh-CN"/>
              </w:rPr>
              <w:t>广元市发展和改革委员会</w:t>
            </w:r>
          </w:p>
        </w:tc>
        <w:tc>
          <w:tcPr>
            <w:tcW w:w="2861" w:type="dxa"/>
            <w:vAlign w:val="top"/>
          </w:tcPr>
          <w:p w14:paraId="7A09DF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576" w:lineRule="exact"/>
              <w:ind w:left="0" w:leftChars="0" w:right="0"/>
              <w:textAlignment w:val="auto"/>
              <w:outlineLvl w:val="9"/>
              <w:rPr>
                <w:rFonts w:hint="default" w:ascii="宋体" w:hAnsi="宋体" w:eastAsia="仿宋_GB2312" w:cs="宋体"/>
                <w:color w:val="auto"/>
                <w:sz w:val="24"/>
                <w:szCs w:val="24"/>
                <w:highlight w:val="none"/>
                <w:u w:val="none"/>
                <w:vertAlign w:val="baseline"/>
                <w:lang w:val="en-US" w:eastAsia="zh-CN"/>
              </w:rPr>
            </w:pPr>
            <w:r>
              <w:rPr>
                <w:rFonts w:hint="eastAsia" w:ascii="宋体" w:hAnsi="宋体" w:eastAsia="仿宋_GB2312" w:cs="宋体"/>
                <w:color w:val="auto"/>
                <w:sz w:val="24"/>
                <w:szCs w:val="24"/>
                <w:highlight w:val="none"/>
                <w:u w:val="none"/>
                <w:vertAlign w:val="baseline"/>
                <w:lang w:val="en-US" w:eastAsia="zh-CN"/>
              </w:rPr>
              <w:t xml:space="preserve">         100</w:t>
            </w:r>
          </w:p>
        </w:tc>
        <w:tc>
          <w:tcPr>
            <w:tcW w:w="993" w:type="dxa"/>
            <w:vAlign w:val="top"/>
          </w:tcPr>
          <w:p w14:paraId="47A489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576" w:lineRule="exact"/>
              <w:ind w:left="0" w:leftChars="0" w:right="0"/>
              <w:textAlignment w:val="auto"/>
              <w:outlineLvl w:val="9"/>
              <w:rPr>
                <w:rFonts w:hint="eastAsia" w:ascii="宋体" w:hAnsi="宋体" w:eastAsia="仿宋_GB2312" w:cs="宋体"/>
                <w:color w:val="auto"/>
                <w:sz w:val="24"/>
                <w:szCs w:val="24"/>
                <w:highlight w:val="none"/>
                <w:u w:val="none"/>
                <w:vertAlign w:val="baseline"/>
                <w:lang w:val="en-US" w:eastAsia="zh-CN"/>
              </w:rPr>
            </w:pPr>
          </w:p>
        </w:tc>
      </w:tr>
      <w:tr w14:paraId="266B3A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089BBC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576" w:lineRule="exact"/>
              <w:ind w:left="0" w:leftChars="0" w:right="0"/>
              <w:jc w:val="center"/>
              <w:textAlignment w:val="auto"/>
              <w:outlineLvl w:val="9"/>
              <w:rPr>
                <w:rFonts w:hint="eastAsia" w:ascii="宋体" w:hAnsi="宋体" w:eastAsia="宋体" w:cs="宋体"/>
                <w:b w:val="0"/>
                <w:bCs w:val="0"/>
                <w:color w:val="auto"/>
                <w:sz w:val="24"/>
                <w:szCs w:val="24"/>
                <w:highlight w:val="none"/>
                <w:u w:val="none"/>
                <w:lang w:val="en-US" w:eastAsia="zh-CN"/>
              </w:rPr>
            </w:pPr>
            <w:r>
              <w:rPr>
                <w:rFonts w:hint="eastAsia" w:ascii="宋体" w:hAnsi="宋体" w:eastAsia="宋体" w:cs="宋体"/>
                <w:b w:val="0"/>
                <w:bCs w:val="0"/>
                <w:color w:val="auto"/>
                <w:sz w:val="24"/>
                <w:szCs w:val="24"/>
                <w:highlight w:val="none"/>
                <w:u w:val="none"/>
                <w:lang w:val="en-US" w:eastAsia="zh-CN"/>
              </w:rPr>
              <w:t>2</w:t>
            </w:r>
          </w:p>
        </w:tc>
        <w:tc>
          <w:tcPr>
            <w:tcW w:w="3843" w:type="dxa"/>
            <w:vAlign w:val="top"/>
          </w:tcPr>
          <w:p w14:paraId="3292DE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576" w:lineRule="exact"/>
              <w:ind w:left="0" w:leftChars="0" w:right="0"/>
              <w:textAlignment w:val="auto"/>
              <w:outlineLvl w:val="9"/>
              <w:rPr>
                <w:rFonts w:hint="eastAsia" w:ascii="宋体" w:hAnsi="宋体" w:eastAsia="仿宋_GB2312" w:cs="宋体"/>
                <w:color w:val="auto"/>
                <w:sz w:val="24"/>
                <w:szCs w:val="24"/>
                <w:highlight w:val="none"/>
                <w:u w:val="none"/>
                <w:vertAlign w:val="baseline"/>
                <w:lang w:val="en" w:eastAsia="zh-CN"/>
              </w:rPr>
            </w:pPr>
          </w:p>
        </w:tc>
        <w:tc>
          <w:tcPr>
            <w:tcW w:w="2861" w:type="dxa"/>
            <w:vAlign w:val="top"/>
          </w:tcPr>
          <w:p w14:paraId="47B578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576" w:lineRule="exact"/>
              <w:ind w:left="0" w:leftChars="0" w:right="0"/>
              <w:textAlignment w:val="auto"/>
              <w:outlineLvl w:val="9"/>
              <w:rPr>
                <w:rFonts w:hint="eastAsia" w:ascii="宋体" w:hAnsi="宋体" w:eastAsia="仿宋_GB2312" w:cs="宋体"/>
                <w:color w:val="auto"/>
                <w:sz w:val="24"/>
                <w:szCs w:val="24"/>
                <w:highlight w:val="none"/>
                <w:u w:val="none"/>
                <w:vertAlign w:val="baseline"/>
                <w:lang w:val="en" w:eastAsia="zh-CN"/>
              </w:rPr>
            </w:pPr>
          </w:p>
        </w:tc>
        <w:tc>
          <w:tcPr>
            <w:tcW w:w="993" w:type="dxa"/>
            <w:vAlign w:val="top"/>
          </w:tcPr>
          <w:p w14:paraId="5493FD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576" w:lineRule="exact"/>
              <w:ind w:left="0" w:leftChars="0" w:right="0"/>
              <w:textAlignment w:val="auto"/>
              <w:outlineLvl w:val="9"/>
              <w:rPr>
                <w:rFonts w:hint="eastAsia" w:ascii="宋体" w:hAnsi="宋体" w:eastAsia="仿宋_GB2312" w:cs="宋体"/>
                <w:color w:val="auto"/>
                <w:sz w:val="24"/>
                <w:szCs w:val="24"/>
                <w:highlight w:val="none"/>
                <w:u w:val="none"/>
                <w:vertAlign w:val="baseline"/>
                <w:lang w:val="en-US" w:eastAsia="zh-CN"/>
              </w:rPr>
            </w:pPr>
          </w:p>
        </w:tc>
      </w:tr>
      <w:tr w14:paraId="33802D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7004B4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576" w:lineRule="exact"/>
              <w:ind w:left="0" w:leftChars="0" w:right="0"/>
              <w:jc w:val="center"/>
              <w:textAlignment w:val="auto"/>
              <w:outlineLvl w:val="9"/>
              <w:rPr>
                <w:rFonts w:hint="eastAsia" w:ascii="宋体" w:hAnsi="宋体" w:eastAsia="宋体" w:cs="宋体"/>
                <w:b w:val="0"/>
                <w:bCs w:val="0"/>
                <w:color w:val="auto"/>
                <w:sz w:val="24"/>
                <w:szCs w:val="24"/>
                <w:highlight w:val="none"/>
                <w:u w:val="none"/>
                <w:lang w:val="en-US" w:eastAsia="zh-CN"/>
              </w:rPr>
            </w:pPr>
            <w:r>
              <w:rPr>
                <w:rFonts w:hint="eastAsia" w:ascii="宋体" w:hAnsi="宋体" w:eastAsia="宋体" w:cs="宋体"/>
                <w:b w:val="0"/>
                <w:bCs w:val="0"/>
                <w:color w:val="auto"/>
                <w:sz w:val="24"/>
                <w:szCs w:val="24"/>
                <w:highlight w:val="none"/>
                <w:u w:val="none"/>
                <w:lang w:val="en-US" w:eastAsia="zh-CN"/>
              </w:rPr>
              <w:t>3</w:t>
            </w:r>
          </w:p>
        </w:tc>
        <w:tc>
          <w:tcPr>
            <w:tcW w:w="3843" w:type="dxa"/>
            <w:vAlign w:val="top"/>
          </w:tcPr>
          <w:p w14:paraId="4C0600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576" w:lineRule="exact"/>
              <w:ind w:left="0" w:leftChars="0" w:right="0"/>
              <w:textAlignment w:val="auto"/>
              <w:outlineLvl w:val="9"/>
              <w:rPr>
                <w:rFonts w:hint="eastAsia" w:ascii="宋体" w:hAnsi="宋体" w:eastAsia="仿宋_GB2312" w:cs="宋体"/>
                <w:color w:val="auto"/>
                <w:sz w:val="24"/>
                <w:szCs w:val="24"/>
                <w:highlight w:val="none"/>
                <w:u w:val="none"/>
                <w:vertAlign w:val="baseline"/>
                <w:lang w:val="en" w:eastAsia="zh-CN"/>
              </w:rPr>
            </w:pPr>
          </w:p>
        </w:tc>
        <w:tc>
          <w:tcPr>
            <w:tcW w:w="2861" w:type="dxa"/>
            <w:vAlign w:val="top"/>
          </w:tcPr>
          <w:p w14:paraId="4CCE8B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576" w:lineRule="exact"/>
              <w:ind w:left="0" w:leftChars="0" w:right="0"/>
              <w:textAlignment w:val="auto"/>
              <w:outlineLvl w:val="9"/>
              <w:rPr>
                <w:rFonts w:hint="eastAsia" w:ascii="宋体" w:hAnsi="宋体" w:eastAsia="仿宋_GB2312" w:cs="宋体"/>
                <w:color w:val="auto"/>
                <w:sz w:val="24"/>
                <w:szCs w:val="24"/>
                <w:highlight w:val="none"/>
                <w:u w:val="none"/>
                <w:vertAlign w:val="baseline"/>
                <w:lang w:val="en" w:eastAsia="zh-CN"/>
              </w:rPr>
            </w:pPr>
          </w:p>
        </w:tc>
        <w:tc>
          <w:tcPr>
            <w:tcW w:w="993" w:type="dxa"/>
            <w:vAlign w:val="top"/>
          </w:tcPr>
          <w:p w14:paraId="24C2BB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576" w:lineRule="exact"/>
              <w:ind w:left="0" w:leftChars="0" w:right="0"/>
              <w:textAlignment w:val="auto"/>
              <w:outlineLvl w:val="9"/>
              <w:rPr>
                <w:rFonts w:hint="eastAsia" w:ascii="宋体" w:hAnsi="宋体" w:eastAsia="仿宋_GB2312" w:cs="宋体"/>
                <w:color w:val="auto"/>
                <w:sz w:val="24"/>
                <w:szCs w:val="24"/>
                <w:highlight w:val="none"/>
                <w:u w:val="none"/>
                <w:vertAlign w:val="baseline"/>
                <w:lang w:val="en-US" w:eastAsia="zh-CN"/>
              </w:rPr>
            </w:pPr>
          </w:p>
        </w:tc>
      </w:tr>
      <w:tr w14:paraId="71F041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68F360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576" w:lineRule="exact"/>
              <w:ind w:left="0" w:leftChars="0" w:right="0"/>
              <w:jc w:val="center"/>
              <w:textAlignment w:val="auto"/>
              <w:outlineLvl w:val="9"/>
              <w:rPr>
                <w:rFonts w:hint="eastAsia" w:ascii="宋体" w:hAnsi="宋体" w:eastAsia="宋体" w:cs="宋体"/>
                <w:b w:val="0"/>
                <w:bCs w:val="0"/>
                <w:color w:val="auto"/>
                <w:sz w:val="24"/>
                <w:szCs w:val="24"/>
                <w:highlight w:val="none"/>
                <w:u w:val="none"/>
                <w:lang w:val="en-US" w:eastAsia="zh-CN"/>
              </w:rPr>
            </w:pPr>
            <w:r>
              <w:rPr>
                <w:rFonts w:hint="eastAsia" w:ascii="宋体" w:hAnsi="宋体" w:eastAsia="宋体" w:cs="宋体"/>
                <w:b w:val="0"/>
                <w:bCs w:val="0"/>
                <w:color w:val="auto"/>
                <w:sz w:val="24"/>
                <w:szCs w:val="24"/>
                <w:highlight w:val="none"/>
                <w:u w:val="none"/>
                <w:lang w:val="en-US" w:eastAsia="zh-CN"/>
              </w:rPr>
              <w:t>4</w:t>
            </w:r>
          </w:p>
        </w:tc>
        <w:tc>
          <w:tcPr>
            <w:tcW w:w="3843" w:type="dxa"/>
            <w:vAlign w:val="top"/>
          </w:tcPr>
          <w:p w14:paraId="57B5C6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576" w:lineRule="exact"/>
              <w:ind w:left="0" w:leftChars="0" w:right="0"/>
              <w:textAlignment w:val="auto"/>
              <w:outlineLvl w:val="9"/>
              <w:rPr>
                <w:rFonts w:hint="eastAsia" w:ascii="宋体" w:hAnsi="宋体" w:eastAsia="仿宋_GB2312" w:cs="宋体"/>
                <w:color w:val="auto"/>
                <w:sz w:val="24"/>
                <w:szCs w:val="24"/>
                <w:highlight w:val="none"/>
                <w:u w:val="none"/>
                <w:vertAlign w:val="baseline"/>
                <w:lang w:val="en" w:eastAsia="zh-CN"/>
              </w:rPr>
            </w:pPr>
          </w:p>
        </w:tc>
        <w:tc>
          <w:tcPr>
            <w:tcW w:w="2861" w:type="dxa"/>
            <w:vAlign w:val="top"/>
          </w:tcPr>
          <w:p w14:paraId="288ED6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576" w:lineRule="exact"/>
              <w:ind w:left="0" w:leftChars="0" w:right="0"/>
              <w:textAlignment w:val="auto"/>
              <w:outlineLvl w:val="9"/>
              <w:rPr>
                <w:rFonts w:hint="eastAsia" w:ascii="宋体" w:hAnsi="宋体" w:eastAsia="仿宋_GB2312" w:cs="宋体"/>
                <w:color w:val="auto"/>
                <w:sz w:val="24"/>
                <w:szCs w:val="24"/>
                <w:highlight w:val="none"/>
                <w:u w:val="none"/>
                <w:vertAlign w:val="baseline"/>
                <w:lang w:val="en" w:eastAsia="zh-CN"/>
              </w:rPr>
            </w:pPr>
          </w:p>
        </w:tc>
        <w:tc>
          <w:tcPr>
            <w:tcW w:w="993" w:type="dxa"/>
            <w:vAlign w:val="top"/>
          </w:tcPr>
          <w:p w14:paraId="74FF43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576" w:lineRule="exact"/>
              <w:ind w:left="0" w:leftChars="0" w:right="0"/>
              <w:textAlignment w:val="auto"/>
              <w:outlineLvl w:val="9"/>
              <w:rPr>
                <w:rFonts w:hint="eastAsia" w:ascii="宋体" w:hAnsi="宋体" w:eastAsia="仿宋_GB2312" w:cs="宋体"/>
                <w:color w:val="auto"/>
                <w:sz w:val="24"/>
                <w:szCs w:val="24"/>
                <w:highlight w:val="none"/>
                <w:u w:val="none"/>
                <w:vertAlign w:val="baseline"/>
                <w:lang w:val="en-US" w:eastAsia="zh-CN"/>
              </w:rPr>
            </w:pPr>
          </w:p>
        </w:tc>
      </w:tr>
      <w:tr w14:paraId="695756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1D3D7E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576" w:lineRule="exact"/>
              <w:ind w:left="0" w:leftChars="0" w:right="0"/>
              <w:jc w:val="center"/>
              <w:textAlignment w:val="auto"/>
              <w:outlineLvl w:val="9"/>
              <w:rPr>
                <w:rFonts w:hint="eastAsia" w:ascii="宋体" w:hAnsi="宋体" w:eastAsia="宋体" w:cs="宋体"/>
                <w:b w:val="0"/>
                <w:bCs w:val="0"/>
                <w:color w:val="auto"/>
                <w:sz w:val="24"/>
                <w:szCs w:val="24"/>
                <w:highlight w:val="none"/>
                <w:u w:val="none"/>
                <w:lang w:val="en-US" w:eastAsia="zh-CN"/>
              </w:rPr>
            </w:pPr>
            <w:r>
              <w:rPr>
                <w:rFonts w:hint="eastAsia" w:ascii="宋体" w:hAnsi="宋体" w:eastAsia="宋体" w:cs="宋体"/>
                <w:b w:val="0"/>
                <w:bCs w:val="0"/>
                <w:color w:val="auto"/>
                <w:sz w:val="24"/>
                <w:szCs w:val="24"/>
                <w:highlight w:val="none"/>
                <w:u w:val="none"/>
                <w:lang w:val="en-US" w:eastAsia="zh-CN"/>
              </w:rPr>
              <w:t>5</w:t>
            </w:r>
          </w:p>
        </w:tc>
        <w:tc>
          <w:tcPr>
            <w:tcW w:w="3843" w:type="dxa"/>
            <w:vAlign w:val="top"/>
          </w:tcPr>
          <w:p w14:paraId="304644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576" w:lineRule="exact"/>
              <w:ind w:left="0" w:leftChars="0" w:right="0"/>
              <w:textAlignment w:val="auto"/>
              <w:outlineLvl w:val="9"/>
              <w:rPr>
                <w:rFonts w:hint="eastAsia" w:ascii="宋体" w:hAnsi="宋体" w:eastAsia="仿宋_GB2312" w:cs="宋体"/>
                <w:color w:val="auto"/>
                <w:sz w:val="24"/>
                <w:szCs w:val="24"/>
                <w:highlight w:val="none"/>
                <w:u w:val="none"/>
                <w:vertAlign w:val="baseline"/>
                <w:lang w:val="en" w:eastAsia="zh-CN"/>
              </w:rPr>
            </w:pPr>
          </w:p>
        </w:tc>
        <w:tc>
          <w:tcPr>
            <w:tcW w:w="2861" w:type="dxa"/>
            <w:vAlign w:val="top"/>
          </w:tcPr>
          <w:p w14:paraId="0B00F7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576" w:lineRule="exact"/>
              <w:ind w:left="0" w:leftChars="0" w:right="0"/>
              <w:textAlignment w:val="auto"/>
              <w:outlineLvl w:val="9"/>
              <w:rPr>
                <w:rFonts w:hint="eastAsia" w:ascii="宋体" w:hAnsi="宋体" w:eastAsia="仿宋_GB2312" w:cs="宋体"/>
                <w:color w:val="auto"/>
                <w:sz w:val="24"/>
                <w:szCs w:val="24"/>
                <w:highlight w:val="none"/>
                <w:u w:val="none"/>
                <w:vertAlign w:val="baseline"/>
                <w:lang w:val="en" w:eastAsia="zh-CN"/>
              </w:rPr>
            </w:pPr>
          </w:p>
        </w:tc>
        <w:tc>
          <w:tcPr>
            <w:tcW w:w="993" w:type="dxa"/>
            <w:vAlign w:val="top"/>
          </w:tcPr>
          <w:p w14:paraId="2F7EB8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576" w:lineRule="exact"/>
              <w:ind w:left="0" w:leftChars="0" w:right="0"/>
              <w:textAlignment w:val="auto"/>
              <w:outlineLvl w:val="9"/>
              <w:rPr>
                <w:rFonts w:hint="eastAsia" w:ascii="宋体" w:hAnsi="宋体" w:eastAsia="仿宋_GB2312" w:cs="宋体"/>
                <w:color w:val="auto"/>
                <w:sz w:val="24"/>
                <w:szCs w:val="24"/>
                <w:highlight w:val="none"/>
                <w:u w:val="none"/>
                <w:vertAlign w:val="baseline"/>
                <w:lang w:val="en-US" w:eastAsia="zh-CN"/>
              </w:rPr>
            </w:pPr>
          </w:p>
        </w:tc>
      </w:tr>
      <w:tr w14:paraId="4F197D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6ECA43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576" w:lineRule="exact"/>
              <w:ind w:left="0" w:leftChars="0" w:right="0"/>
              <w:jc w:val="center"/>
              <w:textAlignment w:val="auto"/>
              <w:outlineLvl w:val="9"/>
              <w:rPr>
                <w:rFonts w:hint="eastAsia" w:ascii="宋体" w:hAnsi="宋体" w:eastAsia="宋体" w:cs="宋体"/>
                <w:b w:val="0"/>
                <w:bCs w:val="0"/>
                <w:color w:val="auto"/>
                <w:sz w:val="24"/>
                <w:szCs w:val="24"/>
                <w:highlight w:val="none"/>
                <w:u w:val="none"/>
                <w:lang w:val="en-US" w:eastAsia="zh-CN"/>
              </w:rPr>
            </w:pPr>
            <w:r>
              <w:rPr>
                <w:rFonts w:hint="eastAsia" w:ascii="宋体" w:hAnsi="宋体" w:eastAsia="宋体" w:cs="宋体"/>
                <w:b w:val="0"/>
                <w:bCs w:val="0"/>
                <w:color w:val="auto"/>
                <w:sz w:val="24"/>
                <w:szCs w:val="24"/>
                <w:highlight w:val="none"/>
                <w:u w:val="none"/>
                <w:lang w:val="en-US" w:eastAsia="zh-CN"/>
              </w:rPr>
              <w:t>6</w:t>
            </w:r>
          </w:p>
        </w:tc>
        <w:tc>
          <w:tcPr>
            <w:tcW w:w="3843" w:type="dxa"/>
            <w:vAlign w:val="top"/>
          </w:tcPr>
          <w:p w14:paraId="6CCE84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576" w:lineRule="exact"/>
              <w:ind w:left="0" w:leftChars="0" w:right="0"/>
              <w:textAlignment w:val="auto"/>
              <w:outlineLvl w:val="9"/>
              <w:rPr>
                <w:rFonts w:hint="eastAsia" w:ascii="宋体" w:hAnsi="宋体" w:eastAsia="仿宋_GB2312" w:cs="宋体"/>
                <w:color w:val="auto"/>
                <w:sz w:val="24"/>
                <w:szCs w:val="24"/>
                <w:highlight w:val="none"/>
                <w:u w:val="none"/>
                <w:vertAlign w:val="baseline"/>
                <w:lang w:val="en" w:eastAsia="zh-CN"/>
              </w:rPr>
            </w:pPr>
          </w:p>
        </w:tc>
        <w:tc>
          <w:tcPr>
            <w:tcW w:w="2861" w:type="dxa"/>
            <w:vAlign w:val="top"/>
          </w:tcPr>
          <w:p w14:paraId="1BC074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576" w:lineRule="exact"/>
              <w:ind w:left="0" w:leftChars="0" w:right="0"/>
              <w:textAlignment w:val="auto"/>
              <w:outlineLvl w:val="9"/>
              <w:rPr>
                <w:rFonts w:hint="eastAsia" w:ascii="宋体" w:hAnsi="宋体" w:eastAsia="仿宋_GB2312" w:cs="宋体"/>
                <w:color w:val="auto"/>
                <w:sz w:val="24"/>
                <w:szCs w:val="24"/>
                <w:highlight w:val="none"/>
                <w:u w:val="none"/>
                <w:vertAlign w:val="baseline"/>
                <w:lang w:val="en" w:eastAsia="zh-CN"/>
              </w:rPr>
            </w:pPr>
          </w:p>
        </w:tc>
        <w:tc>
          <w:tcPr>
            <w:tcW w:w="993" w:type="dxa"/>
            <w:vAlign w:val="top"/>
          </w:tcPr>
          <w:p w14:paraId="717548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576" w:lineRule="exact"/>
              <w:ind w:left="0" w:leftChars="0" w:right="0"/>
              <w:textAlignment w:val="auto"/>
              <w:outlineLvl w:val="9"/>
              <w:rPr>
                <w:rFonts w:hint="eastAsia" w:ascii="宋体" w:hAnsi="宋体" w:eastAsia="仿宋_GB2312" w:cs="宋体"/>
                <w:color w:val="auto"/>
                <w:sz w:val="24"/>
                <w:szCs w:val="24"/>
                <w:highlight w:val="none"/>
                <w:u w:val="none"/>
                <w:vertAlign w:val="baseline"/>
                <w:lang w:val="en-US" w:eastAsia="zh-CN"/>
              </w:rPr>
            </w:pPr>
          </w:p>
        </w:tc>
      </w:tr>
      <w:tr w14:paraId="4029D5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2F0368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576" w:lineRule="exact"/>
              <w:ind w:left="0" w:leftChars="0" w:right="0"/>
              <w:jc w:val="center"/>
              <w:textAlignment w:val="auto"/>
              <w:outlineLvl w:val="9"/>
              <w:rPr>
                <w:rFonts w:hint="eastAsia" w:ascii="宋体" w:hAnsi="宋体" w:eastAsia="宋体" w:cs="宋体"/>
                <w:b w:val="0"/>
                <w:bCs w:val="0"/>
                <w:color w:val="auto"/>
                <w:sz w:val="24"/>
                <w:szCs w:val="24"/>
                <w:highlight w:val="none"/>
                <w:u w:val="none"/>
                <w:lang w:val="en-US" w:eastAsia="zh-CN"/>
              </w:rPr>
            </w:pPr>
            <w:r>
              <w:rPr>
                <w:rFonts w:hint="eastAsia" w:ascii="宋体" w:hAnsi="宋体" w:eastAsia="宋体" w:cs="宋体"/>
                <w:b w:val="0"/>
                <w:bCs w:val="0"/>
                <w:color w:val="auto"/>
                <w:sz w:val="24"/>
                <w:szCs w:val="24"/>
                <w:highlight w:val="none"/>
                <w:u w:val="none"/>
                <w:lang w:val="en-US" w:eastAsia="zh-CN"/>
              </w:rPr>
              <w:t>7</w:t>
            </w:r>
          </w:p>
        </w:tc>
        <w:tc>
          <w:tcPr>
            <w:tcW w:w="3843" w:type="dxa"/>
            <w:vAlign w:val="top"/>
          </w:tcPr>
          <w:p w14:paraId="02B760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576" w:lineRule="exact"/>
              <w:ind w:left="0" w:leftChars="0" w:right="0"/>
              <w:textAlignment w:val="auto"/>
              <w:outlineLvl w:val="9"/>
              <w:rPr>
                <w:rFonts w:hint="eastAsia" w:ascii="宋体" w:hAnsi="宋体" w:eastAsia="仿宋_GB2312" w:cs="宋体"/>
                <w:color w:val="auto"/>
                <w:sz w:val="24"/>
                <w:szCs w:val="24"/>
                <w:highlight w:val="none"/>
                <w:u w:val="none"/>
                <w:vertAlign w:val="baseline"/>
                <w:lang w:val="en" w:eastAsia="zh-CN"/>
              </w:rPr>
            </w:pPr>
          </w:p>
        </w:tc>
        <w:tc>
          <w:tcPr>
            <w:tcW w:w="2861" w:type="dxa"/>
            <w:vAlign w:val="top"/>
          </w:tcPr>
          <w:p w14:paraId="290D30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576" w:lineRule="exact"/>
              <w:ind w:left="0" w:leftChars="0" w:right="0"/>
              <w:textAlignment w:val="auto"/>
              <w:outlineLvl w:val="9"/>
              <w:rPr>
                <w:rFonts w:hint="eastAsia" w:ascii="宋体" w:hAnsi="宋体" w:eastAsia="仿宋_GB2312" w:cs="宋体"/>
                <w:color w:val="auto"/>
                <w:sz w:val="24"/>
                <w:szCs w:val="24"/>
                <w:highlight w:val="none"/>
                <w:u w:val="none"/>
                <w:vertAlign w:val="baseline"/>
                <w:lang w:val="en" w:eastAsia="zh-CN"/>
              </w:rPr>
            </w:pPr>
          </w:p>
        </w:tc>
        <w:tc>
          <w:tcPr>
            <w:tcW w:w="993" w:type="dxa"/>
            <w:vAlign w:val="top"/>
          </w:tcPr>
          <w:p w14:paraId="713682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576" w:lineRule="exact"/>
              <w:ind w:left="0" w:leftChars="0" w:right="0"/>
              <w:textAlignment w:val="auto"/>
              <w:outlineLvl w:val="9"/>
              <w:rPr>
                <w:rFonts w:hint="eastAsia" w:ascii="宋体" w:hAnsi="宋体" w:eastAsia="仿宋_GB2312" w:cs="宋体"/>
                <w:color w:val="auto"/>
                <w:sz w:val="24"/>
                <w:szCs w:val="24"/>
                <w:highlight w:val="none"/>
                <w:u w:val="none"/>
                <w:vertAlign w:val="baseline"/>
                <w:lang w:val="en-US" w:eastAsia="zh-CN"/>
              </w:rPr>
            </w:pPr>
          </w:p>
        </w:tc>
      </w:tr>
      <w:tr w14:paraId="1D9783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7F9C65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576" w:lineRule="exact"/>
              <w:ind w:left="0" w:leftChars="0" w:right="0"/>
              <w:jc w:val="center"/>
              <w:textAlignment w:val="auto"/>
              <w:outlineLvl w:val="9"/>
              <w:rPr>
                <w:rFonts w:hint="eastAsia" w:ascii="宋体" w:hAnsi="宋体" w:eastAsia="宋体" w:cs="宋体"/>
                <w:b w:val="0"/>
                <w:bCs w:val="0"/>
                <w:color w:val="auto"/>
                <w:sz w:val="24"/>
                <w:szCs w:val="24"/>
                <w:highlight w:val="none"/>
                <w:u w:val="none"/>
                <w:lang w:val="en-US" w:eastAsia="zh-CN"/>
              </w:rPr>
            </w:pPr>
            <w:r>
              <w:rPr>
                <w:rFonts w:hint="eastAsia" w:ascii="宋体" w:hAnsi="宋体" w:eastAsia="宋体" w:cs="宋体"/>
                <w:b w:val="0"/>
                <w:bCs w:val="0"/>
                <w:color w:val="auto"/>
                <w:sz w:val="24"/>
                <w:szCs w:val="24"/>
                <w:highlight w:val="none"/>
                <w:u w:val="none"/>
                <w:lang w:val="en-US" w:eastAsia="zh-CN"/>
              </w:rPr>
              <w:t>8</w:t>
            </w:r>
          </w:p>
        </w:tc>
        <w:tc>
          <w:tcPr>
            <w:tcW w:w="3843" w:type="dxa"/>
            <w:vAlign w:val="top"/>
          </w:tcPr>
          <w:p w14:paraId="7C6A7B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576" w:lineRule="exact"/>
              <w:ind w:left="0" w:leftChars="0" w:right="0"/>
              <w:textAlignment w:val="auto"/>
              <w:outlineLvl w:val="9"/>
              <w:rPr>
                <w:rFonts w:hint="eastAsia" w:ascii="宋体" w:hAnsi="宋体" w:eastAsia="仿宋_GB2312" w:cs="宋体"/>
                <w:color w:val="auto"/>
                <w:sz w:val="24"/>
                <w:szCs w:val="24"/>
                <w:highlight w:val="none"/>
                <w:u w:val="none"/>
                <w:vertAlign w:val="baseline"/>
                <w:lang w:val="en" w:eastAsia="zh-CN"/>
              </w:rPr>
            </w:pPr>
          </w:p>
        </w:tc>
        <w:tc>
          <w:tcPr>
            <w:tcW w:w="2861" w:type="dxa"/>
            <w:vAlign w:val="top"/>
          </w:tcPr>
          <w:p w14:paraId="5304EA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576" w:lineRule="exact"/>
              <w:ind w:left="0" w:leftChars="0" w:right="0"/>
              <w:textAlignment w:val="auto"/>
              <w:outlineLvl w:val="9"/>
              <w:rPr>
                <w:rFonts w:hint="eastAsia" w:ascii="宋体" w:hAnsi="宋体" w:eastAsia="仿宋_GB2312" w:cs="宋体"/>
                <w:color w:val="auto"/>
                <w:sz w:val="24"/>
                <w:szCs w:val="24"/>
                <w:highlight w:val="none"/>
                <w:u w:val="none"/>
                <w:vertAlign w:val="baseline"/>
                <w:lang w:val="en" w:eastAsia="zh-CN"/>
              </w:rPr>
            </w:pPr>
          </w:p>
        </w:tc>
        <w:tc>
          <w:tcPr>
            <w:tcW w:w="993" w:type="dxa"/>
            <w:vAlign w:val="top"/>
          </w:tcPr>
          <w:p w14:paraId="31B5B8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576" w:lineRule="exact"/>
              <w:ind w:left="0" w:leftChars="0" w:right="0"/>
              <w:textAlignment w:val="auto"/>
              <w:outlineLvl w:val="9"/>
              <w:rPr>
                <w:rFonts w:hint="eastAsia" w:ascii="宋体" w:hAnsi="宋体" w:eastAsia="仿宋_GB2312" w:cs="宋体"/>
                <w:color w:val="auto"/>
                <w:sz w:val="24"/>
                <w:szCs w:val="24"/>
                <w:highlight w:val="none"/>
                <w:u w:val="none"/>
                <w:vertAlign w:val="baseline"/>
                <w:lang w:val="en-US" w:eastAsia="zh-CN"/>
              </w:rPr>
            </w:pPr>
          </w:p>
        </w:tc>
      </w:tr>
      <w:tr w14:paraId="37B5B2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vAlign w:val="top"/>
          </w:tcPr>
          <w:p w14:paraId="566A54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576" w:lineRule="exact"/>
              <w:ind w:left="0" w:leftChars="0" w:right="0"/>
              <w:jc w:val="center"/>
              <w:textAlignment w:val="auto"/>
              <w:outlineLvl w:val="9"/>
              <w:rPr>
                <w:rFonts w:hint="eastAsia" w:ascii="宋体" w:hAnsi="宋体" w:eastAsia="宋体" w:cs="宋体"/>
                <w:color w:val="auto"/>
                <w:sz w:val="24"/>
                <w:szCs w:val="24"/>
                <w:highlight w:val="none"/>
                <w:u w:val="none"/>
                <w:lang w:val="en-US" w:eastAsia="zh-CN"/>
              </w:rPr>
            </w:pPr>
            <w:r>
              <w:rPr>
                <w:rFonts w:hint="eastAsia" w:ascii="宋体" w:hAnsi="宋体" w:eastAsia="宋体" w:cs="宋体"/>
                <w:color w:val="auto"/>
                <w:sz w:val="24"/>
                <w:szCs w:val="24"/>
                <w:highlight w:val="none"/>
                <w:u w:val="none"/>
                <w:lang w:val="en-US" w:eastAsia="zh-CN"/>
              </w:rPr>
              <w:t>……</w:t>
            </w:r>
          </w:p>
        </w:tc>
        <w:tc>
          <w:tcPr>
            <w:tcW w:w="3843" w:type="dxa"/>
            <w:vAlign w:val="top"/>
          </w:tcPr>
          <w:p w14:paraId="36E6BE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576" w:lineRule="exact"/>
              <w:ind w:left="0" w:leftChars="0" w:right="0"/>
              <w:textAlignment w:val="auto"/>
              <w:outlineLvl w:val="9"/>
              <w:rPr>
                <w:rFonts w:hint="eastAsia" w:ascii="宋体" w:hAnsi="宋体" w:eastAsia="仿宋_GB2312" w:cs="宋体"/>
                <w:color w:val="auto"/>
                <w:sz w:val="24"/>
                <w:szCs w:val="24"/>
                <w:highlight w:val="none"/>
                <w:u w:val="none"/>
                <w:vertAlign w:val="baseline"/>
                <w:lang w:val="en" w:eastAsia="zh-CN"/>
              </w:rPr>
            </w:pPr>
          </w:p>
        </w:tc>
        <w:tc>
          <w:tcPr>
            <w:tcW w:w="2861" w:type="dxa"/>
            <w:vAlign w:val="top"/>
          </w:tcPr>
          <w:p w14:paraId="73DC75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576" w:lineRule="exact"/>
              <w:ind w:left="0" w:leftChars="0" w:right="0"/>
              <w:textAlignment w:val="auto"/>
              <w:outlineLvl w:val="9"/>
              <w:rPr>
                <w:rFonts w:hint="eastAsia" w:ascii="宋体" w:hAnsi="宋体" w:eastAsia="仿宋_GB2312" w:cs="宋体"/>
                <w:color w:val="auto"/>
                <w:sz w:val="24"/>
                <w:szCs w:val="24"/>
                <w:highlight w:val="none"/>
                <w:u w:val="none"/>
                <w:vertAlign w:val="baseline"/>
                <w:lang w:val="en" w:eastAsia="zh-CN"/>
              </w:rPr>
            </w:pPr>
          </w:p>
        </w:tc>
        <w:tc>
          <w:tcPr>
            <w:tcW w:w="993" w:type="dxa"/>
            <w:vAlign w:val="top"/>
          </w:tcPr>
          <w:p w14:paraId="0D12D9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576" w:lineRule="exact"/>
              <w:ind w:left="0" w:leftChars="0" w:right="0"/>
              <w:textAlignment w:val="auto"/>
              <w:outlineLvl w:val="9"/>
              <w:rPr>
                <w:rFonts w:hint="eastAsia" w:ascii="宋体" w:hAnsi="宋体" w:eastAsia="仿宋_GB2312" w:cs="宋体"/>
                <w:color w:val="auto"/>
                <w:sz w:val="24"/>
                <w:szCs w:val="24"/>
                <w:highlight w:val="none"/>
                <w:u w:val="none"/>
                <w:vertAlign w:val="baseline"/>
                <w:lang w:val="en-US" w:eastAsia="zh-CN"/>
              </w:rPr>
            </w:pPr>
          </w:p>
        </w:tc>
      </w:tr>
    </w:tbl>
    <w:p w14:paraId="4770DC39">
      <w:pPr>
        <w:keepNext w:val="0"/>
        <w:keepLines w:val="0"/>
        <w:pageBreakBefore w:val="0"/>
        <w:widowControl w:val="0"/>
        <w:kinsoku/>
        <w:wordWrap/>
        <w:overflowPunct/>
        <w:topLinePunct w:val="0"/>
        <w:autoSpaceDE/>
        <w:autoSpaceDN/>
        <w:bidi w:val="0"/>
        <w:adjustRightInd/>
        <w:snapToGrid/>
        <w:spacing w:line="576" w:lineRule="exact"/>
        <w:ind w:left="0" w:leftChars="0" w:firstLine="0" w:firstLineChars="0"/>
        <w:jc w:val="left"/>
        <w:textAlignment w:val="auto"/>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备注：1.项目资金末端分配点位包括市本级、县（区）、市级部门下属单位及一次性单位等。</w:t>
      </w:r>
    </w:p>
    <w:p w14:paraId="47AD69EA">
      <w:pPr>
        <w:keepNext w:val="0"/>
        <w:keepLines w:val="0"/>
        <w:pageBreakBefore w:val="0"/>
        <w:widowControl w:val="0"/>
        <w:numPr>
          <w:ilvl w:val="0"/>
          <w:numId w:val="0"/>
        </w:numPr>
        <w:kinsoku/>
        <w:wordWrap/>
        <w:overflowPunct/>
        <w:topLinePunct w:val="0"/>
        <w:autoSpaceDE/>
        <w:autoSpaceDN/>
        <w:bidi w:val="0"/>
        <w:adjustRightInd/>
        <w:snapToGrid/>
        <w:spacing w:line="576" w:lineRule="exact"/>
        <w:ind w:left="0" w:leftChars="0" w:firstLine="630" w:firstLineChars="300"/>
        <w:jc w:val="left"/>
        <w:textAlignment w:val="auto"/>
        <w:rPr>
          <w:rFonts w:hint="eastAsia" w:ascii="宋体" w:hAnsi="宋体" w:eastAsia="宋体" w:cs="宋体"/>
          <w:b w:val="0"/>
          <w:bCs w:val="0"/>
          <w:color w:val="auto"/>
          <w:sz w:val="21"/>
          <w:szCs w:val="21"/>
          <w:highlight w:val="none"/>
          <w:u w:val="none"/>
          <w:vertAlign w:val="baseline"/>
          <w:lang w:val="en-US" w:eastAsia="zh-CN"/>
        </w:rPr>
      </w:pPr>
      <w:r>
        <w:rPr>
          <w:rFonts w:hint="eastAsia" w:ascii="宋体" w:hAnsi="宋体" w:eastAsia="宋体" w:cs="宋体"/>
          <w:b w:val="0"/>
          <w:bCs w:val="0"/>
          <w:color w:val="auto"/>
          <w:sz w:val="21"/>
          <w:szCs w:val="21"/>
          <w:highlight w:val="none"/>
          <w:u w:val="none"/>
          <w:vertAlign w:val="baseline"/>
          <w:lang w:val="en-US" w:eastAsia="zh-CN"/>
        </w:rPr>
        <w:t>2.自评得分（百分制）从高到低划分为优、良、中、差四个档次，各个档次数量占比分别为20%、20%、55%、5%，且不同档次间得分分值应体现差异化，同档次得分分值相同的比例不超过该档次总数量的10%。</w:t>
      </w:r>
    </w:p>
    <w:p w14:paraId="5AE9B6A1">
      <w:pPr>
        <w:keepLines w:val="0"/>
        <w:pageBreakBefore w:val="0"/>
        <w:kinsoku/>
        <w:wordWrap/>
        <w:topLinePunct w:val="0"/>
        <w:autoSpaceDE/>
        <w:autoSpaceDN/>
        <w:bidi w:val="0"/>
        <w:spacing w:line="576" w:lineRule="exact"/>
        <w:rPr>
          <w:rFonts w:hint="eastAsia" w:ascii="Times New Roman" w:hAnsi="Times New Roman" w:eastAsia="仿宋_GB2312" w:cs="Times New Roman"/>
          <w:kern w:val="2"/>
          <w:sz w:val="32"/>
          <w:szCs w:val="24"/>
          <w:highlight w:val="none"/>
          <w:lang w:val="en-US" w:eastAsia="zh-CN" w:bidi="ar-SA"/>
        </w:rPr>
      </w:pPr>
      <w:r>
        <w:rPr>
          <w:rFonts w:hint="eastAsia" w:ascii="Times New Roman" w:hAnsi="Times New Roman" w:eastAsia="仿宋_GB2312" w:cs="Times New Roman"/>
          <w:kern w:val="2"/>
          <w:sz w:val="32"/>
          <w:szCs w:val="24"/>
          <w:highlight w:val="none"/>
          <w:lang w:val="en-US" w:eastAsia="zh-CN" w:bidi="ar-SA"/>
        </w:rPr>
        <w:br w:type="page"/>
      </w:r>
    </w:p>
    <w:p w14:paraId="4C1D805D">
      <w:pPr>
        <w:keepNext w:val="0"/>
        <w:keepLines w:val="0"/>
        <w:pageBreakBefore w:val="0"/>
        <w:widowControl w:val="0"/>
        <w:kinsoku/>
        <w:wordWrap/>
        <w:overflowPunct/>
        <w:topLinePunct w:val="0"/>
        <w:autoSpaceDE/>
        <w:autoSpaceDN/>
        <w:bidi w:val="0"/>
        <w:spacing w:after="0" w:line="576" w:lineRule="exact"/>
        <w:ind w:left="0" w:leftChars="0" w:firstLine="0" w:firstLineChars="0"/>
        <w:jc w:val="both"/>
        <w:rPr>
          <w:rFonts w:hint="default" w:ascii="Times New Roman" w:hAnsi="Times New Roman" w:eastAsia="黑体" w:cs="Times New Roman"/>
          <w:kern w:val="2"/>
          <w:sz w:val="32"/>
          <w:szCs w:val="24"/>
          <w:highlight w:val="none"/>
          <w:lang w:val="en-US" w:eastAsia="zh-CN" w:bidi="ar-SA"/>
        </w:rPr>
      </w:pPr>
      <w:r>
        <w:rPr>
          <w:rFonts w:hint="default" w:ascii="Times New Roman" w:hAnsi="Times New Roman" w:eastAsia="黑体" w:cs="Times New Roman"/>
          <w:kern w:val="2"/>
          <w:sz w:val="32"/>
          <w:szCs w:val="24"/>
          <w:highlight w:val="none"/>
          <w:lang w:val="en-US" w:eastAsia="zh-CN" w:bidi="ar-SA"/>
        </w:rPr>
        <w:t>附表2</w:t>
      </w:r>
    </w:p>
    <w:tbl>
      <w:tblPr>
        <w:tblStyle w:val="20"/>
        <w:tblW w:w="10233"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
      <w:tblGrid>
        <w:gridCol w:w="652"/>
        <w:gridCol w:w="1081"/>
        <w:gridCol w:w="1250"/>
        <w:gridCol w:w="1312"/>
        <w:gridCol w:w="1127"/>
        <w:gridCol w:w="971"/>
        <w:gridCol w:w="1061"/>
        <w:gridCol w:w="938"/>
        <w:gridCol w:w="1841"/>
      </w:tblGrid>
      <w:tr w14:paraId="65CB928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576" w:hRule="atLeast"/>
          <w:jc w:val="center"/>
        </w:trPr>
        <w:tc>
          <w:tcPr>
            <w:tcW w:w="10233" w:type="dxa"/>
            <w:gridSpan w:val="9"/>
            <w:shd w:val="clear" w:color="auto" w:fill="auto"/>
            <w:vAlign w:val="center"/>
          </w:tcPr>
          <w:p w14:paraId="3CD862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576" w:lineRule="exact"/>
              <w:ind w:left="0" w:leftChars="0" w:right="0"/>
              <w:jc w:val="center"/>
              <w:textAlignment w:val="center"/>
              <w:rPr>
                <w:rFonts w:hint="default" w:ascii="黑体" w:hAnsi="宋体" w:eastAsia="黑体" w:cs="黑体"/>
                <w:i w:val="0"/>
                <w:color w:val="000000"/>
                <w:sz w:val="30"/>
                <w:szCs w:val="30"/>
                <w:u w:val="none"/>
              </w:rPr>
            </w:pPr>
            <w:r>
              <w:rPr>
                <w:rFonts w:hint="eastAsia" w:ascii="方正小标宋简体" w:hAnsi="方正小标宋简体" w:eastAsia="方正小标宋简体" w:cs="方正小标宋简体"/>
                <w:i w:val="0"/>
                <w:color w:val="000000"/>
                <w:kern w:val="0"/>
                <w:sz w:val="40"/>
                <w:szCs w:val="40"/>
                <w:u w:val="none"/>
                <w:lang w:val="en-US" w:eastAsia="zh-CN" w:bidi="ar"/>
              </w:rPr>
              <w:t>专项预算项目绩效目标完成情况自评表</w:t>
            </w:r>
          </w:p>
        </w:tc>
      </w:tr>
      <w:tr w14:paraId="7A41FF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4295"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216C0090">
            <w:pPr>
              <w:keepNext w:val="0"/>
              <w:keepLines w:val="0"/>
              <w:pageBreakBefore w:val="0"/>
              <w:suppressLineNumbers w:val="0"/>
              <w:kinsoku/>
              <w:wordWrap/>
              <w:overflowPunct/>
              <w:topLinePunct w:val="0"/>
              <w:autoSpaceDE/>
              <w:autoSpaceDN/>
              <w:bidi w:val="0"/>
              <w:adjustRightInd/>
              <w:snapToGrid/>
              <w:spacing w:before="0" w:beforeAutospacing="0" w:after="0" w:afterAutospacing="0" w:line="576" w:lineRule="exact"/>
              <w:ind w:left="0" w:leftChars="0" w:right="0"/>
              <w:rPr>
                <w:rFonts w:hint="eastAsia" w:ascii="宋体" w:hAnsi="宋体" w:eastAsia="宋体" w:cs="宋体"/>
                <w:i w:val="0"/>
                <w:color w:val="000000"/>
                <w:sz w:val="24"/>
                <w:szCs w:val="24"/>
                <w:u w:val="none"/>
                <w:lang w:eastAsia="zh-CN"/>
              </w:rPr>
            </w:pPr>
            <w:r>
              <w:rPr>
                <w:rFonts w:hint="eastAsia" w:ascii="宋体" w:hAnsi="宋体" w:eastAsia="宋体" w:cs="宋体"/>
                <w:i w:val="0"/>
                <w:color w:val="000000"/>
                <w:sz w:val="24"/>
                <w:szCs w:val="24"/>
                <w:u w:val="none"/>
                <w:lang w:val="en-US" w:eastAsia="zh-CN"/>
              </w:rPr>
              <w:t>项目名称</w:t>
            </w:r>
          </w:p>
        </w:tc>
        <w:tc>
          <w:tcPr>
            <w:tcW w:w="593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53F08E64">
            <w:pPr>
              <w:keepNext w:val="0"/>
              <w:keepLines w:val="0"/>
              <w:pageBreakBefore w:val="0"/>
              <w:suppressLineNumbers w:val="0"/>
              <w:kinsoku/>
              <w:wordWrap/>
              <w:overflowPunct/>
              <w:topLinePunct w:val="0"/>
              <w:autoSpaceDE/>
              <w:autoSpaceDN/>
              <w:bidi w:val="0"/>
              <w:adjustRightInd/>
              <w:snapToGrid/>
              <w:spacing w:before="0" w:beforeAutospacing="0" w:after="0" w:afterAutospacing="0" w:line="576" w:lineRule="exact"/>
              <w:ind w:left="0" w:leftChars="0" w:right="0"/>
              <w:rPr>
                <w:rFonts w:hint="eastAsia" w:ascii="宋体" w:hAnsi="宋体" w:eastAsia="宋体" w:cs="宋体"/>
                <w:i w:val="0"/>
                <w:color w:val="000000"/>
                <w:sz w:val="24"/>
                <w:szCs w:val="24"/>
                <w:u w:val="none"/>
                <w:lang w:eastAsia="zh-CN"/>
              </w:rPr>
            </w:pPr>
            <w:r>
              <w:rPr>
                <w:rFonts w:hint="eastAsia" w:ascii="宋体" w:hAnsi="宋体" w:eastAsia="宋体" w:cs="宋体"/>
                <w:i w:val="0"/>
                <w:color w:val="000000"/>
                <w:sz w:val="24"/>
                <w:szCs w:val="24"/>
                <w:u w:val="none"/>
                <w:lang w:val="en-US" w:eastAsia="zh-CN"/>
              </w:rPr>
              <w:t>成渝地区粮食安全保障基地（广元）实施方案</w:t>
            </w:r>
          </w:p>
        </w:tc>
      </w:tr>
      <w:tr w14:paraId="7FCAB7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4295"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4166FB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576" w:lineRule="exact"/>
              <w:ind w:left="0" w:leftChars="0" w:right="0"/>
              <w:jc w:val="left"/>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预算单位</w:t>
            </w:r>
          </w:p>
        </w:tc>
        <w:tc>
          <w:tcPr>
            <w:tcW w:w="593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5D67396">
            <w:pPr>
              <w:keepNext w:val="0"/>
              <w:keepLines w:val="0"/>
              <w:pageBreakBefore w:val="0"/>
              <w:suppressLineNumbers w:val="0"/>
              <w:kinsoku/>
              <w:wordWrap/>
              <w:overflowPunct/>
              <w:topLinePunct w:val="0"/>
              <w:autoSpaceDE/>
              <w:autoSpaceDN/>
              <w:bidi w:val="0"/>
              <w:adjustRightInd/>
              <w:snapToGrid/>
              <w:spacing w:before="0" w:beforeAutospacing="0" w:after="0" w:afterAutospacing="0" w:line="576" w:lineRule="exact"/>
              <w:ind w:left="0" w:leftChars="0" w:right="0"/>
              <w:rPr>
                <w:rFonts w:hint="eastAsia" w:ascii="宋体" w:hAnsi="宋体" w:eastAsia="宋体" w:cs="宋体"/>
                <w:i w:val="0"/>
                <w:color w:val="000000"/>
                <w:sz w:val="24"/>
                <w:szCs w:val="24"/>
                <w:u w:val="none"/>
                <w:lang w:eastAsia="zh-CN"/>
              </w:rPr>
            </w:pPr>
            <w:r>
              <w:rPr>
                <w:rFonts w:hint="eastAsia" w:ascii="宋体" w:hAnsi="宋体" w:eastAsia="宋体" w:cs="宋体"/>
                <w:i w:val="0"/>
                <w:color w:val="000000"/>
                <w:sz w:val="24"/>
                <w:szCs w:val="24"/>
                <w:u w:val="none"/>
                <w:lang w:eastAsia="zh-CN"/>
              </w:rPr>
              <w:t>广元市发展和改革委员会</w:t>
            </w:r>
          </w:p>
        </w:tc>
      </w:tr>
      <w:tr w14:paraId="425C2A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4295"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6485D1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576" w:lineRule="exact"/>
              <w:ind w:left="0" w:leftChars="0" w:right="0"/>
              <w:jc w:val="left"/>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项目类型</w:t>
            </w:r>
          </w:p>
        </w:tc>
        <w:tc>
          <w:tcPr>
            <w:tcW w:w="593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3F2DB48">
            <w:pPr>
              <w:keepNext w:val="0"/>
              <w:keepLines w:val="0"/>
              <w:pageBreakBefore w:val="0"/>
              <w:suppressLineNumbers w:val="0"/>
              <w:kinsoku/>
              <w:wordWrap/>
              <w:overflowPunct/>
              <w:topLinePunct w:val="0"/>
              <w:autoSpaceDE/>
              <w:autoSpaceDN/>
              <w:bidi w:val="0"/>
              <w:adjustRightInd/>
              <w:snapToGrid/>
              <w:spacing w:before="0" w:beforeAutospacing="0" w:after="0" w:afterAutospacing="0" w:line="576" w:lineRule="exact"/>
              <w:ind w:left="0" w:leftChars="0" w:right="0"/>
              <w:jc w:val="left"/>
              <w:rPr>
                <w:rFonts w:hint="eastAsia" w:ascii="宋体" w:hAnsi="宋体" w:eastAsia="宋体" w:cs="宋体"/>
                <w:i w:val="0"/>
                <w:color w:val="000000"/>
                <w:sz w:val="24"/>
                <w:szCs w:val="24"/>
                <w:u w:val="none"/>
                <w:lang w:eastAsia="zh-CN"/>
              </w:rPr>
            </w:pPr>
            <w:r>
              <w:rPr>
                <w:rFonts w:hint="eastAsia" w:ascii="宋体" w:hAnsi="宋体" w:eastAsia="宋体" w:cs="宋体"/>
                <w:i w:val="0"/>
                <w:color w:val="000000"/>
                <w:sz w:val="24"/>
                <w:szCs w:val="24"/>
                <w:u w:val="none"/>
                <w:lang w:eastAsia="zh-CN"/>
              </w:rPr>
              <w:t>社会服务采购</w:t>
            </w:r>
          </w:p>
        </w:tc>
      </w:tr>
      <w:tr w14:paraId="48E49D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65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91A6E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576" w:lineRule="exact"/>
              <w:ind w:left="0" w:leftChars="0" w:right="0"/>
              <w:jc w:val="center"/>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项目 概况</w:t>
            </w:r>
          </w:p>
        </w:tc>
        <w:tc>
          <w:tcPr>
            <w:tcW w:w="364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2EE7C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576" w:lineRule="exact"/>
              <w:ind w:left="0" w:leftChars="0" w:right="0"/>
              <w:jc w:val="left"/>
              <w:textAlignment w:val="center"/>
              <w:rPr>
                <w:rFonts w:hint="default" w:ascii="宋体" w:hAnsi="宋体" w:eastAsia="宋体" w:cs="宋体"/>
                <w:i w:val="0"/>
                <w:color w:val="000000"/>
                <w:kern w:val="0"/>
                <w:sz w:val="24"/>
                <w:szCs w:val="24"/>
                <w:u w:val="none"/>
                <w:lang w:val="en-US" w:eastAsia="zh-CN" w:bidi="ar"/>
              </w:rPr>
            </w:pPr>
            <w:r>
              <w:rPr>
                <w:rFonts w:hint="default" w:ascii="宋体" w:hAnsi="宋体" w:eastAsia="宋体" w:cs="宋体"/>
                <w:i w:val="0"/>
                <w:color w:val="000000"/>
                <w:kern w:val="0"/>
                <w:sz w:val="24"/>
                <w:szCs w:val="24"/>
                <w:u w:val="none"/>
                <w:lang w:val="en-US" w:eastAsia="zh-CN" w:bidi="ar"/>
              </w:rPr>
              <w:t>中长期规划（名称、文号，仅指</w:t>
            </w:r>
          </w:p>
          <w:p w14:paraId="0A9669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576" w:lineRule="exact"/>
              <w:ind w:left="0" w:leftChars="0" w:right="0"/>
              <w:jc w:val="left"/>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常年项目）</w:t>
            </w:r>
          </w:p>
        </w:tc>
        <w:tc>
          <w:tcPr>
            <w:tcW w:w="593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B9445CD">
            <w:pPr>
              <w:keepNext w:val="0"/>
              <w:keepLines w:val="0"/>
              <w:pageBreakBefore w:val="0"/>
              <w:suppressLineNumbers w:val="0"/>
              <w:kinsoku/>
              <w:wordWrap/>
              <w:overflowPunct/>
              <w:topLinePunct w:val="0"/>
              <w:autoSpaceDE/>
              <w:autoSpaceDN/>
              <w:bidi w:val="0"/>
              <w:adjustRightInd/>
              <w:snapToGrid/>
              <w:spacing w:before="0" w:beforeAutospacing="0" w:after="0" w:afterAutospacing="0" w:line="576" w:lineRule="exact"/>
              <w:ind w:left="0" w:leftChars="0" w:right="0"/>
              <w:jc w:val="left"/>
              <w:rPr>
                <w:rFonts w:hint="eastAsia" w:ascii="宋体" w:hAnsi="宋体" w:eastAsia="宋体" w:cs="宋体"/>
                <w:i w:val="0"/>
                <w:color w:val="000000"/>
                <w:sz w:val="24"/>
                <w:szCs w:val="24"/>
                <w:u w:val="none"/>
                <w:lang w:eastAsia="zh-CN"/>
              </w:rPr>
            </w:pPr>
            <w:r>
              <w:rPr>
                <w:rFonts w:hint="eastAsia" w:ascii="宋体" w:hAnsi="宋体" w:eastAsia="宋体" w:cs="宋体"/>
                <w:i w:val="0"/>
                <w:color w:val="000000"/>
                <w:sz w:val="24"/>
                <w:szCs w:val="24"/>
                <w:u w:val="none"/>
                <w:lang w:eastAsia="zh-CN"/>
              </w:rPr>
              <w:t>无</w:t>
            </w:r>
          </w:p>
        </w:tc>
      </w:tr>
      <w:tr w14:paraId="45347A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55588F">
            <w:pPr>
              <w:keepNext w:val="0"/>
              <w:keepLines w:val="0"/>
              <w:pageBreakBefore w:val="0"/>
              <w:suppressLineNumbers w:val="0"/>
              <w:kinsoku/>
              <w:wordWrap/>
              <w:overflowPunct/>
              <w:topLinePunct w:val="0"/>
              <w:autoSpaceDE/>
              <w:autoSpaceDN/>
              <w:bidi w:val="0"/>
              <w:adjustRightInd/>
              <w:snapToGrid/>
              <w:spacing w:before="0" w:beforeAutospacing="0" w:after="0" w:afterAutospacing="0" w:line="576" w:lineRule="exact"/>
              <w:ind w:left="0" w:leftChars="0" w:right="0"/>
              <w:rPr>
                <w:rFonts w:hint="eastAsia" w:ascii="宋体" w:hAnsi="宋体" w:eastAsia="宋体" w:cs="宋体"/>
                <w:i w:val="0"/>
                <w:color w:val="000000"/>
                <w:sz w:val="24"/>
                <w:szCs w:val="24"/>
                <w:u w:val="none"/>
              </w:rPr>
            </w:pPr>
          </w:p>
        </w:tc>
        <w:tc>
          <w:tcPr>
            <w:tcW w:w="364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5C1BA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576" w:lineRule="exact"/>
              <w:ind w:left="0" w:leftChars="0" w:right="0"/>
              <w:jc w:val="left"/>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资金管理办法（名称、文号）</w:t>
            </w:r>
          </w:p>
        </w:tc>
        <w:tc>
          <w:tcPr>
            <w:tcW w:w="593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B104124">
            <w:pPr>
              <w:keepNext w:val="0"/>
              <w:keepLines w:val="0"/>
              <w:pageBreakBefore w:val="0"/>
              <w:suppressLineNumbers w:val="0"/>
              <w:kinsoku/>
              <w:wordWrap/>
              <w:overflowPunct/>
              <w:topLinePunct w:val="0"/>
              <w:autoSpaceDE/>
              <w:autoSpaceDN/>
              <w:bidi w:val="0"/>
              <w:adjustRightInd/>
              <w:snapToGrid/>
              <w:spacing w:before="0" w:beforeAutospacing="0" w:after="0" w:afterAutospacing="0" w:line="576" w:lineRule="exact"/>
              <w:ind w:left="0" w:leftChars="0" w:right="0"/>
              <w:jc w:val="left"/>
              <w:rPr>
                <w:rFonts w:hint="eastAsia" w:ascii="宋体" w:hAnsi="宋体" w:eastAsia="宋体" w:cs="宋体"/>
                <w:i w:val="0"/>
                <w:color w:val="000000"/>
                <w:sz w:val="24"/>
                <w:szCs w:val="24"/>
                <w:u w:val="none"/>
                <w:lang w:eastAsia="zh-CN"/>
              </w:rPr>
            </w:pPr>
            <w:r>
              <w:rPr>
                <w:rFonts w:hint="eastAsia" w:ascii="宋体" w:hAnsi="宋体" w:eastAsia="宋体" w:cs="宋体"/>
                <w:i w:val="0"/>
                <w:color w:val="000000"/>
                <w:sz w:val="24"/>
                <w:szCs w:val="24"/>
                <w:u w:val="none"/>
                <w:lang w:eastAsia="zh-CN"/>
              </w:rPr>
              <w:t>无</w:t>
            </w:r>
          </w:p>
        </w:tc>
      </w:tr>
      <w:tr w14:paraId="21BE2A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8230B7">
            <w:pPr>
              <w:keepNext w:val="0"/>
              <w:keepLines w:val="0"/>
              <w:pageBreakBefore w:val="0"/>
              <w:suppressLineNumbers w:val="0"/>
              <w:kinsoku/>
              <w:wordWrap/>
              <w:overflowPunct/>
              <w:topLinePunct w:val="0"/>
              <w:autoSpaceDE/>
              <w:autoSpaceDN/>
              <w:bidi w:val="0"/>
              <w:adjustRightInd/>
              <w:snapToGrid/>
              <w:spacing w:before="0" w:beforeAutospacing="0" w:after="0" w:afterAutospacing="0" w:line="576" w:lineRule="exact"/>
              <w:ind w:left="0" w:leftChars="0" w:right="0"/>
              <w:rPr>
                <w:rFonts w:hint="eastAsia" w:ascii="宋体" w:hAnsi="宋体" w:eastAsia="宋体" w:cs="宋体"/>
                <w:i w:val="0"/>
                <w:color w:val="000000"/>
                <w:sz w:val="24"/>
                <w:szCs w:val="24"/>
                <w:u w:val="none"/>
              </w:rPr>
            </w:pPr>
          </w:p>
        </w:tc>
        <w:tc>
          <w:tcPr>
            <w:tcW w:w="364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E3BEE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576" w:lineRule="exact"/>
              <w:ind w:left="0" w:leftChars="0" w:right="0"/>
              <w:jc w:val="left"/>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绩效分配方式</w:t>
            </w:r>
          </w:p>
        </w:tc>
        <w:tc>
          <w:tcPr>
            <w:tcW w:w="11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F6366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576" w:lineRule="exact"/>
              <w:ind w:left="0" w:leftChars="0" w:right="0"/>
              <w:jc w:val="left"/>
              <w:textAlignment w:val="center"/>
              <w:rPr>
                <w:rFonts w:hint="default" w:ascii="Wingdings 2" w:hAnsi="Wingdings 2" w:eastAsia="Wingdings 2" w:cs="Wingdings 2"/>
                <w:i w:val="0"/>
                <w:color w:val="000000"/>
                <w:sz w:val="24"/>
                <w:szCs w:val="24"/>
                <w:u w:val="none"/>
              </w:rPr>
            </w:pPr>
            <w:r>
              <w:rPr>
                <w:rFonts w:hint="default" w:ascii="Wingdings 2" w:hAnsi="Wingdings 2" w:eastAsia="Wingdings 2" w:cs="Wingdings 2"/>
                <w:i w:val="0"/>
                <w:color w:val="000000"/>
                <w:kern w:val="0"/>
                <w:sz w:val="24"/>
                <w:szCs w:val="24"/>
                <w:u w:val="none"/>
                <w:lang w:val="en-US" w:eastAsia="zh-CN" w:bidi="ar"/>
              </w:rPr>
              <w:t>£</w:t>
            </w:r>
            <w:r>
              <w:rPr>
                <w:rFonts w:hint="default" w:ascii="宋体" w:hAnsi="宋体" w:eastAsia="宋体" w:cs="宋体"/>
                <w:i w:val="0"/>
                <w:color w:val="000000"/>
                <w:kern w:val="0"/>
                <w:sz w:val="24"/>
                <w:szCs w:val="24"/>
                <w:u w:val="none"/>
                <w:lang w:val="en-US" w:eastAsia="zh-CN" w:bidi="ar"/>
              </w:rPr>
              <w:t>因素法</w:t>
            </w:r>
          </w:p>
        </w:tc>
        <w:tc>
          <w:tcPr>
            <w:tcW w:w="20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151C4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576" w:lineRule="exact"/>
              <w:ind w:left="0" w:leftChars="0" w:right="0"/>
              <w:jc w:val="center"/>
              <w:textAlignment w:val="center"/>
              <w:rPr>
                <w:rFonts w:hint="default" w:ascii="Wingdings 2" w:hAnsi="Wingdings 2" w:eastAsia="Wingdings 2" w:cs="Wingdings 2"/>
                <w:i w:val="0"/>
                <w:color w:val="000000"/>
                <w:sz w:val="24"/>
                <w:szCs w:val="24"/>
                <w:u w:val="none"/>
              </w:rPr>
            </w:pPr>
            <w:r>
              <w:rPr>
                <w:rFonts w:hint="default" w:ascii="Wingdings 2" w:hAnsi="Wingdings 2" w:eastAsia="Wingdings 2" w:cs="Wingdings 2"/>
                <w:i w:val="0"/>
                <w:color w:val="000000"/>
                <w:kern w:val="0"/>
                <w:sz w:val="24"/>
                <w:szCs w:val="24"/>
                <w:u w:val="none"/>
                <w:lang w:val="en-US" w:eastAsia="zh-CN" w:bidi="ar"/>
              </w:rPr>
              <w:sym w:font="Wingdings 2" w:char="00A3"/>
            </w:r>
            <w:r>
              <w:rPr>
                <w:rFonts w:hint="default" w:ascii="Wingdings 2" w:hAnsi="Wingdings 2" w:eastAsia="Wingdings 2" w:cs="Wingdings 2"/>
                <w:i w:val="0"/>
                <w:color w:val="000000"/>
                <w:kern w:val="0"/>
                <w:sz w:val="24"/>
                <w:szCs w:val="24"/>
                <w:u w:val="none"/>
                <w:lang w:val="en-US" w:eastAsia="zh-CN" w:bidi="ar"/>
              </w:rPr>
              <w:t>项目法</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B85A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576" w:lineRule="exact"/>
              <w:ind w:left="0" w:leftChars="0" w:right="0"/>
              <w:jc w:val="center"/>
              <w:textAlignment w:val="center"/>
              <w:rPr>
                <w:rFonts w:hint="default" w:ascii="Wingdings 2" w:hAnsi="Wingdings 2" w:eastAsia="Wingdings 2" w:cs="Wingdings 2"/>
                <w:i w:val="0"/>
                <w:color w:val="000000"/>
                <w:sz w:val="24"/>
                <w:szCs w:val="24"/>
                <w:u w:val="none"/>
              </w:rPr>
            </w:pPr>
            <w:r>
              <w:rPr>
                <w:rFonts w:hint="default" w:ascii="Wingdings 2" w:hAnsi="Wingdings 2" w:eastAsia="Wingdings 2" w:cs="Wingdings 2"/>
                <w:i w:val="0"/>
                <w:color w:val="000000"/>
                <w:kern w:val="0"/>
                <w:sz w:val="24"/>
                <w:szCs w:val="24"/>
                <w:u w:val="none"/>
                <w:lang w:val="en-US" w:eastAsia="zh-CN" w:bidi="ar"/>
              </w:rPr>
              <w:sym w:font="Wingdings 2" w:char="0052"/>
            </w:r>
            <w:r>
              <w:rPr>
                <w:rFonts w:hint="default" w:ascii="宋体" w:hAnsi="宋体" w:eastAsia="宋体" w:cs="宋体"/>
                <w:i w:val="0"/>
                <w:color w:val="000000"/>
                <w:kern w:val="0"/>
                <w:sz w:val="24"/>
                <w:szCs w:val="24"/>
                <w:u w:val="none"/>
                <w:lang w:val="en-US" w:eastAsia="zh-CN" w:bidi="ar"/>
              </w:rPr>
              <w:t>据实据效</w:t>
            </w:r>
          </w:p>
        </w:tc>
        <w:tc>
          <w:tcPr>
            <w:tcW w:w="18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03DC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576" w:lineRule="exact"/>
              <w:ind w:left="0" w:leftChars="0" w:right="0"/>
              <w:jc w:val="center"/>
              <w:textAlignment w:val="center"/>
              <w:rPr>
                <w:rFonts w:hint="default" w:ascii="Wingdings 2" w:hAnsi="Wingdings 2" w:eastAsia="Wingdings 2" w:cs="Wingdings 2"/>
                <w:i w:val="0"/>
                <w:color w:val="000000"/>
                <w:sz w:val="24"/>
                <w:szCs w:val="24"/>
                <w:u w:val="none"/>
              </w:rPr>
            </w:pPr>
            <w:r>
              <w:rPr>
                <w:rFonts w:hint="default" w:ascii="Wingdings 2" w:hAnsi="Wingdings 2" w:eastAsia="Wingdings 2" w:cs="Wingdings 2"/>
                <w:i w:val="0"/>
                <w:color w:val="000000"/>
                <w:kern w:val="0"/>
                <w:sz w:val="24"/>
                <w:szCs w:val="24"/>
                <w:u w:val="none"/>
                <w:lang w:val="en-US" w:eastAsia="zh-CN" w:bidi="ar"/>
              </w:rPr>
              <w:t>£</w:t>
            </w:r>
            <w:r>
              <w:rPr>
                <w:rFonts w:hint="default" w:ascii="宋体" w:hAnsi="宋体" w:eastAsia="宋体" w:cs="宋体"/>
                <w:i w:val="0"/>
                <w:color w:val="000000"/>
                <w:kern w:val="0"/>
                <w:sz w:val="24"/>
                <w:szCs w:val="24"/>
                <w:u w:val="none"/>
                <w:lang w:val="en-US" w:eastAsia="zh-CN" w:bidi="ar"/>
              </w:rPr>
              <w:t>因素法与项目法相结合</w:t>
            </w:r>
          </w:p>
        </w:tc>
      </w:tr>
      <w:tr w14:paraId="57CFC7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5384D3">
            <w:pPr>
              <w:keepNext w:val="0"/>
              <w:keepLines w:val="0"/>
              <w:pageBreakBefore w:val="0"/>
              <w:suppressLineNumbers w:val="0"/>
              <w:kinsoku/>
              <w:wordWrap/>
              <w:overflowPunct/>
              <w:topLinePunct w:val="0"/>
              <w:autoSpaceDE/>
              <w:autoSpaceDN/>
              <w:bidi w:val="0"/>
              <w:adjustRightInd/>
              <w:snapToGrid/>
              <w:spacing w:before="0" w:beforeAutospacing="0" w:after="0" w:afterAutospacing="0" w:line="576" w:lineRule="exact"/>
              <w:ind w:left="0" w:leftChars="0" w:right="0"/>
              <w:rPr>
                <w:rFonts w:hint="eastAsia" w:ascii="宋体" w:hAnsi="宋体" w:eastAsia="宋体" w:cs="宋体"/>
                <w:i w:val="0"/>
                <w:color w:val="000000"/>
                <w:sz w:val="24"/>
                <w:szCs w:val="24"/>
                <w:u w:val="none"/>
              </w:rPr>
            </w:pPr>
          </w:p>
        </w:tc>
        <w:tc>
          <w:tcPr>
            <w:tcW w:w="364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4393E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576" w:lineRule="exact"/>
              <w:ind w:left="0" w:leftChars="0" w:right="0"/>
              <w:jc w:val="left"/>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立项依据</w:t>
            </w:r>
          </w:p>
        </w:tc>
        <w:tc>
          <w:tcPr>
            <w:tcW w:w="593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2D4B6AD8">
            <w:pPr>
              <w:keepNext w:val="0"/>
              <w:keepLines w:val="0"/>
              <w:pageBreakBefore w:val="0"/>
              <w:suppressLineNumbers w:val="0"/>
              <w:kinsoku/>
              <w:wordWrap/>
              <w:overflowPunct/>
              <w:topLinePunct w:val="0"/>
              <w:autoSpaceDE/>
              <w:autoSpaceDN/>
              <w:bidi w:val="0"/>
              <w:adjustRightInd/>
              <w:snapToGrid/>
              <w:spacing w:before="0" w:beforeAutospacing="0" w:after="0" w:afterAutospacing="0" w:line="576" w:lineRule="exact"/>
              <w:ind w:left="0" w:leftChars="0" w:right="0"/>
              <w:jc w:val="left"/>
              <w:rPr>
                <w:rFonts w:hint="eastAsia" w:ascii="宋体" w:hAnsi="宋体" w:eastAsia="宋体" w:cs="宋体"/>
                <w:i w:val="0"/>
                <w:color w:val="000000"/>
                <w:sz w:val="24"/>
                <w:szCs w:val="24"/>
                <w:u w:val="none"/>
                <w:lang w:eastAsia="zh-CN"/>
              </w:rPr>
            </w:pPr>
            <w:r>
              <w:rPr>
                <w:rFonts w:hint="eastAsia" w:ascii="宋体" w:hAnsi="宋体" w:eastAsia="宋体" w:cs="宋体"/>
                <w:i w:val="0"/>
                <w:color w:val="000000"/>
                <w:sz w:val="24"/>
                <w:szCs w:val="24"/>
                <w:u w:val="none"/>
                <w:lang w:eastAsia="zh-CN"/>
              </w:rPr>
              <w:t>无</w:t>
            </w:r>
          </w:p>
        </w:tc>
      </w:tr>
      <w:tr w14:paraId="4BB9E6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5F658B">
            <w:pPr>
              <w:keepNext w:val="0"/>
              <w:keepLines w:val="0"/>
              <w:pageBreakBefore w:val="0"/>
              <w:suppressLineNumbers w:val="0"/>
              <w:kinsoku/>
              <w:wordWrap/>
              <w:overflowPunct/>
              <w:topLinePunct w:val="0"/>
              <w:autoSpaceDE/>
              <w:autoSpaceDN/>
              <w:bidi w:val="0"/>
              <w:adjustRightInd/>
              <w:snapToGrid/>
              <w:spacing w:before="0" w:beforeAutospacing="0" w:after="0" w:afterAutospacing="0" w:line="576" w:lineRule="exact"/>
              <w:ind w:left="0" w:leftChars="0" w:right="0"/>
              <w:rPr>
                <w:rFonts w:hint="eastAsia" w:ascii="宋体" w:hAnsi="宋体" w:eastAsia="宋体" w:cs="宋体"/>
                <w:i w:val="0"/>
                <w:color w:val="000000"/>
                <w:sz w:val="24"/>
                <w:szCs w:val="24"/>
                <w:u w:val="none"/>
              </w:rPr>
            </w:pPr>
          </w:p>
        </w:tc>
        <w:tc>
          <w:tcPr>
            <w:tcW w:w="364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93603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576" w:lineRule="exact"/>
              <w:ind w:left="0" w:leftChars="0" w:right="0"/>
              <w:jc w:val="left"/>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使用范围</w:t>
            </w:r>
          </w:p>
        </w:tc>
        <w:tc>
          <w:tcPr>
            <w:tcW w:w="593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1BE8312">
            <w:pPr>
              <w:keepNext w:val="0"/>
              <w:keepLines w:val="0"/>
              <w:pageBreakBefore w:val="0"/>
              <w:suppressLineNumbers w:val="0"/>
              <w:kinsoku/>
              <w:wordWrap/>
              <w:overflowPunct/>
              <w:topLinePunct w:val="0"/>
              <w:autoSpaceDE/>
              <w:autoSpaceDN/>
              <w:bidi w:val="0"/>
              <w:adjustRightInd/>
              <w:snapToGrid/>
              <w:spacing w:before="0" w:beforeAutospacing="0" w:after="0" w:afterAutospacing="0" w:line="576" w:lineRule="exact"/>
              <w:ind w:left="0" w:leftChars="0" w:right="0"/>
              <w:jc w:val="left"/>
              <w:rPr>
                <w:rFonts w:hint="eastAsia" w:ascii="宋体" w:hAnsi="宋体" w:eastAsia="宋体" w:cs="宋体"/>
                <w:i w:val="0"/>
                <w:color w:val="000000"/>
                <w:sz w:val="24"/>
                <w:szCs w:val="24"/>
                <w:u w:val="none"/>
                <w:lang w:eastAsia="zh-CN"/>
              </w:rPr>
            </w:pPr>
            <w:r>
              <w:rPr>
                <w:rFonts w:hint="eastAsia" w:ascii="宋体" w:hAnsi="宋体" w:eastAsia="宋体" w:cs="宋体"/>
                <w:i w:val="0"/>
                <w:color w:val="000000"/>
                <w:sz w:val="24"/>
                <w:szCs w:val="24"/>
                <w:u w:val="none"/>
                <w:lang w:eastAsia="zh-CN"/>
              </w:rPr>
              <w:t>编制项目实施方案</w:t>
            </w:r>
          </w:p>
        </w:tc>
      </w:tr>
      <w:tr w14:paraId="4AF4F9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608491">
            <w:pPr>
              <w:keepNext w:val="0"/>
              <w:keepLines w:val="0"/>
              <w:pageBreakBefore w:val="0"/>
              <w:suppressLineNumbers w:val="0"/>
              <w:kinsoku/>
              <w:wordWrap/>
              <w:overflowPunct/>
              <w:topLinePunct w:val="0"/>
              <w:autoSpaceDE/>
              <w:autoSpaceDN/>
              <w:bidi w:val="0"/>
              <w:adjustRightInd/>
              <w:snapToGrid/>
              <w:spacing w:before="0" w:beforeAutospacing="0" w:after="0" w:afterAutospacing="0" w:line="576" w:lineRule="exact"/>
              <w:ind w:left="0" w:leftChars="0" w:right="0"/>
              <w:rPr>
                <w:rFonts w:hint="eastAsia" w:ascii="宋体" w:hAnsi="宋体" w:eastAsia="宋体" w:cs="宋体"/>
                <w:i w:val="0"/>
                <w:color w:val="000000"/>
                <w:sz w:val="24"/>
                <w:szCs w:val="24"/>
                <w:u w:val="none"/>
              </w:rPr>
            </w:pPr>
          </w:p>
        </w:tc>
        <w:tc>
          <w:tcPr>
            <w:tcW w:w="364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69B74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576" w:lineRule="exact"/>
              <w:ind w:left="0" w:leftChars="0" w:right="0"/>
              <w:jc w:val="left"/>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申报（补助）条件</w:t>
            </w:r>
          </w:p>
        </w:tc>
        <w:tc>
          <w:tcPr>
            <w:tcW w:w="593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43CA597">
            <w:pPr>
              <w:keepNext w:val="0"/>
              <w:keepLines w:val="0"/>
              <w:pageBreakBefore w:val="0"/>
              <w:suppressLineNumbers w:val="0"/>
              <w:kinsoku/>
              <w:wordWrap/>
              <w:overflowPunct/>
              <w:topLinePunct w:val="0"/>
              <w:autoSpaceDE/>
              <w:autoSpaceDN/>
              <w:bidi w:val="0"/>
              <w:adjustRightInd/>
              <w:snapToGrid/>
              <w:spacing w:before="0" w:beforeAutospacing="0" w:after="0" w:afterAutospacing="0" w:line="576" w:lineRule="exact"/>
              <w:ind w:left="0" w:leftChars="0" w:right="0"/>
              <w:jc w:val="left"/>
              <w:rPr>
                <w:rFonts w:hint="eastAsia" w:ascii="宋体" w:hAnsi="宋体" w:eastAsia="宋体" w:cs="宋体"/>
                <w:i w:val="0"/>
                <w:color w:val="000000"/>
                <w:sz w:val="24"/>
                <w:szCs w:val="24"/>
                <w:u w:val="none"/>
                <w:lang w:eastAsia="zh-CN"/>
              </w:rPr>
            </w:pPr>
            <w:r>
              <w:rPr>
                <w:rFonts w:hint="eastAsia" w:ascii="宋体" w:hAnsi="宋体" w:eastAsia="宋体" w:cs="宋体"/>
                <w:i w:val="0"/>
                <w:color w:val="000000"/>
                <w:sz w:val="24"/>
                <w:szCs w:val="24"/>
                <w:u w:val="none"/>
                <w:lang w:eastAsia="zh-CN"/>
              </w:rPr>
              <w:t>财政下达资金</w:t>
            </w:r>
          </w:p>
        </w:tc>
      </w:tr>
      <w:tr w14:paraId="3F4E6B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27C83CB">
            <w:pPr>
              <w:keepNext w:val="0"/>
              <w:keepLines w:val="0"/>
              <w:pageBreakBefore w:val="0"/>
              <w:suppressLineNumbers w:val="0"/>
              <w:kinsoku/>
              <w:wordWrap/>
              <w:overflowPunct/>
              <w:topLinePunct w:val="0"/>
              <w:autoSpaceDE/>
              <w:autoSpaceDN/>
              <w:bidi w:val="0"/>
              <w:adjustRightInd/>
              <w:snapToGrid/>
              <w:spacing w:before="0" w:beforeAutospacing="0" w:after="0" w:afterAutospacing="0" w:line="576" w:lineRule="exact"/>
              <w:ind w:left="0" w:leftChars="0" w:right="0"/>
              <w:rPr>
                <w:rFonts w:hint="eastAsia" w:ascii="宋体" w:hAnsi="宋体" w:eastAsia="宋体" w:cs="宋体"/>
                <w:i w:val="0"/>
                <w:color w:val="000000"/>
                <w:sz w:val="24"/>
                <w:szCs w:val="24"/>
                <w:u w:val="none"/>
              </w:rPr>
            </w:pPr>
          </w:p>
        </w:tc>
        <w:tc>
          <w:tcPr>
            <w:tcW w:w="364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6C2E8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576" w:lineRule="exact"/>
              <w:ind w:left="0" w:leftChars="0" w:right="0"/>
              <w:jc w:val="left"/>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项目起止年限</w:t>
            </w:r>
          </w:p>
        </w:tc>
        <w:tc>
          <w:tcPr>
            <w:tcW w:w="593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5B6FF9F4">
            <w:pPr>
              <w:keepNext w:val="0"/>
              <w:keepLines w:val="0"/>
              <w:pageBreakBefore w:val="0"/>
              <w:suppressLineNumbers w:val="0"/>
              <w:kinsoku/>
              <w:wordWrap/>
              <w:overflowPunct/>
              <w:topLinePunct w:val="0"/>
              <w:autoSpaceDE/>
              <w:autoSpaceDN/>
              <w:bidi w:val="0"/>
              <w:adjustRightInd/>
              <w:snapToGrid/>
              <w:spacing w:before="0" w:beforeAutospacing="0" w:after="0" w:afterAutospacing="0" w:line="576" w:lineRule="exact"/>
              <w:ind w:left="0" w:leftChars="0" w:right="0"/>
              <w:rPr>
                <w:rFonts w:hint="default" w:ascii="宋体" w:hAnsi="宋体" w:eastAsia="宋体" w:cs="宋体"/>
                <w:i w:val="0"/>
                <w:color w:val="000000"/>
                <w:sz w:val="24"/>
                <w:szCs w:val="24"/>
                <w:u w:val="none"/>
                <w:lang w:val="en-US" w:eastAsia="zh-CN"/>
              </w:rPr>
            </w:pPr>
            <w:r>
              <w:rPr>
                <w:rFonts w:hint="eastAsia" w:ascii="宋体" w:hAnsi="宋体" w:eastAsia="宋体" w:cs="宋体"/>
                <w:i w:val="0"/>
                <w:color w:val="000000"/>
                <w:sz w:val="24"/>
                <w:szCs w:val="24"/>
                <w:u w:val="none"/>
                <w:lang w:val="en-US" w:eastAsia="zh-CN"/>
              </w:rPr>
              <w:t>2023-2023</w:t>
            </w:r>
          </w:p>
        </w:tc>
      </w:tr>
      <w:tr w14:paraId="7A9F85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1733" w:type="dxa"/>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60A18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576" w:lineRule="exact"/>
              <w:ind w:left="0" w:leftChars="0" w:right="0"/>
              <w:jc w:val="center"/>
              <w:textAlignment w:val="center"/>
              <w:rPr>
                <w:rFonts w:hint="default" w:ascii="宋体" w:hAnsi="宋体" w:eastAsia="宋体" w:cs="宋体"/>
                <w:i w:val="0"/>
                <w:color w:val="000000"/>
                <w:kern w:val="0"/>
                <w:sz w:val="24"/>
                <w:szCs w:val="24"/>
                <w:u w:val="none"/>
                <w:lang w:val="en-US" w:eastAsia="zh-CN" w:bidi="ar"/>
              </w:rPr>
            </w:pPr>
            <w:r>
              <w:rPr>
                <w:rFonts w:hint="default" w:ascii="宋体" w:hAnsi="宋体" w:eastAsia="宋体" w:cs="宋体"/>
                <w:i w:val="0"/>
                <w:color w:val="000000"/>
                <w:kern w:val="0"/>
                <w:sz w:val="24"/>
                <w:szCs w:val="24"/>
                <w:u w:val="none"/>
                <w:lang w:val="en-US" w:eastAsia="zh-CN" w:bidi="ar"/>
              </w:rPr>
              <w:t>项目资金</w:t>
            </w:r>
          </w:p>
          <w:p w14:paraId="426800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576" w:lineRule="exact"/>
              <w:ind w:left="0" w:leftChars="0" w:right="0"/>
              <w:jc w:val="center"/>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（万元）</w:t>
            </w:r>
          </w:p>
        </w:tc>
        <w:tc>
          <w:tcPr>
            <w:tcW w:w="256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4C872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576" w:lineRule="exact"/>
              <w:ind w:left="0" w:leftChars="0" w:right="0"/>
              <w:jc w:val="left"/>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 xml:space="preserve">  年度资金总额：</w:t>
            </w:r>
          </w:p>
        </w:tc>
        <w:tc>
          <w:tcPr>
            <w:tcW w:w="593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EF0BD3F">
            <w:pPr>
              <w:keepNext w:val="0"/>
              <w:keepLines w:val="0"/>
              <w:pageBreakBefore w:val="0"/>
              <w:suppressLineNumbers w:val="0"/>
              <w:tabs>
                <w:tab w:val="left" w:pos="865"/>
              </w:tabs>
              <w:kinsoku/>
              <w:wordWrap/>
              <w:overflowPunct/>
              <w:topLinePunct w:val="0"/>
              <w:autoSpaceDE/>
              <w:autoSpaceDN/>
              <w:bidi w:val="0"/>
              <w:adjustRightInd/>
              <w:snapToGrid/>
              <w:spacing w:before="0" w:beforeAutospacing="0" w:after="0" w:afterAutospacing="0" w:line="576" w:lineRule="exact"/>
              <w:ind w:left="0" w:leftChars="0" w:right="0"/>
              <w:jc w:val="left"/>
              <w:rPr>
                <w:rFonts w:hint="default" w:ascii="宋体" w:hAnsi="宋体" w:eastAsia="宋体" w:cs="宋体"/>
                <w:i w:val="0"/>
                <w:color w:val="000000"/>
                <w:sz w:val="24"/>
                <w:szCs w:val="24"/>
                <w:u w:val="none"/>
                <w:lang w:val="en-US" w:eastAsia="zh-CN"/>
              </w:rPr>
            </w:pPr>
            <w:r>
              <w:rPr>
                <w:rFonts w:hint="eastAsia" w:ascii="宋体" w:hAnsi="宋体" w:eastAsia="宋体" w:cs="宋体"/>
                <w:i w:val="0"/>
                <w:color w:val="000000"/>
                <w:sz w:val="24"/>
                <w:szCs w:val="24"/>
                <w:u w:val="none"/>
                <w:lang w:eastAsia="zh-CN"/>
              </w:rPr>
              <w:tab/>
            </w:r>
            <w:r>
              <w:rPr>
                <w:rFonts w:hint="eastAsia" w:ascii="宋体" w:hAnsi="宋体" w:eastAsia="宋体" w:cs="宋体"/>
                <w:i w:val="0"/>
                <w:color w:val="000000"/>
                <w:sz w:val="24"/>
                <w:szCs w:val="24"/>
                <w:u w:val="none"/>
                <w:lang w:val="en-US" w:eastAsia="zh-CN"/>
              </w:rPr>
              <w:t>29万</w:t>
            </w:r>
          </w:p>
        </w:tc>
      </w:tr>
      <w:tr w14:paraId="4BC44B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1733"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F578AC">
            <w:pPr>
              <w:keepNext w:val="0"/>
              <w:keepLines w:val="0"/>
              <w:pageBreakBefore w:val="0"/>
              <w:suppressLineNumbers w:val="0"/>
              <w:kinsoku/>
              <w:wordWrap/>
              <w:overflowPunct/>
              <w:topLinePunct w:val="0"/>
              <w:autoSpaceDE/>
              <w:autoSpaceDN/>
              <w:bidi w:val="0"/>
              <w:adjustRightInd/>
              <w:snapToGrid/>
              <w:spacing w:before="0" w:beforeAutospacing="0" w:after="0" w:afterAutospacing="0" w:line="576" w:lineRule="exact"/>
              <w:ind w:left="0" w:leftChars="0" w:right="0"/>
              <w:rPr>
                <w:rFonts w:hint="eastAsia" w:ascii="宋体" w:hAnsi="宋体" w:eastAsia="宋体" w:cs="宋体"/>
                <w:i w:val="0"/>
                <w:color w:val="000000"/>
                <w:sz w:val="24"/>
                <w:szCs w:val="24"/>
                <w:u w:val="none"/>
              </w:rPr>
            </w:pPr>
          </w:p>
        </w:tc>
        <w:tc>
          <w:tcPr>
            <w:tcW w:w="256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777E7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576" w:lineRule="exact"/>
              <w:ind w:left="0" w:leftChars="0" w:right="0"/>
              <w:jc w:val="left"/>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 xml:space="preserve">     </w:t>
            </w:r>
            <w:r>
              <w:rPr>
                <w:rFonts w:hint="eastAsia" w:ascii="宋体" w:hAnsi="宋体" w:eastAsia="宋体" w:cs="宋体"/>
                <w:i w:val="0"/>
                <w:color w:val="000000"/>
                <w:kern w:val="0"/>
                <w:sz w:val="24"/>
                <w:szCs w:val="24"/>
                <w:u w:val="none"/>
                <w:lang w:val="en-US" w:eastAsia="zh-CN" w:bidi="ar"/>
              </w:rPr>
              <w:t xml:space="preserve"> </w:t>
            </w:r>
            <w:r>
              <w:rPr>
                <w:rFonts w:hint="default" w:ascii="宋体" w:hAnsi="宋体" w:eastAsia="宋体" w:cs="宋体"/>
                <w:i w:val="0"/>
                <w:color w:val="000000"/>
                <w:kern w:val="0"/>
                <w:sz w:val="24"/>
                <w:szCs w:val="24"/>
                <w:u w:val="none"/>
                <w:lang w:val="en-US" w:eastAsia="zh-CN" w:bidi="ar"/>
              </w:rPr>
              <w:t>其中：财政拨款</w:t>
            </w:r>
          </w:p>
        </w:tc>
        <w:tc>
          <w:tcPr>
            <w:tcW w:w="593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0B0353C">
            <w:pPr>
              <w:keepNext w:val="0"/>
              <w:keepLines w:val="0"/>
              <w:pageBreakBefore w:val="0"/>
              <w:suppressLineNumbers w:val="0"/>
              <w:kinsoku/>
              <w:wordWrap/>
              <w:overflowPunct/>
              <w:topLinePunct w:val="0"/>
              <w:autoSpaceDE/>
              <w:autoSpaceDN/>
              <w:bidi w:val="0"/>
              <w:adjustRightInd/>
              <w:snapToGrid/>
              <w:spacing w:before="0" w:beforeAutospacing="0" w:after="0" w:afterAutospacing="0" w:line="576" w:lineRule="exact"/>
              <w:ind w:left="0" w:right="0" w:firstLine="960" w:firstLineChars="400"/>
              <w:jc w:val="both"/>
              <w:rPr>
                <w:rFonts w:hint="default" w:ascii="宋体" w:hAnsi="宋体" w:eastAsia="宋体" w:cs="宋体"/>
                <w:i w:val="0"/>
                <w:color w:val="000000"/>
                <w:sz w:val="24"/>
                <w:szCs w:val="24"/>
                <w:u w:val="none"/>
                <w:lang w:val="en-US" w:eastAsia="zh-CN"/>
              </w:rPr>
            </w:pPr>
            <w:r>
              <w:rPr>
                <w:rFonts w:hint="eastAsia" w:ascii="宋体" w:hAnsi="宋体" w:eastAsia="宋体" w:cs="宋体"/>
                <w:i w:val="0"/>
                <w:color w:val="000000"/>
                <w:sz w:val="24"/>
                <w:szCs w:val="24"/>
                <w:u w:val="none"/>
                <w:lang w:val="en-US" w:eastAsia="zh-CN"/>
              </w:rPr>
              <w:t>29万</w:t>
            </w:r>
          </w:p>
        </w:tc>
      </w:tr>
      <w:tr w14:paraId="65212A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1733"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845E4E">
            <w:pPr>
              <w:keepNext w:val="0"/>
              <w:keepLines w:val="0"/>
              <w:pageBreakBefore w:val="0"/>
              <w:suppressLineNumbers w:val="0"/>
              <w:kinsoku/>
              <w:wordWrap/>
              <w:overflowPunct/>
              <w:topLinePunct w:val="0"/>
              <w:autoSpaceDE/>
              <w:autoSpaceDN/>
              <w:bidi w:val="0"/>
              <w:adjustRightInd/>
              <w:snapToGrid/>
              <w:spacing w:before="0" w:beforeAutospacing="0" w:after="0" w:afterAutospacing="0" w:line="576" w:lineRule="exact"/>
              <w:ind w:left="0" w:leftChars="0" w:right="0"/>
              <w:rPr>
                <w:rFonts w:hint="eastAsia" w:ascii="宋体" w:hAnsi="宋体" w:eastAsia="宋体" w:cs="宋体"/>
                <w:i w:val="0"/>
                <w:color w:val="000000"/>
                <w:sz w:val="24"/>
                <w:szCs w:val="24"/>
                <w:u w:val="none"/>
              </w:rPr>
            </w:pPr>
          </w:p>
        </w:tc>
        <w:tc>
          <w:tcPr>
            <w:tcW w:w="256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47740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576" w:lineRule="exact"/>
              <w:ind w:left="0" w:leftChars="0" w:right="0"/>
              <w:jc w:val="left"/>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 xml:space="preserve">            其他资金</w:t>
            </w:r>
          </w:p>
        </w:tc>
        <w:tc>
          <w:tcPr>
            <w:tcW w:w="5938"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FDB0F6A">
            <w:pPr>
              <w:keepNext w:val="0"/>
              <w:keepLines w:val="0"/>
              <w:pageBreakBefore w:val="0"/>
              <w:suppressLineNumbers w:val="0"/>
              <w:kinsoku/>
              <w:wordWrap/>
              <w:overflowPunct/>
              <w:topLinePunct w:val="0"/>
              <w:autoSpaceDE/>
              <w:autoSpaceDN/>
              <w:bidi w:val="0"/>
              <w:adjustRightInd/>
              <w:snapToGrid/>
              <w:spacing w:before="0" w:beforeAutospacing="0" w:after="0" w:afterAutospacing="0" w:line="576" w:lineRule="exact"/>
              <w:ind w:left="0" w:leftChars="0" w:right="0"/>
              <w:jc w:val="right"/>
              <w:rPr>
                <w:rFonts w:hint="eastAsia" w:ascii="宋体" w:hAnsi="宋体" w:eastAsia="宋体" w:cs="宋体"/>
                <w:i w:val="0"/>
                <w:color w:val="000000"/>
                <w:sz w:val="24"/>
                <w:szCs w:val="24"/>
                <w:u w:val="none"/>
              </w:rPr>
            </w:pPr>
          </w:p>
        </w:tc>
      </w:tr>
      <w:tr w14:paraId="7C0D4D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65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044BE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576" w:lineRule="exact"/>
              <w:ind w:left="0" w:leftChars="0" w:right="0"/>
              <w:jc w:val="center"/>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总体 目标</w:t>
            </w:r>
          </w:p>
        </w:tc>
        <w:tc>
          <w:tcPr>
            <w:tcW w:w="9581"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466CDF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576" w:lineRule="exact"/>
              <w:ind w:left="0" w:leftChars="0" w:right="0"/>
              <w:jc w:val="center"/>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年度目标</w:t>
            </w:r>
          </w:p>
        </w:tc>
      </w:tr>
      <w:tr w14:paraId="09D7CB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621AFA">
            <w:pPr>
              <w:keepNext w:val="0"/>
              <w:keepLines w:val="0"/>
              <w:pageBreakBefore w:val="0"/>
              <w:suppressLineNumbers w:val="0"/>
              <w:kinsoku/>
              <w:wordWrap/>
              <w:overflowPunct/>
              <w:topLinePunct w:val="0"/>
              <w:autoSpaceDE/>
              <w:autoSpaceDN/>
              <w:bidi w:val="0"/>
              <w:adjustRightInd/>
              <w:snapToGrid/>
              <w:spacing w:before="0" w:beforeAutospacing="0" w:after="0" w:afterAutospacing="0" w:line="576" w:lineRule="exact"/>
              <w:ind w:left="0" w:leftChars="0" w:right="0"/>
              <w:jc w:val="center"/>
              <w:rPr>
                <w:rFonts w:hint="eastAsia" w:ascii="宋体" w:hAnsi="宋体" w:eastAsia="宋体" w:cs="宋体"/>
                <w:i w:val="0"/>
                <w:color w:val="000000"/>
                <w:sz w:val="24"/>
                <w:szCs w:val="24"/>
                <w:u w:val="none"/>
              </w:rPr>
            </w:pPr>
          </w:p>
        </w:tc>
        <w:tc>
          <w:tcPr>
            <w:tcW w:w="9581"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720A2702">
            <w:pPr>
              <w:keepNext w:val="0"/>
              <w:keepLines w:val="0"/>
              <w:pageBreakBefore w:val="0"/>
              <w:suppressLineNumbers w:val="0"/>
              <w:kinsoku/>
              <w:wordWrap/>
              <w:overflowPunct/>
              <w:topLinePunct w:val="0"/>
              <w:autoSpaceDE/>
              <w:autoSpaceDN/>
              <w:bidi w:val="0"/>
              <w:adjustRightInd/>
              <w:snapToGrid/>
              <w:spacing w:before="0" w:beforeAutospacing="0" w:after="0" w:afterAutospacing="0" w:line="576" w:lineRule="exact"/>
              <w:ind w:left="0" w:leftChars="0" w:right="0"/>
              <w:jc w:val="center"/>
              <w:rPr>
                <w:rFonts w:hint="eastAsia" w:ascii="宋体" w:hAnsi="宋体" w:eastAsia="宋体" w:cs="宋体"/>
                <w:i w:val="0"/>
                <w:color w:val="000000"/>
                <w:sz w:val="24"/>
                <w:szCs w:val="24"/>
                <w:u w:val="none"/>
                <w:lang w:eastAsia="zh-CN"/>
              </w:rPr>
            </w:pPr>
            <w:r>
              <w:rPr>
                <w:rFonts w:hint="eastAsia" w:ascii="宋体" w:hAnsi="宋体" w:eastAsia="宋体" w:cs="宋体"/>
                <w:i w:val="0"/>
                <w:color w:val="000000"/>
                <w:sz w:val="24"/>
                <w:szCs w:val="24"/>
                <w:u w:val="none"/>
                <w:lang w:eastAsia="zh-CN"/>
              </w:rPr>
              <w:t>编制成渝地区粮食安全保障基地（广元）实施方案</w:t>
            </w:r>
          </w:p>
        </w:tc>
      </w:tr>
      <w:tr w14:paraId="268B6B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652" w:type="dxa"/>
            <w:vMerge w:val="restart"/>
            <w:tcBorders>
              <w:top w:val="single" w:color="000000" w:sz="4" w:space="0"/>
              <w:left w:val="single" w:color="000000" w:sz="4" w:space="0"/>
            </w:tcBorders>
            <w:shd w:val="clear" w:color="auto" w:fill="auto"/>
            <w:vAlign w:val="center"/>
          </w:tcPr>
          <w:p w14:paraId="458C4E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576" w:lineRule="exact"/>
              <w:ind w:left="0" w:leftChars="0" w:right="0"/>
              <w:jc w:val="center"/>
              <w:textAlignment w:val="center"/>
              <w:rPr>
                <w:rFonts w:hint="default" w:ascii="宋体" w:hAnsi="宋体" w:eastAsia="宋体" w:cs="宋体"/>
                <w:i w:val="0"/>
                <w:color w:val="000000"/>
                <w:kern w:val="0"/>
                <w:sz w:val="24"/>
                <w:szCs w:val="24"/>
                <w:u w:val="none"/>
                <w:lang w:val="en-US" w:eastAsia="zh-CN" w:bidi="ar"/>
              </w:rPr>
            </w:pPr>
            <w:r>
              <w:rPr>
                <w:rFonts w:hint="eastAsia" w:ascii="宋体" w:hAnsi="宋体" w:eastAsia="宋体" w:cs="宋体"/>
                <w:i w:val="0"/>
                <w:color w:val="000000"/>
                <w:kern w:val="0"/>
                <w:sz w:val="24"/>
                <w:szCs w:val="24"/>
                <w:u w:val="none"/>
                <w:lang w:val="en-US" w:eastAsia="zh-CN" w:bidi="ar"/>
              </w:rPr>
              <w:t>预算执行情况（10分）</w:t>
            </w:r>
          </w:p>
        </w:tc>
        <w:tc>
          <w:tcPr>
            <w:tcW w:w="10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92AE2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color w:val="000000"/>
                <w:kern w:val="0"/>
                <w:sz w:val="24"/>
                <w:szCs w:val="24"/>
                <w:u w:val="none"/>
                <w:lang w:val="en-US" w:eastAsia="zh-CN" w:bidi="ar"/>
              </w:rPr>
            </w:pPr>
            <w:r>
              <w:rPr>
                <w:rFonts w:hint="default" w:ascii="宋体" w:hAnsi="宋体" w:eastAsia="宋体" w:cs="宋体"/>
                <w:i w:val="0"/>
                <w:color w:val="000000"/>
                <w:kern w:val="0"/>
                <w:sz w:val="18"/>
                <w:szCs w:val="18"/>
                <w:u w:val="none"/>
                <w:lang w:val="en-US" w:eastAsia="zh-CN" w:bidi="ar"/>
              </w:rPr>
              <w:t>年度预算数（万元）</w:t>
            </w:r>
          </w:p>
        </w:tc>
        <w:tc>
          <w:tcPr>
            <w:tcW w:w="12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4F4AD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color w:val="000000"/>
                <w:kern w:val="0"/>
                <w:sz w:val="24"/>
                <w:szCs w:val="24"/>
                <w:u w:val="none"/>
                <w:lang w:val="en-US" w:eastAsia="zh-CN" w:bidi="ar"/>
              </w:rPr>
            </w:pPr>
            <w:r>
              <w:rPr>
                <w:rFonts w:hint="default" w:ascii="宋体" w:hAnsi="宋体" w:eastAsia="宋体" w:cs="宋体"/>
                <w:i w:val="0"/>
                <w:color w:val="000000"/>
                <w:kern w:val="0"/>
                <w:sz w:val="18"/>
                <w:szCs w:val="18"/>
                <w:u w:val="none"/>
                <w:lang w:val="en-US" w:eastAsia="zh-CN" w:bidi="ar"/>
              </w:rPr>
              <w:t>年初预算</w:t>
            </w:r>
          </w:p>
        </w:tc>
        <w:tc>
          <w:tcPr>
            <w:tcW w:w="13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192D5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color w:val="000000"/>
                <w:kern w:val="0"/>
                <w:sz w:val="24"/>
                <w:szCs w:val="24"/>
                <w:u w:val="none"/>
                <w:lang w:val="en-US" w:eastAsia="zh-CN" w:bidi="ar"/>
              </w:rPr>
            </w:pPr>
            <w:r>
              <w:rPr>
                <w:rFonts w:hint="default" w:ascii="宋体" w:hAnsi="宋体" w:eastAsia="宋体" w:cs="宋体"/>
                <w:i w:val="0"/>
                <w:color w:val="000000"/>
                <w:kern w:val="0"/>
                <w:sz w:val="18"/>
                <w:szCs w:val="18"/>
                <w:u w:val="none"/>
                <w:lang w:val="en-US" w:eastAsia="zh-CN" w:bidi="ar"/>
              </w:rPr>
              <w:t>调整后预算数</w:t>
            </w:r>
          </w:p>
        </w:tc>
        <w:tc>
          <w:tcPr>
            <w:tcW w:w="11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6AD2C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color w:val="000000"/>
                <w:kern w:val="0"/>
                <w:sz w:val="24"/>
                <w:szCs w:val="24"/>
                <w:u w:val="none"/>
                <w:lang w:val="en-US" w:eastAsia="zh-CN" w:bidi="ar"/>
              </w:rPr>
            </w:pPr>
            <w:r>
              <w:rPr>
                <w:rFonts w:hint="default" w:ascii="宋体" w:hAnsi="宋体" w:eastAsia="宋体" w:cs="宋体"/>
                <w:i w:val="0"/>
                <w:color w:val="000000"/>
                <w:kern w:val="0"/>
                <w:sz w:val="18"/>
                <w:szCs w:val="18"/>
                <w:u w:val="none"/>
                <w:lang w:val="en-US" w:eastAsia="zh-CN" w:bidi="ar"/>
              </w:rPr>
              <w:t>预算执行数</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7A121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color w:val="000000"/>
                <w:kern w:val="0"/>
                <w:sz w:val="24"/>
                <w:szCs w:val="24"/>
                <w:u w:val="none"/>
                <w:lang w:val="en-US" w:eastAsia="zh-CN" w:bidi="ar"/>
              </w:rPr>
            </w:pPr>
            <w:r>
              <w:rPr>
                <w:rFonts w:hint="default" w:ascii="宋体" w:hAnsi="宋体" w:eastAsia="宋体" w:cs="宋体"/>
                <w:i w:val="0"/>
                <w:color w:val="000000"/>
                <w:kern w:val="0"/>
                <w:sz w:val="18"/>
                <w:szCs w:val="18"/>
                <w:u w:val="none"/>
                <w:lang w:val="en-US" w:eastAsia="zh-CN" w:bidi="ar"/>
              </w:rPr>
              <w:t>预算执行率</w:t>
            </w:r>
          </w:p>
        </w:tc>
        <w:tc>
          <w:tcPr>
            <w:tcW w:w="10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D1BDF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color w:val="000000"/>
                <w:kern w:val="0"/>
                <w:sz w:val="24"/>
                <w:szCs w:val="24"/>
                <w:u w:val="none"/>
                <w:lang w:val="en-US" w:eastAsia="zh-CN" w:bidi="ar"/>
              </w:rPr>
            </w:pPr>
            <w:r>
              <w:rPr>
                <w:rFonts w:hint="default" w:ascii="宋体" w:hAnsi="宋体" w:eastAsia="宋体" w:cs="宋体"/>
                <w:i w:val="0"/>
                <w:color w:val="000000"/>
                <w:kern w:val="0"/>
                <w:sz w:val="18"/>
                <w:szCs w:val="18"/>
                <w:u w:val="none"/>
                <w:lang w:val="en-US" w:eastAsia="zh-CN" w:bidi="ar"/>
              </w:rPr>
              <w:t>权重</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16EE7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color w:val="000000"/>
                <w:kern w:val="0"/>
                <w:sz w:val="24"/>
                <w:szCs w:val="24"/>
                <w:u w:val="none"/>
                <w:lang w:val="en-US" w:eastAsia="zh-CN" w:bidi="ar"/>
              </w:rPr>
            </w:pPr>
            <w:r>
              <w:rPr>
                <w:rFonts w:hint="default" w:ascii="宋体" w:hAnsi="宋体" w:eastAsia="宋体" w:cs="宋体"/>
                <w:i w:val="0"/>
                <w:color w:val="auto"/>
                <w:kern w:val="0"/>
                <w:sz w:val="18"/>
                <w:szCs w:val="18"/>
                <w:u w:val="none"/>
                <w:lang w:val="en-US" w:eastAsia="zh-CN" w:bidi="ar"/>
              </w:rPr>
              <w:t>得分</w:t>
            </w:r>
          </w:p>
        </w:tc>
        <w:tc>
          <w:tcPr>
            <w:tcW w:w="18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9036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576" w:lineRule="exact"/>
              <w:ind w:left="0" w:leftChars="0" w:right="0"/>
              <w:jc w:val="center"/>
              <w:textAlignment w:val="center"/>
              <w:rPr>
                <w:rFonts w:hint="eastAsia" w:ascii="宋体" w:hAnsi="宋体" w:eastAsia="宋体" w:cs="宋体"/>
                <w:i w:val="0"/>
                <w:color w:val="000000"/>
                <w:kern w:val="0"/>
                <w:sz w:val="24"/>
                <w:szCs w:val="24"/>
                <w:u w:val="none"/>
                <w:lang w:val="en-US" w:eastAsia="zh-CN" w:bidi="ar"/>
              </w:rPr>
            </w:pPr>
            <w:r>
              <w:rPr>
                <w:rFonts w:hint="eastAsia" w:ascii="宋体" w:hAnsi="宋体" w:eastAsia="宋体" w:cs="宋体"/>
                <w:i w:val="0"/>
                <w:color w:val="auto"/>
                <w:kern w:val="0"/>
                <w:sz w:val="18"/>
                <w:szCs w:val="18"/>
                <w:u w:val="none"/>
                <w:lang w:val="en-US" w:eastAsia="zh-CN" w:bidi="ar"/>
              </w:rPr>
              <w:t>备注</w:t>
            </w:r>
          </w:p>
        </w:tc>
      </w:tr>
      <w:tr w14:paraId="3CC50A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652" w:type="dxa"/>
            <w:vMerge w:val="continue"/>
            <w:tcBorders>
              <w:left w:val="single" w:color="000000" w:sz="4" w:space="0"/>
            </w:tcBorders>
            <w:shd w:val="clear" w:color="auto" w:fill="auto"/>
            <w:vAlign w:val="center"/>
          </w:tcPr>
          <w:p w14:paraId="37E0F8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576" w:lineRule="exact"/>
              <w:ind w:left="0" w:leftChars="0" w:right="0"/>
              <w:jc w:val="center"/>
              <w:textAlignment w:val="center"/>
              <w:rPr>
                <w:rFonts w:hint="default" w:ascii="宋体" w:hAnsi="宋体" w:eastAsia="宋体" w:cs="宋体"/>
                <w:i w:val="0"/>
                <w:color w:val="000000"/>
                <w:kern w:val="0"/>
                <w:sz w:val="24"/>
                <w:szCs w:val="24"/>
                <w:u w:val="none"/>
                <w:lang w:val="en-US" w:eastAsia="zh-CN" w:bidi="ar"/>
              </w:rPr>
            </w:pPr>
          </w:p>
        </w:tc>
        <w:tc>
          <w:tcPr>
            <w:tcW w:w="10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A23FC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color w:val="000000"/>
                <w:kern w:val="0"/>
                <w:sz w:val="24"/>
                <w:szCs w:val="24"/>
                <w:u w:val="none"/>
                <w:lang w:val="en-US" w:eastAsia="zh-CN" w:bidi="ar"/>
              </w:rPr>
            </w:pPr>
            <w:r>
              <w:rPr>
                <w:rFonts w:hint="default" w:ascii="宋体" w:hAnsi="宋体" w:eastAsia="宋体" w:cs="宋体"/>
                <w:i w:val="0"/>
                <w:color w:val="000000"/>
                <w:kern w:val="0"/>
                <w:sz w:val="18"/>
                <w:szCs w:val="18"/>
                <w:u w:val="none"/>
                <w:lang w:val="en-US" w:eastAsia="zh-CN" w:bidi="ar"/>
              </w:rPr>
              <w:t>总额</w:t>
            </w:r>
          </w:p>
        </w:tc>
        <w:tc>
          <w:tcPr>
            <w:tcW w:w="12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6A7F2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color w:val="000000"/>
                <w:kern w:val="0"/>
                <w:sz w:val="24"/>
                <w:szCs w:val="24"/>
                <w:u w:val="none"/>
                <w:lang w:val="en-US" w:eastAsia="zh-CN" w:bidi="ar"/>
              </w:rPr>
            </w:pPr>
            <w:r>
              <w:rPr>
                <w:rFonts w:hint="eastAsia" w:ascii="宋体" w:hAnsi="宋体" w:eastAsia="宋体" w:cs="宋体"/>
                <w:i w:val="0"/>
                <w:color w:val="000000"/>
                <w:kern w:val="0"/>
                <w:sz w:val="18"/>
                <w:szCs w:val="18"/>
                <w:u w:val="none"/>
                <w:lang w:val="en-US" w:eastAsia="zh-CN" w:bidi="ar"/>
              </w:rPr>
              <w:t>29</w:t>
            </w:r>
          </w:p>
        </w:tc>
        <w:tc>
          <w:tcPr>
            <w:tcW w:w="13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44809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color w:val="000000"/>
                <w:kern w:val="0"/>
                <w:sz w:val="24"/>
                <w:szCs w:val="24"/>
                <w:u w:val="none"/>
                <w:lang w:val="en-US" w:eastAsia="zh-CN" w:bidi="ar"/>
              </w:rPr>
            </w:pPr>
            <w:r>
              <w:rPr>
                <w:rFonts w:hint="eastAsia" w:ascii="宋体" w:hAnsi="宋体" w:eastAsia="宋体" w:cs="宋体"/>
                <w:i w:val="0"/>
                <w:color w:val="000000"/>
                <w:kern w:val="0"/>
                <w:sz w:val="18"/>
                <w:szCs w:val="18"/>
                <w:u w:val="none"/>
                <w:lang w:val="en-US" w:eastAsia="zh-CN" w:bidi="ar"/>
              </w:rPr>
              <w:t>29</w:t>
            </w:r>
          </w:p>
        </w:tc>
        <w:tc>
          <w:tcPr>
            <w:tcW w:w="11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B29E3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color w:val="000000"/>
                <w:kern w:val="0"/>
                <w:sz w:val="24"/>
                <w:szCs w:val="24"/>
                <w:u w:val="none"/>
                <w:lang w:val="en-US" w:eastAsia="zh-CN" w:bidi="ar"/>
              </w:rPr>
            </w:pPr>
            <w:r>
              <w:rPr>
                <w:rFonts w:hint="eastAsia" w:ascii="宋体" w:hAnsi="宋体" w:eastAsia="宋体" w:cs="宋体"/>
                <w:i w:val="0"/>
                <w:color w:val="000000"/>
                <w:kern w:val="0"/>
                <w:sz w:val="18"/>
                <w:szCs w:val="18"/>
                <w:u w:val="none"/>
                <w:lang w:val="en-US" w:eastAsia="zh-CN" w:bidi="ar"/>
              </w:rPr>
              <w:t>29</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A6EA3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color w:val="000000"/>
                <w:kern w:val="0"/>
                <w:sz w:val="24"/>
                <w:szCs w:val="24"/>
                <w:u w:val="none"/>
                <w:lang w:val="en-US" w:eastAsia="zh-CN" w:bidi="ar"/>
              </w:rPr>
            </w:pPr>
            <w:r>
              <w:rPr>
                <w:rFonts w:hint="default" w:ascii="宋体" w:hAnsi="宋体" w:eastAsia="宋体" w:cs="宋体"/>
                <w:i w:val="0"/>
                <w:color w:val="000000"/>
                <w:kern w:val="0"/>
                <w:sz w:val="18"/>
                <w:szCs w:val="18"/>
                <w:u w:val="none"/>
                <w:lang w:val="en-US" w:eastAsia="zh-CN" w:bidi="ar"/>
              </w:rPr>
              <w:t>100.00%</w:t>
            </w:r>
          </w:p>
        </w:tc>
        <w:tc>
          <w:tcPr>
            <w:tcW w:w="10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CEB09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color w:val="000000"/>
                <w:kern w:val="0"/>
                <w:sz w:val="24"/>
                <w:szCs w:val="24"/>
                <w:u w:val="none"/>
                <w:lang w:val="en-US" w:eastAsia="zh-CN" w:bidi="ar"/>
              </w:rPr>
            </w:pPr>
            <w:r>
              <w:rPr>
                <w:rFonts w:hint="default" w:ascii="宋体" w:hAnsi="宋体" w:eastAsia="宋体" w:cs="宋体"/>
                <w:i w:val="0"/>
                <w:color w:val="000000"/>
                <w:kern w:val="0"/>
                <w:sz w:val="18"/>
                <w:szCs w:val="18"/>
                <w:u w:val="none"/>
                <w:lang w:val="en-US" w:eastAsia="zh-CN" w:bidi="ar"/>
              </w:rPr>
              <w:t>10</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3ED3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576" w:lineRule="exact"/>
              <w:ind w:left="0" w:leftChars="0" w:right="0"/>
              <w:jc w:val="center"/>
              <w:textAlignment w:val="center"/>
              <w:rPr>
                <w:rFonts w:hint="eastAsia" w:ascii="宋体" w:hAnsi="宋体" w:eastAsia="宋体" w:cs="宋体"/>
                <w:i w:val="0"/>
                <w:color w:val="auto"/>
                <w:kern w:val="0"/>
                <w:sz w:val="18"/>
                <w:szCs w:val="18"/>
                <w:u w:val="none"/>
                <w:lang w:val="en-US" w:eastAsia="zh-CN" w:bidi="ar"/>
              </w:rPr>
            </w:pPr>
            <w:r>
              <w:rPr>
                <w:rFonts w:hint="eastAsia" w:ascii="宋体" w:hAnsi="宋体" w:eastAsia="宋体" w:cs="宋体"/>
                <w:i w:val="0"/>
                <w:color w:val="auto"/>
                <w:kern w:val="0"/>
                <w:sz w:val="18"/>
                <w:szCs w:val="18"/>
                <w:u w:val="none"/>
                <w:lang w:val="en-US" w:eastAsia="zh-CN" w:bidi="ar"/>
              </w:rPr>
              <w:t>10</w:t>
            </w:r>
          </w:p>
        </w:tc>
        <w:tc>
          <w:tcPr>
            <w:tcW w:w="1841" w:type="dxa"/>
            <w:vMerge w:val="restart"/>
            <w:tcBorders>
              <w:top w:val="single" w:color="000000" w:sz="4" w:space="0"/>
              <w:left w:val="single" w:color="000000" w:sz="4" w:space="0"/>
              <w:right w:val="single" w:color="000000" w:sz="4" w:space="0"/>
            </w:tcBorders>
            <w:shd w:val="clear" w:color="auto" w:fill="auto"/>
            <w:vAlign w:val="center"/>
          </w:tcPr>
          <w:p w14:paraId="6DC723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576" w:lineRule="exact"/>
              <w:ind w:left="0" w:leftChars="0" w:right="0"/>
              <w:jc w:val="center"/>
              <w:textAlignment w:val="center"/>
              <w:rPr>
                <w:rFonts w:hint="eastAsia" w:ascii="宋体" w:hAnsi="宋体" w:eastAsia="宋体" w:cs="宋体"/>
                <w:i w:val="0"/>
                <w:color w:val="auto"/>
                <w:kern w:val="0"/>
                <w:sz w:val="18"/>
                <w:szCs w:val="18"/>
                <w:u w:val="none"/>
                <w:lang w:val="en-US" w:eastAsia="zh-CN" w:bidi="ar"/>
              </w:rPr>
            </w:pPr>
          </w:p>
        </w:tc>
      </w:tr>
      <w:tr w14:paraId="22EB8C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652" w:type="dxa"/>
            <w:vMerge w:val="continue"/>
            <w:tcBorders>
              <w:left w:val="single" w:color="000000" w:sz="4" w:space="0"/>
            </w:tcBorders>
            <w:shd w:val="clear" w:color="auto" w:fill="auto"/>
            <w:vAlign w:val="center"/>
          </w:tcPr>
          <w:p w14:paraId="69D880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576" w:lineRule="exact"/>
              <w:ind w:left="0" w:leftChars="0" w:right="0"/>
              <w:jc w:val="center"/>
              <w:textAlignment w:val="center"/>
              <w:rPr>
                <w:rFonts w:hint="default" w:ascii="宋体" w:hAnsi="宋体" w:eastAsia="宋体" w:cs="宋体"/>
                <w:i w:val="0"/>
                <w:color w:val="000000"/>
                <w:kern w:val="0"/>
                <w:sz w:val="24"/>
                <w:szCs w:val="24"/>
                <w:u w:val="none"/>
                <w:lang w:val="en-US" w:eastAsia="zh-CN" w:bidi="ar"/>
              </w:rPr>
            </w:pPr>
          </w:p>
        </w:tc>
        <w:tc>
          <w:tcPr>
            <w:tcW w:w="10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BD0E3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color w:val="000000"/>
                <w:kern w:val="0"/>
                <w:sz w:val="24"/>
                <w:szCs w:val="24"/>
                <w:u w:val="none"/>
                <w:lang w:val="en-US" w:eastAsia="zh-CN" w:bidi="ar"/>
              </w:rPr>
            </w:pPr>
            <w:r>
              <w:rPr>
                <w:rFonts w:hint="default" w:ascii="宋体" w:hAnsi="宋体" w:eastAsia="宋体" w:cs="宋体"/>
                <w:i w:val="0"/>
                <w:color w:val="000000"/>
                <w:kern w:val="0"/>
                <w:sz w:val="18"/>
                <w:szCs w:val="18"/>
                <w:u w:val="none"/>
                <w:lang w:val="en-US" w:eastAsia="zh-CN" w:bidi="ar"/>
              </w:rPr>
              <w:t>其中：财政资金</w:t>
            </w:r>
          </w:p>
        </w:tc>
        <w:tc>
          <w:tcPr>
            <w:tcW w:w="12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43869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color w:val="000000"/>
                <w:kern w:val="0"/>
                <w:sz w:val="24"/>
                <w:szCs w:val="24"/>
                <w:u w:val="none"/>
                <w:lang w:val="en-US" w:eastAsia="zh-CN" w:bidi="ar"/>
              </w:rPr>
            </w:pPr>
            <w:r>
              <w:rPr>
                <w:rFonts w:hint="eastAsia" w:ascii="宋体" w:hAnsi="宋体" w:eastAsia="宋体" w:cs="宋体"/>
                <w:i w:val="0"/>
                <w:color w:val="000000"/>
                <w:kern w:val="0"/>
                <w:sz w:val="18"/>
                <w:szCs w:val="18"/>
                <w:u w:val="none"/>
                <w:lang w:val="en-US" w:eastAsia="zh-CN" w:bidi="ar"/>
              </w:rPr>
              <w:t>29</w:t>
            </w:r>
          </w:p>
        </w:tc>
        <w:tc>
          <w:tcPr>
            <w:tcW w:w="13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2273B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color w:val="000000"/>
                <w:kern w:val="0"/>
                <w:sz w:val="24"/>
                <w:szCs w:val="24"/>
                <w:u w:val="none"/>
                <w:lang w:val="en-US" w:eastAsia="zh-CN" w:bidi="ar"/>
              </w:rPr>
            </w:pPr>
            <w:r>
              <w:rPr>
                <w:rFonts w:hint="eastAsia" w:ascii="宋体" w:hAnsi="宋体" w:eastAsia="宋体" w:cs="宋体"/>
                <w:i w:val="0"/>
                <w:color w:val="000000"/>
                <w:kern w:val="0"/>
                <w:sz w:val="18"/>
                <w:szCs w:val="18"/>
                <w:u w:val="none"/>
                <w:lang w:val="en-US" w:eastAsia="zh-CN" w:bidi="ar"/>
              </w:rPr>
              <w:t>29</w:t>
            </w:r>
          </w:p>
        </w:tc>
        <w:tc>
          <w:tcPr>
            <w:tcW w:w="11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0A077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color w:val="000000"/>
                <w:kern w:val="0"/>
                <w:sz w:val="24"/>
                <w:szCs w:val="24"/>
                <w:u w:val="none"/>
                <w:lang w:val="en-US" w:eastAsia="zh-CN" w:bidi="ar"/>
              </w:rPr>
            </w:pPr>
            <w:r>
              <w:rPr>
                <w:rFonts w:hint="eastAsia" w:ascii="宋体" w:hAnsi="宋体" w:eastAsia="宋体" w:cs="宋体"/>
                <w:i w:val="0"/>
                <w:color w:val="000000"/>
                <w:kern w:val="0"/>
                <w:sz w:val="18"/>
                <w:szCs w:val="18"/>
                <w:u w:val="none"/>
                <w:lang w:val="en-US" w:eastAsia="zh-CN" w:bidi="ar"/>
              </w:rPr>
              <w:t>29</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066D1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color w:val="000000"/>
                <w:kern w:val="0"/>
                <w:sz w:val="24"/>
                <w:szCs w:val="24"/>
                <w:u w:val="none"/>
                <w:lang w:val="en-US" w:eastAsia="zh-CN" w:bidi="ar"/>
              </w:rPr>
            </w:pPr>
            <w:r>
              <w:rPr>
                <w:rFonts w:hint="default" w:ascii="宋体" w:hAnsi="宋体" w:eastAsia="宋体" w:cs="宋体"/>
                <w:i w:val="0"/>
                <w:color w:val="000000"/>
                <w:kern w:val="0"/>
                <w:sz w:val="18"/>
                <w:szCs w:val="18"/>
                <w:u w:val="none"/>
                <w:lang w:val="en-US" w:eastAsia="zh-CN" w:bidi="ar"/>
              </w:rPr>
              <w:t>100.00%</w:t>
            </w:r>
          </w:p>
        </w:tc>
        <w:tc>
          <w:tcPr>
            <w:tcW w:w="10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8F51B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color w:val="000000"/>
                <w:kern w:val="0"/>
                <w:sz w:val="24"/>
                <w:szCs w:val="24"/>
                <w:u w:val="none"/>
                <w:lang w:val="en-US" w:eastAsia="zh-CN" w:bidi="ar"/>
              </w:rPr>
            </w:pPr>
            <w:r>
              <w:rPr>
                <w:rFonts w:hint="default" w:ascii="宋体" w:hAnsi="宋体" w:eastAsia="宋体" w:cs="宋体"/>
                <w:i w:val="0"/>
                <w:color w:val="000000"/>
                <w:kern w:val="0"/>
                <w:sz w:val="18"/>
                <w:szCs w:val="18"/>
                <w:u w:val="none"/>
                <w:lang w:val="en-US" w:eastAsia="zh-CN" w:bidi="ar"/>
              </w:rPr>
              <w:t>/</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489D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576" w:lineRule="exact"/>
              <w:ind w:left="0" w:leftChars="0" w:right="0"/>
              <w:jc w:val="center"/>
              <w:textAlignment w:val="center"/>
              <w:rPr>
                <w:rFonts w:hint="eastAsia" w:ascii="宋体" w:hAnsi="宋体" w:eastAsia="宋体" w:cs="宋体"/>
                <w:i w:val="0"/>
                <w:color w:val="auto"/>
                <w:kern w:val="0"/>
                <w:sz w:val="18"/>
                <w:szCs w:val="18"/>
                <w:u w:val="none"/>
                <w:lang w:val="en-US" w:eastAsia="zh-CN" w:bidi="ar"/>
              </w:rPr>
            </w:pPr>
            <w:r>
              <w:rPr>
                <w:rFonts w:hint="eastAsia" w:ascii="宋体" w:hAnsi="宋体" w:eastAsia="宋体" w:cs="宋体"/>
                <w:i w:val="0"/>
                <w:color w:val="auto"/>
                <w:kern w:val="0"/>
                <w:sz w:val="18"/>
                <w:szCs w:val="18"/>
                <w:u w:val="none"/>
                <w:lang w:val="en-US" w:eastAsia="zh-CN" w:bidi="ar"/>
              </w:rPr>
              <w:t>/</w:t>
            </w:r>
          </w:p>
        </w:tc>
        <w:tc>
          <w:tcPr>
            <w:tcW w:w="1841" w:type="dxa"/>
            <w:vMerge w:val="continue"/>
            <w:tcBorders>
              <w:left w:val="single" w:color="000000" w:sz="4" w:space="0"/>
              <w:right w:val="single" w:color="000000" w:sz="4" w:space="0"/>
            </w:tcBorders>
            <w:shd w:val="clear" w:color="auto" w:fill="auto"/>
            <w:vAlign w:val="center"/>
          </w:tcPr>
          <w:p w14:paraId="3A06E2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576" w:lineRule="exact"/>
              <w:ind w:left="0" w:leftChars="0" w:right="0"/>
              <w:jc w:val="center"/>
              <w:textAlignment w:val="center"/>
              <w:rPr>
                <w:rFonts w:hint="eastAsia" w:ascii="宋体" w:hAnsi="宋体" w:eastAsia="宋体" w:cs="宋体"/>
                <w:i w:val="0"/>
                <w:color w:val="auto"/>
                <w:kern w:val="0"/>
                <w:sz w:val="18"/>
                <w:szCs w:val="18"/>
                <w:u w:val="none"/>
                <w:lang w:val="en-US" w:eastAsia="zh-CN" w:bidi="ar"/>
              </w:rPr>
            </w:pPr>
          </w:p>
        </w:tc>
      </w:tr>
      <w:tr w14:paraId="3E6389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652" w:type="dxa"/>
            <w:vMerge w:val="continue"/>
            <w:tcBorders>
              <w:left w:val="single" w:color="000000" w:sz="4" w:space="0"/>
            </w:tcBorders>
            <w:shd w:val="clear" w:color="auto" w:fill="auto"/>
            <w:vAlign w:val="center"/>
          </w:tcPr>
          <w:p w14:paraId="062A13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576" w:lineRule="exact"/>
              <w:ind w:left="0" w:leftChars="0" w:right="0"/>
              <w:jc w:val="center"/>
              <w:textAlignment w:val="center"/>
              <w:rPr>
                <w:rFonts w:hint="default" w:ascii="宋体" w:hAnsi="宋体" w:eastAsia="宋体" w:cs="宋体"/>
                <w:i w:val="0"/>
                <w:color w:val="000000"/>
                <w:kern w:val="0"/>
                <w:sz w:val="24"/>
                <w:szCs w:val="24"/>
                <w:u w:val="none"/>
                <w:lang w:val="en-US" w:eastAsia="zh-CN" w:bidi="ar"/>
              </w:rPr>
            </w:pPr>
          </w:p>
        </w:tc>
        <w:tc>
          <w:tcPr>
            <w:tcW w:w="10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F686B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color w:val="000000"/>
                <w:kern w:val="0"/>
                <w:sz w:val="24"/>
                <w:szCs w:val="24"/>
                <w:u w:val="none"/>
                <w:lang w:val="en-US" w:eastAsia="zh-CN" w:bidi="ar"/>
              </w:rPr>
            </w:pPr>
            <w:r>
              <w:rPr>
                <w:rFonts w:hint="default" w:ascii="宋体" w:hAnsi="宋体" w:eastAsia="宋体" w:cs="宋体"/>
                <w:i w:val="0"/>
                <w:color w:val="000000"/>
                <w:kern w:val="0"/>
                <w:sz w:val="18"/>
                <w:szCs w:val="18"/>
                <w:u w:val="none"/>
                <w:lang w:val="en-US" w:eastAsia="zh-CN" w:bidi="ar"/>
              </w:rPr>
              <w:t>财政专户管理资金</w:t>
            </w:r>
          </w:p>
        </w:tc>
        <w:tc>
          <w:tcPr>
            <w:tcW w:w="12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BF839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color w:val="000000"/>
                <w:kern w:val="0"/>
                <w:sz w:val="24"/>
                <w:szCs w:val="24"/>
                <w:u w:val="none"/>
                <w:lang w:val="en-US" w:eastAsia="zh-CN" w:bidi="ar"/>
              </w:rPr>
            </w:pPr>
            <w:r>
              <w:rPr>
                <w:rFonts w:hint="default" w:ascii="宋体" w:hAnsi="宋体" w:eastAsia="宋体" w:cs="宋体"/>
                <w:i w:val="0"/>
                <w:color w:val="000000"/>
                <w:kern w:val="0"/>
                <w:sz w:val="18"/>
                <w:szCs w:val="18"/>
                <w:u w:val="none"/>
                <w:lang w:val="en-US" w:eastAsia="zh-CN" w:bidi="ar"/>
              </w:rPr>
              <w:t>0.00</w:t>
            </w:r>
          </w:p>
        </w:tc>
        <w:tc>
          <w:tcPr>
            <w:tcW w:w="13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F20E1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color w:val="000000"/>
                <w:kern w:val="0"/>
                <w:sz w:val="24"/>
                <w:szCs w:val="24"/>
                <w:u w:val="none"/>
                <w:lang w:val="en-US" w:eastAsia="zh-CN" w:bidi="ar"/>
              </w:rPr>
            </w:pPr>
            <w:r>
              <w:rPr>
                <w:rFonts w:hint="default" w:ascii="宋体" w:hAnsi="宋体" w:eastAsia="宋体" w:cs="宋体"/>
                <w:i w:val="0"/>
                <w:color w:val="000000"/>
                <w:kern w:val="0"/>
                <w:sz w:val="18"/>
                <w:szCs w:val="18"/>
                <w:u w:val="none"/>
                <w:lang w:val="en-US" w:eastAsia="zh-CN" w:bidi="ar"/>
              </w:rPr>
              <w:t>0.00</w:t>
            </w:r>
          </w:p>
        </w:tc>
        <w:tc>
          <w:tcPr>
            <w:tcW w:w="11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5C895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color w:val="000000"/>
                <w:kern w:val="0"/>
                <w:sz w:val="24"/>
                <w:szCs w:val="24"/>
                <w:u w:val="none"/>
                <w:lang w:val="en-US" w:eastAsia="zh-CN" w:bidi="ar"/>
              </w:rPr>
            </w:pPr>
            <w:r>
              <w:rPr>
                <w:rFonts w:hint="default" w:ascii="宋体" w:hAnsi="宋体" w:eastAsia="宋体" w:cs="宋体"/>
                <w:i w:val="0"/>
                <w:color w:val="000000"/>
                <w:kern w:val="0"/>
                <w:sz w:val="18"/>
                <w:szCs w:val="18"/>
                <w:u w:val="none"/>
                <w:lang w:val="en-US" w:eastAsia="zh-CN" w:bidi="ar"/>
              </w:rPr>
              <w:t>0.00</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58BE8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color w:val="000000"/>
                <w:kern w:val="0"/>
                <w:sz w:val="24"/>
                <w:szCs w:val="24"/>
                <w:u w:val="none"/>
                <w:lang w:val="en-US" w:eastAsia="zh-CN" w:bidi="ar"/>
              </w:rPr>
            </w:pPr>
            <w:r>
              <w:rPr>
                <w:rFonts w:hint="default" w:ascii="宋体" w:hAnsi="宋体" w:eastAsia="宋体" w:cs="宋体"/>
                <w:i w:val="0"/>
                <w:color w:val="000000"/>
                <w:kern w:val="0"/>
                <w:sz w:val="18"/>
                <w:szCs w:val="18"/>
                <w:u w:val="none"/>
                <w:lang w:val="en-US" w:eastAsia="zh-CN" w:bidi="ar"/>
              </w:rPr>
              <w:t>0.00%</w:t>
            </w:r>
          </w:p>
        </w:tc>
        <w:tc>
          <w:tcPr>
            <w:tcW w:w="10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E214F7">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color w:val="000000"/>
                <w:kern w:val="0"/>
                <w:sz w:val="24"/>
                <w:szCs w:val="24"/>
                <w:u w:val="none"/>
                <w:lang w:val="en-US" w:eastAsia="zh-CN" w:bidi="ar"/>
              </w:rPr>
            </w:pPr>
            <w:r>
              <w:rPr>
                <w:rFonts w:hint="default" w:ascii="宋体" w:hAnsi="宋体" w:eastAsia="宋体" w:cs="宋体"/>
                <w:i w:val="0"/>
                <w:color w:val="000000"/>
                <w:kern w:val="0"/>
                <w:sz w:val="18"/>
                <w:szCs w:val="18"/>
                <w:u w:val="none"/>
                <w:lang w:val="en-US" w:eastAsia="zh-CN" w:bidi="ar"/>
              </w:rPr>
              <w:t>/</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1F43B9">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color w:val="000000"/>
                <w:kern w:val="0"/>
                <w:sz w:val="24"/>
                <w:szCs w:val="24"/>
                <w:u w:val="none"/>
                <w:lang w:val="en-US" w:eastAsia="zh-CN" w:bidi="ar"/>
              </w:rPr>
            </w:pPr>
            <w:r>
              <w:rPr>
                <w:rFonts w:hint="default" w:ascii="宋体" w:hAnsi="宋体" w:eastAsia="宋体" w:cs="宋体"/>
                <w:i w:val="0"/>
                <w:color w:val="000000"/>
                <w:kern w:val="0"/>
                <w:sz w:val="18"/>
                <w:szCs w:val="18"/>
                <w:u w:val="none"/>
                <w:lang w:val="en-US" w:eastAsia="zh-CN" w:bidi="ar"/>
              </w:rPr>
              <w:t>/</w:t>
            </w:r>
          </w:p>
        </w:tc>
        <w:tc>
          <w:tcPr>
            <w:tcW w:w="1841" w:type="dxa"/>
            <w:vMerge w:val="continue"/>
            <w:tcBorders>
              <w:left w:val="single" w:color="000000" w:sz="4" w:space="0"/>
              <w:right w:val="single" w:color="000000" w:sz="4" w:space="0"/>
            </w:tcBorders>
            <w:shd w:val="clear" w:color="auto" w:fill="auto"/>
            <w:vAlign w:val="center"/>
          </w:tcPr>
          <w:p w14:paraId="764015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576" w:lineRule="exact"/>
              <w:ind w:left="0" w:leftChars="0" w:right="0"/>
              <w:jc w:val="center"/>
              <w:textAlignment w:val="center"/>
              <w:rPr>
                <w:rFonts w:hint="eastAsia" w:ascii="宋体" w:hAnsi="宋体" w:eastAsia="宋体" w:cs="宋体"/>
                <w:i w:val="0"/>
                <w:color w:val="000000"/>
                <w:kern w:val="0"/>
                <w:sz w:val="24"/>
                <w:szCs w:val="24"/>
                <w:u w:val="none"/>
                <w:lang w:val="en-US" w:eastAsia="zh-CN" w:bidi="ar"/>
              </w:rPr>
            </w:pPr>
          </w:p>
        </w:tc>
      </w:tr>
      <w:tr w14:paraId="216242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652" w:type="dxa"/>
            <w:vMerge w:val="continue"/>
            <w:tcBorders>
              <w:left w:val="single" w:color="000000" w:sz="4" w:space="0"/>
            </w:tcBorders>
            <w:shd w:val="clear" w:color="auto" w:fill="auto"/>
            <w:vAlign w:val="center"/>
          </w:tcPr>
          <w:p w14:paraId="1EEBE7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576" w:lineRule="exact"/>
              <w:ind w:left="0" w:leftChars="0" w:right="0"/>
              <w:jc w:val="center"/>
              <w:textAlignment w:val="center"/>
              <w:rPr>
                <w:rFonts w:hint="default" w:ascii="宋体" w:hAnsi="宋体" w:eastAsia="宋体" w:cs="宋体"/>
                <w:i w:val="0"/>
                <w:color w:val="000000"/>
                <w:kern w:val="0"/>
                <w:sz w:val="24"/>
                <w:szCs w:val="24"/>
                <w:u w:val="none"/>
                <w:lang w:val="en-US" w:eastAsia="zh-CN" w:bidi="ar"/>
              </w:rPr>
            </w:pPr>
          </w:p>
        </w:tc>
        <w:tc>
          <w:tcPr>
            <w:tcW w:w="10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C3475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color w:val="000000"/>
                <w:kern w:val="0"/>
                <w:sz w:val="24"/>
                <w:szCs w:val="24"/>
                <w:u w:val="none"/>
                <w:lang w:val="en-US" w:eastAsia="zh-CN" w:bidi="ar"/>
              </w:rPr>
            </w:pPr>
            <w:r>
              <w:rPr>
                <w:rFonts w:hint="default" w:ascii="宋体" w:hAnsi="宋体" w:eastAsia="宋体" w:cs="宋体"/>
                <w:i w:val="0"/>
                <w:color w:val="000000"/>
                <w:kern w:val="0"/>
                <w:sz w:val="18"/>
                <w:szCs w:val="18"/>
                <w:u w:val="none"/>
                <w:lang w:val="en-US" w:eastAsia="zh-CN" w:bidi="ar"/>
              </w:rPr>
              <w:t>单位资金</w:t>
            </w:r>
          </w:p>
        </w:tc>
        <w:tc>
          <w:tcPr>
            <w:tcW w:w="12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141FBA">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color w:val="000000"/>
                <w:kern w:val="0"/>
                <w:sz w:val="24"/>
                <w:szCs w:val="24"/>
                <w:u w:val="none"/>
                <w:lang w:val="en-US" w:eastAsia="zh-CN" w:bidi="ar"/>
              </w:rPr>
            </w:pPr>
            <w:r>
              <w:rPr>
                <w:rFonts w:hint="default" w:ascii="宋体" w:hAnsi="宋体" w:eastAsia="宋体" w:cs="宋体"/>
                <w:i w:val="0"/>
                <w:color w:val="000000"/>
                <w:kern w:val="0"/>
                <w:sz w:val="18"/>
                <w:szCs w:val="18"/>
                <w:u w:val="none"/>
                <w:lang w:val="en-US" w:eastAsia="zh-CN" w:bidi="ar"/>
              </w:rPr>
              <w:t>0.00</w:t>
            </w:r>
          </w:p>
        </w:tc>
        <w:tc>
          <w:tcPr>
            <w:tcW w:w="13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3FA764">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color w:val="000000"/>
                <w:kern w:val="0"/>
                <w:sz w:val="24"/>
                <w:szCs w:val="24"/>
                <w:u w:val="none"/>
                <w:lang w:val="en-US" w:eastAsia="zh-CN" w:bidi="ar"/>
              </w:rPr>
            </w:pPr>
            <w:r>
              <w:rPr>
                <w:rFonts w:hint="default" w:ascii="宋体" w:hAnsi="宋体" w:eastAsia="宋体" w:cs="宋体"/>
                <w:i w:val="0"/>
                <w:color w:val="000000"/>
                <w:kern w:val="0"/>
                <w:sz w:val="18"/>
                <w:szCs w:val="18"/>
                <w:u w:val="none"/>
                <w:lang w:val="en-US" w:eastAsia="zh-CN" w:bidi="ar"/>
              </w:rPr>
              <w:t>0.00</w:t>
            </w:r>
          </w:p>
        </w:tc>
        <w:tc>
          <w:tcPr>
            <w:tcW w:w="11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169FD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color w:val="000000"/>
                <w:kern w:val="0"/>
                <w:sz w:val="24"/>
                <w:szCs w:val="24"/>
                <w:u w:val="none"/>
                <w:lang w:val="en-US" w:eastAsia="zh-CN" w:bidi="ar"/>
              </w:rPr>
            </w:pPr>
            <w:r>
              <w:rPr>
                <w:rFonts w:hint="default" w:ascii="宋体" w:hAnsi="宋体" w:eastAsia="宋体" w:cs="宋体"/>
                <w:i w:val="0"/>
                <w:color w:val="000000"/>
                <w:kern w:val="0"/>
                <w:sz w:val="18"/>
                <w:szCs w:val="18"/>
                <w:u w:val="none"/>
                <w:lang w:val="en-US" w:eastAsia="zh-CN" w:bidi="ar"/>
              </w:rPr>
              <w:t>0.00</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BE049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color w:val="000000"/>
                <w:kern w:val="0"/>
                <w:sz w:val="24"/>
                <w:szCs w:val="24"/>
                <w:u w:val="none"/>
                <w:lang w:val="en-US" w:eastAsia="zh-CN" w:bidi="ar"/>
              </w:rPr>
            </w:pPr>
            <w:r>
              <w:rPr>
                <w:rFonts w:hint="default" w:ascii="宋体" w:hAnsi="宋体" w:eastAsia="宋体" w:cs="宋体"/>
                <w:i w:val="0"/>
                <w:color w:val="000000"/>
                <w:kern w:val="0"/>
                <w:sz w:val="18"/>
                <w:szCs w:val="18"/>
                <w:u w:val="none"/>
                <w:lang w:val="en-US" w:eastAsia="zh-CN" w:bidi="ar"/>
              </w:rPr>
              <w:t>0.00%</w:t>
            </w:r>
          </w:p>
        </w:tc>
        <w:tc>
          <w:tcPr>
            <w:tcW w:w="10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BA147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color w:val="000000"/>
                <w:kern w:val="0"/>
                <w:sz w:val="24"/>
                <w:szCs w:val="24"/>
                <w:u w:val="none"/>
                <w:lang w:val="en-US" w:eastAsia="zh-CN" w:bidi="ar"/>
              </w:rPr>
            </w:pPr>
            <w:r>
              <w:rPr>
                <w:rFonts w:hint="default" w:ascii="宋体" w:hAnsi="宋体" w:eastAsia="宋体" w:cs="宋体"/>
                <w:i w:val="0"/>
                <w:color w:val="000000"/>
                <w:kern w:val="0"/>
                <w:sz w:val="18"/>
                <w:szCs w:val="18"/>
                <w:u w:val="none"/>
                <w:lang w:val="en-US" w:eastAsia="zh-CN" w:bidi="ar"/>
              </w:rPr>
              <w:t>/</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6E4405">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color w:val="000000"/>
                <w:kern w:val="0"/>
                <w:sz w:val="24"/>
                <w:szCs w:val="24"/>
                <w:u w:val="none"/>
                <w:lang w:val="en-US" w:eastAsia="zh-CN" w:bidi="ar"/>
              </w:rPr>
            </w:pPr>
            <w:r>
              <w:rPr>
                <w:rFonts w:hint="default" w:ascii="宋体" w:hAnsi="宋体" w:eastAsia="宋体" w:cs="宋体"/>
                <w:i w:val="0"/>
                <w:color w:val="000000"/>
                <w:kern w:val="0"/>
                <w:sz w:val="18"/>
                <w:szCs w:val="18"/>
                <w:u w:val="none"/>
                <w:lang w:val="en-US" w:eastAsia="zh-CN" w:bidi="ar"/>
              </w:rPr>
              <w:t>/</w:t>
            </w:r>
          </w:p>
        </w:tc>
        <w:tc>
          <w:tcPr>
            <w:tcW w:w="1841" w:type="dxa"/>
            <w:vMerge w:val="continue"/>
            <w:tcBorders>
              <w:left w:val="single" w:color="000000" w:sz="4" w:space="0"/>
              <w:right w:val="single" w:color="000000" w:sz="4" w:space="0"/>
            </w:tcBorders>
            <w:shd w:val="clear" w:color="auto" w:fill="auto"/>
            <w:vAlign w:val="center"/>
          </w:tcPr>
          <w:p w14:paraId="65FCA9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576" w:lineRule="exact"/>
              <w:ind w:left="0" w:leftChars="0" w:right="0"/>
              <w:jc w:val="center"/>
              <w:textAlignment w:val="center"/>
              <w:rPr>
                <w:rFonts w:hint="eastAsia" w:ascii="宋体" w:hAnsi="宋体" w:eastAsia="宋体" w:cs="宋体"/>
                <w:i w:val="0"/>
                <w:color w:val="000000"/>
                <w:kern w:val="0"/>
                <w:sz w:val="24"/>
                <w:szCs w:val="24"/>
                <w:u w:val="none"/>
                <w:lang w:val="en-US" w:eastAsia="zh-CN" w:bidi="ar"/>
              </w:rPr>
            </w:pPr>
          </w:p>
        </w:tc>
      </w:tr>
      <w:tr w14:paraId="7509E8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652" w:type="dxa"/>
            <w:vMerge w:val="continue"/>
            <w:tcBorders>
              <w:left w:val="single" w:color="000000" w:sz="4" w:space="0"/>
              <w:bottom w:val="single" w:color="000000" w:sz="4" w:space="0"/>
            </w:tcBorders>
            <w:shd w:val="clear" w:color="auto" w:fill="auto"/>
            <w:vAlign w:val="center"/>
          </w:tcPr>
          <w:p w14:paraId="354BD8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576" w:lineRule="exact"/>
              <w:ind w:left="0" w:leftChars="0" w:right="0"/>
              <w:jc w:val="center"/>
              <w:textAlignment w:val="center"/>
              <w:rPr>
                <w:rFonts w:hint="default" w:ascii="宋体" w:hAnsi="宋体" w:eastAsia="宋体" w:cs="宋体"/>
                <w:i w:val="0"/>
                <w:color w:val="000000"/>
                <w:kern w:val="0"/>
                <w:sz w:val="24"/>
                <w:szCs w:val="24"/>
                <w:u w:val="none"/>
                <w:lang w:val="en-US" w:eastAsia="zh-CN" w:bidi="ar"/>
              </w:rPr>
            </w:pPr>
          </w:p>
        </w:tc>
        <w:tc>
          <w:tcPr>
            <w:tcW w:w="10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CBA36D">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color w:val="000000"/>
                <w:kern w:val="0"/>
                <w:sz w:val="24"/>
                <w:szCs w:val="24"/>
                <w:u w:val="none"/>
                <w:lang w:val="en-US" w:eastAsia="zh-CN" w:bidi="ar"/>
              </w:rPr>
            </w:pPr>
            <w:r>
              <w:rPr>
                <w:rFonts w:hint="default" w:ascii="宋体" w:hAnsi="宋体" w:eastAsia="宋体" w:cs="宋体"/>
                <w:i w:val="0"/>
                <w:color w:val="000000"/>
                <w:kern w:val="0"/>
                <w:sz w:val="18"/>
                <w:szCs w:val="18"/>
                <w:u w:val="none"/>
                <w:lang w:val="en-US" w:eastAsia="zh-CN" w:bidi="ar"/>
              </w:rPr>
              <w:t>其他资金</w:t>
            </w:r>
          </w:p>
        </w:tc>
        <w:tc>
          <w:tcPr>
            <w:tcW w:w="12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75A087">
            <w:pPr>
              <w:keepNext w:val="0"/>
              <w:keepLines w:val="0"/>
              <w:suppressLineNumbers w:val="0"/>
              <w:spacing w:before="0" w:beforeAutospacing="0" w:after="0" w:afterAutospacing="0"/>
              <w:ind w:left="0" w:right="0"/>
              <w:jc w:val="center"/>
              <w:rPr>
                <w:rFonts w:hint="default" w:ascii="宋体" w:hAnsi="宋体" w:eastAsia="宋体" w:cs="宋体"/>
                <w:i w:val="0"/>
                <w:color w:val="000000"/>
                <w:kern w:val="0"/>
                <w:sz w:val="24"/>
                <w:szCs w:val="24"/>
                <w:u w:val="none"/>
                <w:lang w:val="en-US" w:eastAsia="zh-CN" w:bidi="ar"/>
              </w:rPr>
            </w:pPr>
          </w:p>
        </w:tc>
        <w:tc>
          <w:tcPr>
            <w:tcW w:w="13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B22051">
            <w:pPr>
              <w:keepNext w:val="0"/>
              <w:keepLines w:val="0"/>
              <w:suppressLineNumbers w:val="0"/>
              <w:spacing w:before="0" w:beforeAutospacing="0" w:after="0" w:afterAutospacing="0"/>
              <w:ind w:left="0" w:right="0"/>
              <w:jc w:val="center"/>
              <w:rPr>
                <w:rFonts w:hint="default" w:ascii="宋体" w:hAnsi="宋体" w:eastAsia="宋体" w:cs="宋体"/>
                <w:i w:val="0"/>
                <w:color w:val="000000"/>
                <w:kern w:val="0"/>
                <w:sz w:val="24"/>
                <w:szCs w:val="24"/>
                <w:u w:val="none"/>
                <w:lang w:val="en-US" w:eastAsia="zh-CN" w:bidi="ar"/>
              </w:rPr>
            </w:pPr>
          </w:p>
        </w:tc>
        <w:tc>
          <w:tcPr>
            <w:tcW w:w="11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EAECA9">
            <w:pPr>
              <w:keepNext w:val="0"/>
              <w:keepLines w:val="0"/>
              <w:suppressLineNumbers w:val="0"/>
              <w:spacing w:before="0" w:beforeAutospacing="0" w:after="0" w:afterAutospacing="0"/>
              <w:ind w:left="0" w:right="0"/>
              <w:jc w:val="center"/>
              <w:rPr>
                <w:rFonts w:hint="default" w:ascii="宋体" w:hAnsi="宋体" w:eastAsia="宋体" w:cs="宋体"/>
                <w:i w:val="0"/>
                <w:color w:val="000000"/>
                <w:kern w:val="0"/>
                <w:sz w:val="24"/>
                <w:szCs w:val="24"/>
                <w:u w:val="none"/>
                <w:lang w:val="en-US" w:eastAsia="zh-CN" w:bidi="ar"/>
              </w:rPr>
            </w:pP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01C310">
            <w:pPr>
              <w:keepNext w:val="0"/>
              <w:keepLines w:val="0"/>
              <w:suppressLineNumbers w:val="0"/>
              <w:spacing w:before="0" w:beforeAutospacing="0" w:after="0" w:afterAutospacing="0"/>
              <w:ind w:left="0" w:right="0"/>
              <w:jc w:val="center"/>
              <w:rPr>
                <w:rFonts w:hint="default" w:ascii="宋体" w:hAnsi="宋体" w:eastAsia="宋体" w:cs="宋体"/>
                <w:i w:val="0"/>
                <w:color w:val="000000"/>
                <w:kern w:val="0"/>
                <w:sz w:val="24"/>
                <w:szCs w:val="24"/>
                <w:u w:val="none"/>
                <w:lang w:val="en-US" w:eastAsia="zh-CN" w:bidi="ar"/>
              </w:rPr>
            </w:pPr>
          </w:p>
        </w:tc>
        <w:tc>
          <w:tcPr>
            <w:tcW w:w="10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4A84F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color w:val="000000"/>
                <w:kern w:val="0"/>
                <w:sz w:val="24"/>
                <w:szCs w:val="24"/>
                <w:u w:val="none"/>
                <w:lang w:val="en-US" w:eastAsia="zh-CN" w:bidi="ar"/>
              </w:rPr>
            </w:pPr>
            <w:r>
              <w:rPr>
                <w:rFonts w:hint="default" w:ascii="宋体" w:hAnsi="宋体" w:eastAsia="宋体" w:cs="宋体"/>
                <w:i w:val="0"/>
                <w:color w:val="000000"/>
                <w:kern w:val="0"/>
                <w:sz w:val="18"/>
                <w:szCs w:val="18"/>
                <w:u w:val="none"/>
                <w:lang w:val="en-US" w:eastAsia="zh-CN" w:bidi="ar"/>
              </w:rPr>
              <w:t>/</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F625CC">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color w:val="000000"/>
                <w:kern w:val="0"/>
                <w:sz w:val="24"/>
                <w:szCs w:val="24"/>
                <w:u w:val="none"/>
                <w:lang w:val="en-US" w:eastAsia="zh-CN" w:bidi="ar"/>
              </w:rPr>
            </w:pPr>
            <w:r>
              <w:rPr>
                <w:rFonts w:hint="default" w:ascii="宋体" w:hAnsi="宋体" w:eastAsia="宋体" w:cs="宋体"/>
                <w:i w:val="0"/>
                <w:color w:val="000000"/>
                <w:kern w:val="0"/>
                <w:sz w:val="18"/>
                <w:szCs w:val="18"/>
                <w:u w:val="none"/>
                <w:lang w:val="en-US" w:eastAsia="zh-CN" w:bidi="ar"/>
              </w:rPr>
              <w:t>/</w:t>
            </w:r>
          </w:p>
        </w:tc>
        <w:tc>
          <w:tcPr>
            <w:tcW w:w="1841" w:type="dxa"/>
            <w:vMerge w:val="continue"/>
            <w:tcBorders>
              <w:left w:val="single" w:color="000000" w:sz="4" w:space="0"/>
              <w:bottom w:val="single" w:color="000000" w:sz="4" w:space="0"/>
              <w:right w:val="single" w:color="000000" w:sz="4" w:space="0"/>
            </w:tcBorders>
            <w:shd w:val="clear" w:color="auto" w:fill="auto"/>
            <w:vAlign w:val="center"/>
          </w:tcPr>
          <w:p w14:paraId="044D85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576" w:lineRule="exact"/>
              <w:ind w:left="0" w:leftChars="0" w:right="0"/>
              <w:jc w:val="center"/>
              <w:textAlignment w:val="center"/>
              <w:rPr>
                <w:rFonts w:hint="eastAsia" w:ascii="宋体" w:hAnsi="宋体" w:eastAsia="宋体" w:cs="宋体"/>
                <w:i w:val="0"/>
                <w:color w:val="000000"/>
                <w:kern w:val="0"/>
                <w:sz w:val="24"/>
                <w:szCs w:val="24"/>
                <w:u w:val="none"/>
                <w:lang w:val="en-US" w:eastAsia="zh-CN" w:bidi="ar"/>
              </w:rPr>
            </w:pPr>
          </w:p>
        </w:tc>
      </w:tr>
      <w:tr w14:paraId="7AAF2D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652" w:type="dxa"/>
            <w:vMerge w:val="restart"/>
            <w:tcBorders>
              <w:top w:val="single" w:color="000000" w:sz="4" w:space="0"/>
              <w:left w:val="single" w:color="000000" w:sz="4" w:space="0"/>
              <w:bottom w:val="single" w:color="000000" w:sz="4" w:space="0"/>
            </w:tcBorders>
            <w:shd w:val="clear" w:color="auto" w:fill="auto"/>
            <w:vAlign w:val="center"/>
          </w:tcPr>
          <w:p w14:paraId="37037D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576" w:lineRule="exact"/>
              <w:ind w:left="0" w:leftChars="0" w:right="0"/>
              <w:jc w:val="center"/>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绩效 指标</w:t>
            </w:r>
            <w:r>
              <w:rPr>
                <w:rFonts w:hint="eastAsia" w:ascii="宋体" w:hAnsi="宋体" w:eastAsia="宋体" w:cs="宋体"/>
                <w:i w:val="0"/>
                <w:color w:val="000000"/>
                <w:kern w:val="0"/>
                <w:sz w:val="24"/>
                <w:szCs w:val="24"/>
                <w:u w:val="none"/>
                <w:lang w:val="en-US" w:eastAsia="zh-CN" w:bidi="ar"/>
              </w:rPr>
              <w:t>（90分）</w:t>
            </w:r>
          </w:p>
        </w:tc>
        <w:tc>
          <w:tcPr>
            <w:tcW w:w="10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2E7D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576" w:lineRule="exact"/>
              <w:ind w:left="0" w:leftChars="0" w:right="0"/>
              <w:jc w:val="center"/>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一级指标</w:t>
            </w:r>
          </w:p>
        </w:tc>
        <w:tc>
          <w:tcPr>
            <w:tcW w:w="12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7BEA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576" w:lineRule="exact"/>
              <w:ind w:left="0" w:leftChars="0" w:right="0"/>
              <w:jc w:val="center"/>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二级指标</w:t>
            </w:r>
          </w:p>
        </w:tc>
        <w:tc>
          <w:tcPr>
            <w:tcW w:w="13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178D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576" w:lineRule="exact"/>
              <w:ind w:left="0" w:leftChars="0" w:right="0"/>
              <w:jc w:val="center"/>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三级指标</w:t>
            </w:r>
          </w:p>
        </w:tc>
        <w:tc>
          <w:tcPr>
            <w:tcW w:w="11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ED39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576" w:lineRule="exact"/>
              <w:ind w:left="0" w:leftChars="0" w:right="0"/>
              <w:jc w:val="center"/>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指标性质</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B7A1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576" w:lineRule="exact"/>
              <w:ind w:left="0" w:leftChars="0" w:right="0"/>
              <w:jc w:val="center"/>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指标值</w:t>
            </w:r>
          </w:p>
        </w:tc>
        <w:tc>
          <w:tcPr>
            <w:tcW w:w="10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AF49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576" w:lineRule="exact"/>
              <w:ind w:left="0" w:leftChars="0" w:right="0"/>
              <w:jc w:val="center"/>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度量单位</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F57A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576" w:lineRule="exact"/>
              <w:ind w:left="0" w:leftChars="0" w:right="0"/>
              <w:jc w:val="center"/>
              <w:textAlignment w:val="center"/>
              <w:rPr>
                <w:rFonts w:hint="default" w:ascii="宋体" w:hAnsi="宋体" w:eastAsia="宋体" w:cs="宋体"/>
                <w:i w:val="0"/>
                <w:color w:val="000000"/>
                <w:sz w:val="24"/>
                <w:szCs w:val="24"/>
                <w:u w:val="none"/>
              </w:rPr>
            </w:pPr>
            <w:r>
              <w:rPr>
                <w:rFonts w:hint="default" w:ascii="宋体" w:hAnsi="宋体" w:eastAsia="宋体" w:cs="宋体"/>
                <w:i w:val="0"/>
                <w:color w:val="000000"/>
                <w:kern w:val="0"/>
                <w:sz w:val="24"/>
                <w:szCs w:val="24"/>
                <w:u w:val="none"/>
                <w:lang w:val="en-US" w:eastAsia="zh-CN" w:bidi="ar"/>
              </w:rPr>
              <w:t>权重</w:t>
            </w:r>
            <w:r>
              <w:rPr>
                <w:rFonts w:hint="eastAsia" w:ascii="宋体" w:hAnsi="宋体" w:eastAsia="宋体" w:cs="宋体"/>
                <w:i w:val="0"/>
                <w:color w:val="000000"/>
                <w:kern w:val="0"/>
                <w:sz w:val="24"/>
                <w:szCs w:val="24"/>
                <w:u w:val="none"/>
                <w:lang w:val="en-US" w:eastAsia="zh-CN" w:bidi="ar"/>
              </w:rPr>
              <w:t>（得分）</w:t>
            </w:r>
          </w:p>
        </w:tc>
        <w:tc>
          <w:tcPr>
            <w:tcW w:w="18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9315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576" w:lineRule="exact"/>
              <w:ind w:left="0" w:leftChars="0" w:right="0"/>
              <w:jc w:val="center"/>
              <w:textAlignment w:val="center"/>
              <w:rPr>
                <w:rFonts w:hint="eastAsia" w:ascii="宋体" w:hAnsi="宋体" w:eastAsia="宋体" w:cs="宋体"/>
                <w:i w:val="0"/>
                <w:color w:val="000000"/>
                <w:sz w:val="24"/>
                <w:szCs w:val="24"/>
                <w:u w:val="none"/>
                <w:lang w:eastAsia="zh-CN"/>
              </w:rPr>
            </w:pPr>
            <w:r>
              <w:rPr>
                <w:rFonts w:hint="eastAsia" w:ascii="宋体" w:hAnsi="宋体" w:eastAsia="宋体" w:cs="宋体"/>
                <w:i w:val="0"/>
                <w:color w:val="000000"/>
                <w:sz w:val="24"/>
                <w:szCs w:val="24"/>
                <w:u w:val="none"/>
                <w:lang w:eastAsia="zh-CN"/>
              </w:rPr>
              <w:t>完成情况</w:t>
            </w:r>
          </w:p>
        </w:tc>
      </w:tr>
      <w:tr w14:paraId="77EA15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212"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057F69F0">
            <w:pPr>
              <w:keepNext w:val="0"/>
              <w:keepLines w:val="0"/>
              <w:pageBreakBefore w:val="0"/>
              <w:suppressLineNumbers w:val="0"/>
              <w:kinsoku/>
              <w:wordWrap/>
              <w:overflowPunct/>
              <w:topLinePunct w:val="0"/>
              <w:autoSpaceDE/>
              <w:autoSpaceDN/>
              <w:bidi w:val="0"/>
              <w:adjustRightInd/>
              <w:snapToGrid/>
              <w:spacing w:before="0" w:beforeAutospacing="0" w:after="0" w:afterAutospacing="0" w:line="576" w:lineRule="exact"/>
              <w:ind w:left="0" w:leftChars="0" w:right="0"/>
              <w:jc w:val="center"/>
              <w:rPr>
                <w:rFonts w:hint="eastAsia" w:ascii="宋体" w:hAnsi="宋体" w:eastAsia="宋体" w:cs="宋体"/>
                <w:i w:val="0"/>
                <w:color w:val="000000"/>
                <w:sz w:val="24"/>
                <w:szCs w:val="24"/>
                <w:u w:val="none"/>
              </w:rPr>
            </w:pPr>
          </w:p>
        </w:tc>
        <w:tc>
          <w:tcPr>
            <w:tcW w:w="108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8AF926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产出指标</w:t>
            </w:r>
          </w:p>
        </w:tc>
        <w:tc>
          <w:tcPr>
            <w:tcW w:w="125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59916F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数量指标</w:t>
            </w:r>
          </w:p>
        </w:tc>
        <w:tc>
          <w:tcPr>
            <w:tcW w:w="1312" w:type="dxa"/>
            <w:tcBorders>
              <w:top w:val="single" w:color="000000" w:sz="4" w:space="0"/>
              <w:left w:val="single" w:color="000000" w:sz="4" w:space="0"/>
              <w:right w:val="single" w:color="000000" w:sz="4" w:space="0"/>
            </w:tcBorders>
            <w:shd w:val="clear" w:color="auto" w:fill="auto"/>
            <w:vAlign w:val="center"/>
          </w:tcPr>
          <w:p w14:paraId="6657B01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编制成渝地区粮食安全保障基地（广元实施方案）。</w:t>
            </w:r>
          </w:p>
        </w:tc>
        <w:tc>
          <w:tcPr>
            <w:tcW w:w="1127" w:type="dxa"/>
            <w:tcBorders>
              <w:top w:val="single" w:color="000000" w:sz="4" w:space="0"/>
              <w:left w:val="single" w:color="000000" w:sz="4" w:space="0"/>
              <w:right w:val="single" w:color="000000" w:sz="4" w:space="0"/>
            </w:tcBorders>
            <w:shd w:val="clear" w:color="auto" w:fill="auto"/>
            <w:vAlign w:val="center"/>
          </w:tcPr>
          <w:p w14:paraId="4ADBA3C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w:t>
            </w:r>
          </w:p>
        </w:tc>
        <w:tc>
          <w:tcPr>
            <w:tcW w:w="971" w:type="dxa"/>
            <w:tcBorders>
              <w:top w:val="single" w:color="000000" w:sz="4" w:space="0"/>
              <w:left w:val="single" w:color="000000" w:sz="4" w:space="0"/>
              <w:right w:val="single" w:color="000000" w:sz="4" w:space="0"/>
            </w:tcBorders>
            <w:shd w:val="clear" w:color="auto" w:fill="auto"/>
            <w:vAlign w:val="center"/>
          </w:tcPr>
          <w:p w14:paraId="583D4D7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w:t>
            </w:r>
          </w:p>
        </w:tc>
        <w:tc>
          <w:tcPr>
            <w:tcW w:w="1061" w:type="dxa"/>
            <w:tcBorders>
              <w:top w:val="single" w:color="000000" w:sz="4" w:space="0"/>
              <w:left w:val="single" w:color="000000" w:sz="4" w:space="0"/>
              <w:right w:val="single" w:color="000000" w:sz="4" w:space="0"/>
            </w:tcBorders>
            <w:shd w:val="clear" w:color="auto" w:fill="auto"/>
            <w:vAlign w:val="center"/>
          </w:tcPr>
          <w:p w14:paraId="640AE64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套</w:t>
            </w:r>
          </w:p>
        </w:tc>
        <w:tc>
          <w:tcPr>
            <w:tcW w:w="938" w:type="dxa"/>
            <w:tcBorders>
              <w:top w:val="single" w:color="000000" w:sz="4" w:space="0"/>
              <w:left w:val="single" w:color="000000" w:sz="4" w:space="0"/>
              <w:right w:val="single" w:color="000000" w:sz="4" w:space="0"/>
            </w:tcBorders>
            <w:shd w:val="clear" w:color="auto" w:fill="auto"/>
            <w:vAlign w:val="center"/>
          </w:tcPr>
          <w:p w14:paraId="4E02AD2B">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22.2%（20）</w:t>
            </w:r>
          </w:p>
        </w:tc>
        <w:tc>
          <w:tcPr>
            <w:tcW w:w="18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AB736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已完成</w:t>
            </w:r>
          </w:p>
        </w:tc>
      </w:tr>
      <w:tr w14:paraId="0A54FF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212"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1360FA17">
            <w:pPr>
              <w:keepNext w:val="0"/>
              <w:keepLines w:val="0"/>
              <w:pageBreakBefore w:val="0"/>
              <w:suppressLineNumbers w:val="0"/>
              <w:kinsoku/>
              <w:wordWrap/>
              <w:overflowPunct/>
              <w:topLinePunct w:val="0"/>
              <w:autoSpaceDE/>
              <w:autoSpaceDN/>
              <w:bidi w:val="0"/>
              <w:adjustRightInd/>
              <w:snapToGrid/>
              <w:spacing w:before="0" w:beforeAutospacing="0" w:after="0" w:afterAutospacing="0" w:line="576" w:lineRule="exact"/>
              <w:ind w:left="0" w:leftChars="0" w:right="0"/>
              <w:jc w:val="center"/>
              <w:rPr>
                <w:rFonts w:hint="eastAsia" w:ascii="宋体" w:hAnsi="宋体" w:eastAsia="宋体" w:cs="宋体"/>
                <w:i w:val="0"/>
                <w:color w:val="000000"/>
                <w:sz w:val="24"/>
                <w:szCs w:val="24"/>
                <w:u w:val="none"/>
              </w:rPr>
            </w:pPr>
          </w:p>
        </w:tc>
        <w:tc>
          <w:tcPr>
            <w:tcW w:w="10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E6B92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color w:val="000000"/>
                <w:kern w:val="0"/>
                <w:sz w:val="18"/>
                <w:szCs w:val="18"/>
                <w:u w:val="none"/>
                <w:lang w:val="en-US" w:eastAsia="zh-CN" w:bidi="ar"/>
              </w:rPr>
            </w:pPr>
          </w:p>
        </w:tc>
        <w:tc>
          <w:tcPr>
            <w:tcW w:w="125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824FAF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质量指标</w:t>
            </w:r>
          </w:p>
        </w:tc>
        <w:tc>
          <w:tcPr>
            <w:tcW w:w="1312" w:type="dxa"/>
            <w:vMerge w:val="restart"/>
            <w:tcBorders>
              <w:top w:val="single" w:color="000000" w:sz="4" w:space="0"/>
              <w:left w:val="single" w:color="000000" w:sz="4" w:space="0"/>
              <w:right w:val="single" w:color="000000" w:sz="4" w:space="0"/>
            </w:tcBorders>
            <w:shd w:val="clear" w:color="auto" w:fill="auto"/>
            <w:vAlign w:val="center"/>
          </w:tcPr>
          <w:p w14:paraId="3420520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方案经专家评审通过。</w:t>
            </w:r>
          </w:p>
        </w:tc>
        <w:tc>
          <w:tcPr>
            <w:tcW w:w="1127" w:type="dxa"/>
            <w:vMerge w:val="restart"/>
            <w:tcBorders>
              <w:top w:val="single" w:color="000000" w:sz="4" w:space="0"/>
              <w:left w:val="single" w:color="000000" w:sz="4" w:space="0"/>
              <w:right w:val="single" w:color="000000" w:sz="4" w:space="0"/>
            </w:tcBorders>
            <w:shd w:val="clear" w:color="auto" w:fill="auto"/>
            <w:vAlign w:val="center"/>
          </w:tcPr>
          <w:p w14:paraId="72DBA8C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定性</w:t>
            </w:r>
          </w:p>
        </w:tc>
        <w:tc>
          <w:tcPr>
            <w:tcW w:w="971" w:type="dxa"/>
            <w:vMerge w:val="restart"/>
            <w:tcBorders>
              <w:top w:val="single" w:color="000000" w:sz="4" w:space="0"/>
              <w:left w:val="single" w:color="000000" w:sz="4" w:space="0"/>
              <w:right w:val="single" w:color="000000" w:sz="4" w:space="0"/>
            </w:tcBorders>
            <w:shd w:val="clear" w:color="auto" w:fill="auto"/>
            <w:vAlign w:val="center"/>
          </w:tcPr>
          <w:p w14:paraId="04F03BA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按照法律法规要求开展。</w:t>
            </w:r>
          </w:p>
        </w:tc>
        <w:tc>
          <w:tcPr>
            <w:tcW w:w="1061" w:type="dxa"/>
            <w:vMerge w:val="restart"/>
            <w:tcBorders>
              <w:top w:val="single" w:color="000000" w:sz="4" w:space="0"/>
              <w:left w:val="single" w:color="000000" w:sz="4" w:space="0"/>
              <w:right w:val="single" w:color="000000" w:sz="4" w:space="0"/>
            </w:tcBorders>
            <w:shd w:val="clear" w:color="auto" w:fill="auto"/>
            <w:vAlign w:val="center"/>
          </w:tcPr>
          <w:p w14:paraId="4A6ABE1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color w:val="000000"/>
                <w:kern w:val="0"/>
                <w:sz w:val="18"/>
                <w:szCs w:val="18"/>
                <w:u w:val="none"/>
                <w:lang w:val="en-US" w:eastAsia="zh-CN" w:bidi="ar"/>
              </w:rPr>
            </w:pPr>
          </w:p>
        </w:tc>
        <w:tc>
          <w:tcPr>
            <w:tcW w:w="938" w:type="dxa"/>
            <w:vMerge w:val="restart"/>
            <w:tcBorders>
              <w:top w:val="single" w:color="000000" w:sz="4" w:space="0"/>
              <w:left w:val="single" w:color="000000" w:sz="4" w:space="0"/>
              <w:right w:val="single" w:color="000000" w:sz="4" w:space="0"/>
            </w:tcBorders>
            <w:shd w:val="clear" w:color="auto" w:fill="auto"/>
            <w:vAlign w:val="center"/>
          </w:tcPr>
          <w:p w14:paraId="6B888F6E">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22.2%（20）</w:t>
            </w:r>
          </w:p>
        </w:tc>
        <w:tc>
          <w:tcPr>
            <w:tcW w:w="18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250E6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已完成</w:t>
            </w:r>
          </w:p>
        </w:tc>
      </w:tr>
      <w:tr w14:paraId="6BBE4F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212"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1DEA6D7D">
            <w:pPr>
              <w:keepNext w:val="0"/>
              <w:keepLines w:val="0"/>
              <w:pageBreakBefore w:val="0"/>
              <w:suppressLineNumbers w:val="0"/>
              <w:kinsoku/>
              <w:wordWrap/>
              <w:overflowPunct/>
              <w:topLinePunct w:val="0"/>
              <w:autoSpaceDE/>
              <w:autoSpaceDN/>
              <w:bidi w:val="0"/>
              <w:adjustRightInd/>
              <w:snapToGrid/>
              <w:spacing w:before="0" w:beforeAutospacing="0" w:after="0" w:afterAutospacing="0" w:line="576" w:lineRule="exact"/>
              <w:ind w:left="0" w:leftChars="0" w:right="0"/>
              <w:jc w:val="center"/>
              <w:rPr>
                <w:rFonts w:hint="eastAsia" w:ascii="宋体" w:hAnsi="宋体" w:eastAsia="宋体" w:cs="宋体"/>
                <w:i w:val="0"/>
                <w:color w:val="000000"/>
                <w:sz w:val="24"/>
                <w:szCs w:val="24"/>
                <w:u w:val="none"/>
              </w:rPr>
            </w:pPr>
          </w:p>
        </w:tc>
        <w:tc>
          <w:tcPr>
            <w:tcW w:w="10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635E4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color w:val="000000"/>
                <w:kern w:val="0"/>
                <w:sz w:val="18"/>
                <w:szCs w:val="18"/>
                <w:u w:val="none"/>
                <w:lang w:val="en-US" w:eastAsia="zh-CN" w:bidi="ar"/>
              </w:rPr>
            </w:pPr>
          </w:p>
        </w:tc>
        <w:tc>
          <w:tcPr>
            <w:tcW w:w="125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E3E60E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时效指标</w:t>
            </w:r>
          </w:p>
        </w:tc>
        <w:tc>
          <w:tcPr>
            <w:tcW w:w="1312" w:type="dxa"/>
            <w:vMerge w:val="restart"/>
            <w:tcBorders>
              <w:top w:val="single" w:color="000000" w:sz="4" w:space="0"/>
              <w:left w:val="single" w:color="000000" w:sz="4" w:space="0"/>
              <w:right w:val="single" w:color="000000" w:sz="4" w:space="0"/>
            </w:tcBorders>
            <w:shd w:val="clear" w:color="auto" w:fill="auto"/>
            <w:vAlign w:val="center"/>
          </w:tcPr>
          <w:p w14:paraId="0D6CC50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在6月底前完成方案编制。</w:t>
            </w:r>
          </w:p>
        </w:tc>
        <w:tc>
          <w:tcPr>
            <w:tcW w:w="1127" w:type="dxa"/>
            <w:vMerge w:val="restart"/>
            <w:tcBorders>
              <w:top w:val="single" w:color="000000" w:sz="4" w:space="0"/>
              <w:left w:val="single" w:color="000000" w:sz="4" w:space="0"/>
              <w:right w:val="single" w:color="000000" w:sz="4" w:space="0"/>
            </w:tcBorders>
            <w:shd w:val="clear" w:color="auto" w:fill="auto"/>
            <w:vAlign w:val="center"/>
          </w:tcPr>
          <w:p w14:paraId="61197F1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w:t>
            </w:r>
          </w:p>
        </w:tc>
        <w:tc>
          <w:tcPr>
            <w:tcW w:w="971" w:type="dxa"/>
            <w:vMerge w:val="restart"/>
            <w:tcBorders>
              <w:top w:val="single" w:color="000000" w:sz="4" w:space="0"/>
              <w:left w:val="single" w:color="000000" w:sz="4" w:space="0"/>
              <w:right w:val="single" w:color="000000" w:sz="4" w:space="0"/>
            </w:tcBorders>
            <w:shd w:val="clear" w:color="auto" w:fill="auto"/>
            <w:vAlign w:val="center"/>
          </w:tcPr>
          <w:p w14:paraId="201FBA7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12</w:t>
            </w:r>
          </w:p>
        </w:tc>
        <w:tc>
          <w:tcPr>
            <w:tcW w:w="1061" w:type="dxa"/>
            <w:vMerge w:val="restart"/>
            <w:tcBorders>
              <w:top w:val="single" w:color="000000" w:sz="4" w:space="0"/>
              <w:left w:val="single" w:color="000000" w:sz="4" w:space="0"/>
              <w:right w:val="single" w:color="000000" w:sz="4" w:space="0"/>
            </w:tcBorders>
            <w:shd w:val="clear" w:color="auto" w:fill="auto"/>
            <w:vAlign w:val="center"/>
          </w:tcPr>
          <w:p w14:paraId="6FC337D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月</w:t>
            </w:r>
          </w:p>
        </w:tc>
        <w:tc>
          <w:tcPr>
            <w:tcW w:w="938" w:type="dxa"/>
            <w:vMerge w:val="restart"/>
            <w:tcBorders>
              <w:top w:val="single" w:color="000000" w:sz="4" w:space="0"/>
              <w:left w:val="single" w:color="000000" w:sz="4" w:space="0"/>
              <w:right w:val="single" w:color="000000" w:sz="4" w:space="0"/>
            </w:tcBorders>
            <w:shd w:val="clear" w:color="auto" w:fill="auto"/>
            <w:vAlign w:val="center"/>
          </w:tcPr>
          <w:p w14:paraId="0BA24F5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11.1%（10）</w:t>
            </w:r>
          </w:p>
        </w:tc>
        <w:tc>
          <w:tcPr>
            <w:tcW w:w="18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40FB6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已完成</w:t>
            </w:r>
          </w:p>
        </w:tc>
      </w:tr>
      <w:tr w14:paraId="230D76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212"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7D9B6BE3">
            <w:pPr>
              <w:keepNext w:val="0"/>
              <w:keepLines w:val="0"/>
              <w:pageBreakBefore w:val="0"/>
              <w:suppressLineNumbers w:val="0"/>
              <w:kinsoku/>
              <w:wordWrap/>
              <w:overflowPunct/>
              <w:topLinePunct w:val="0"/>
              <w:autoSpaceDE/>
              <w:autoSpaceDN/>
              <w:bidi w:val="0"/>
              <w:adjustRightInd/>
              <w:snapToGrid/>
              <w:spacing w:before="0" w:beforeAutospacing="0" w:after="0" w:afterAutospacing="0" w:line="576" w:lineRule="exact"/>
              <w:ind w:left="0" w:leftChars="0" w:right="0"/>
              <w:jc w:val="center"/>
              <w:rPr>
                <w:rFonts w:hint="eastAsia" w:ascii="宋体" w:hAnsi="宋体" w:eastAsia="宋体" w:cs="宋体"/>
                <w:i w:val="0"/>
                <w:color w:val="000000"/>
                <w:sz w:val="24"/>
                <w:szCs w:val="24"/>
                <w:u w:val="none"/>
              </w:rPr>
            </w:pPr>
          </w:p>
        </w:tc>
        <w:tc>
          <w:tcPr>
            <w:tcW w:w="10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DD3D1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效益指标</w:t>
            </w:r>
          </w:p>
        </w:tc>
        <w:tc>
          <w:tcPr>
            <w:tcW w:w="12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D7DE7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社会效益</w:t>
            </w:r>
          </w:p>
          <w:p w14:paraId="2DA2AC9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指标</w:t>
            </w:r>
          </w:p>
        </w:tc>
        <w:tc>
          <w:tcPr>
            <w:tcW w:w="1312" w:type="dxa"/>
            <w:tcBorders>
              <w:top w:val="single" w:color="000000" w:sz="4" w:space="0"/>
              <w:left w:val="single" w:color="000000" w:sz="4" w:space="0"/>
              <w:right w:val="single" w:color="000000" w:sz="4" w:space="0"/>
            </w:tcBorders>
            <w:shd w:val="clear" w:color="auto" w:fill="auto"/>
            <w:vAlign w:val="center"/>
          </w:tcPr>
          <w:p w14:paraId="36BA6D8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加快推进物流通道，合理布局仓储设施，提升粮食安全保障能力。</w:t>
            </w:r>
          </w:p>
        </w:tc>
        <w:tc>
          <w:tcPr>
            <w:tcW w:w="1127" w:type="dxa"/>
            <w:tcBorders>
              <w:top w:val="single" w:color="000000" w:sz="4" w:space="0"/>
              <w:left w:val="single" w:color="000000" w:sz="4" w:space="0"/>
              <w:right w:val="single" w:color="000000" w:sz="4" w:space="0"/>
            </w:tcBorders>
            <w:shd w:val="clear" w:color="auto" w:fill="auto"/>
            <w:vAlign w:val="center"/>
          </w:tcPr>
          <w:p w14:paraId="0AE5F4C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定性</w:t>
            </w:r>
          </w:p>
        </w:tc>
        <w:tc>
          <w:tcPr>
            <w:tcW w:w="971" w:type="dxa"/>
            <w:tcBorders>
              <w:top w:val="single" w:color="000000" w:sz="4" w:space="0"/>
              <w:left w:val="single" w:color="000000" w:sz="4" w:space="0"/>
              <w:right w:val="single" w:color="000000" w:sz="4" w:space="0"/>
            </w:tcBorders>
            <w:shd w:val="clear" w:color="auto" w:fill="auto"/>
            <w:vAlign w:val="center"/>
          </w:tcPr>
          <w:p w14:paraId="5F6574B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持续发挥好的社会效益，有利于国家粮食安全和社会稳定</w:t>
            </w:r>
          </w:p>
        </w:tc>
        <w:tc>
          <w:tcPr>
            <w:tcW w:w="1061" w:type="dxa"/>
            <w:tcBorders>
              <w:top w:val="single" w:color="000000" w:sz="4" w:space="0"/>
              <w:left w:val="single" w:color="000000" w:sz="4" w:space="0"/>
              <w:right w:val="single" w:color="000000" w:sz="4" w:space="0"/>
            </w:tcBorders>
            <w:shd w:val="clear" w:color="auto" w:fill="auto"/>
            <w:vAlign w:val="center"/>
          </w:tcPr>
          <w:p w14:paraId="0073F33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color w:val="000000"/>
                <w:kern w:val="0"/>
                <w:sz w:val="18"/>
                <w:szCs w:val="18"/>
                <w:u w:val="none"/>
                <w:lang w:val="en-US" w:eastAsia="zh-CN" w:bidi="ar"/>
              </w:rPr>
            </w:pPr>
          </w:p>
        </w:tc>
        <w:tc>
          <w:tcPr>
            <w:tcW w:w="938" w:type="dxa"/>
            <w:tcBorders>
              <w:top w:val="single" w:color="000000" w:sz="4" w:space="0"/>
              <w:left w:val="single" w:color="000000" w:sz="4" w:space="0"/>
              <w:right w:val="single" w:color="000000" w:sz="4" w:space="0"/>
            </w:tcBorders>
            <w:shd w:val="clear" w:color="auto" w:fill="auto"/>
            <w:vAlign w:val="center"/>
          </w:tcPr>
          <w:p w14:paraId="568DB620">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22.2%（20）</w:t>
            </w:r>
          </w:p>
        </w:tc>
        <w:tc>
          <w:tcPr>
            <w:tcW w:w="18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2A5D16">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已完成</w:t>
            </w:r>
          </w:p>
        </w:tc>
      </w:tr>
      <w:tr w14:paraId="518D53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1CD0096F">
            <w:pPr>
              <w:keepNext w:val="0"/>
              <w:keepLines w:val="0"/>
              <w:pageBreakBefore w:val="0"/>
              <w:suppressLineNumbers w:val="0"/>
              <w:kinsoku/>
              <w:wordWrap/>
              <w:overflowPunct/>
              <w:topLinePunct w:val="0"/>
              <w:autoSpaceDE/>
              <w:autoSpaceDN/>
              <w:bidi w:val="0"/>
              <w:adjustRightInd/>
              <w:snapToGrid/>
              <w:spacing w:before="0" w:beforeAutospacing="0" w:after="0" w:afterAutospacing="0" w:line="576" w:lineRule="exact"/>
              <w:ind w:left="0" w:leftChars="0" w:right="0"/>
              <w:jc w:val="center"/>
              <w:rPr>
                <w:rFonts w:hint="eastAsia" w:ascii="宋体" w:hAnsi="宋体" w:eastAsia="宋体" w:cs="宋体"/>
                <w:i w:val="0"/>
                <w:color w:val="000000"/>
                <w:sz w:val="24"/>
                <w:szCs w:val="24"/>
                <w:u w:val="none"/>
              </w:rPr>
            </w:pPr>
          </w:p>
        </w:tc>
        <w:tc>
          <w:tcPr>
            <w:tcW w:w="1081" w:type="dxa"/>
            <w:tcBorders>
              <w:top w:val="single" w:color="000000" w:sz="4" w:space="0"/>
              <w:left w:val="single" w:color="000000" w:sz="4" w:space="0"/>
              <w:right w:val="single" w:color="000000" w:sz="4" w:space="0"/>
            </w:tcBorders>
            <w:shd w:val="clear" w:color="auto" w:fill="auto"/>
            <w:vAlign w:val="center"/>
          </w:tcPr>
          <w:p w14:paraId="2822111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满意度</w:t>
            </w:r>
          </w:p>
          <w:p w14:paraId="344D600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指标</w:t>
            </w:r>
          </w:p>
        </w:tc>
        <w:tc>
          <w:tcPr>
            <w:tcW w:w="1250" w:type="dxa"/>
            <w:tcBorders>
              <w:top w:val="single" w:color="000000" w:sz="4" w:space="0"/>
              <w:left w:val="single" w:color="000000" w:sz="4" w:space="0"/>
              <w:right w:val="single" w:color="000000" w:sz="4" w:space="0"/>
            </w:tcBorders>
            <w:shd w:val="clear" w:color="auto" w:fill="auto"/>
            <w:vAlign w:val="center"/>
          </w:tcPr>
          <w:p w14:paraId="521444E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服务对象</w:t>
            </w:r>
          </w:p>
          <w:p w14:paraId="77210CF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满意度指标</w:t>
            </w:r>
          </w:p>
        </w:tc>
        <w:tc>
          <w:tcPr>
            <w:tcW w:w="13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5294C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党委、政府、社会公众。</w:t>
            </w:r>
          </w:p>
        </w:tc>
        <w:tc>
          <w:tcPr>
            <w:tcW w:w="11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A16F6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color w:val="000000"/>
                <w:kern w:val="0"/>
                <w:sz w:val="18"/>
                <w:szCs w:val="18"/>
                <w:u w:val="none"/>
                <w:lang w:val="en-US" w:eastAsia="zh-CN" w:bidi="ar"/>
              </w:rPr>
            </w:pPr>
            <w:r>
              <w:rPr>
                <w:rFonts w:hint="default" w:ascii="宋体" w:hAnsi="宋体" w:eastAsia="宋体" w:cs="宋体"/>
                <w:i w:val="0"/>
                <w:color w:val="000000"/>
                <w:kern w:val="0"/>
                <w:sz w:val="18"/>
                <w:szCs w:val="18"/>
                <w:u w:val="none"/>
                <w:lang w:val="en-US" w:eastAsia="zh-CN" w:bidi="ar"/>
              </w:rPr>
              <w:t>≧</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7D31C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100</w:t>
            </w:r>
          </w:p>
        </w:tc>
        <w:tc>
          <w:tcPr>
            <w:tcW w:w="10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52D22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025D18">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11.1%（9）</w:t>
            </w:r>
          </w:p>
        </w:tc>
        <w:tc>
          <w:tcPr>
            <w:tcW w:w="18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BB9B3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已完成</w:t>
            </w:r>
          </w:p>
        </w:tc>
      </w:tr>
      <w:tr w14:paraId="6EBE98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2F6D1BA3">
            <w:pPr>
              <w:keepNext w:val="0"/>
              <w:keepLines w:val="0"/>
              <w:pageBreakBefore w:val="0"/>
              <w:suppressLineNumbers w:val="0"/>
              <w:kinsoku/>
              <w:wordWrap/>
              <w:overflowPunct/>
              <w:topLinePunct w:val="0"/>
              <w:autoSpaceDE/>
              <w:autoSpaceDN/>
              <w:bidi w:val="0"/>
              <w:adjustRightInd/>
              <w:snapToGrid/>
              <w:spacing w:before="0" w:beforeAutospacing="0" w:after="0" w:afterAutospacing="0" w:line="576" w:lineRule="exact"/>
              <w:ind w:left="0" w:leftChars="0" w:right="0"/>
              <w:jc w:val="center"/>
              <w:rPr>
                <w:rFonts w:hint="eastAsia" w:ascii="宋体" w:hAnsi="宋体" w:eastAsia="宋体" w:cs="宋体"/>
                <w:i w:val="0"/>
                <w:color w:val="000000"/>
                <w:sz w:val="24"/>
                <w:szCs w:val="24"/>
                <w:u w:val="none"/>
              </w:rPr>
            </w:pPr>
          </w:p>
        </w:tc>
        <w:tc>
          <w:tcPr>
            <w:tcW w:w="10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ACF46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成本指标</w:t>
            </w:r>
          </w:p>
        </w:tc>
        <w:tc>
          <w:tcPr>
            <w:tcW w:w="12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3A526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经济成本</w:t>
            </w:r>
          </w:p>
          <w:p w14:paraId="6B7C0F7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指标</w:t>
            </w:r>
          </w:p>
        </w:tc>
        <w:tc>
          <w:tcPr>
            <w:tcW w:w="1312" w:type="dxa"/>
            <w:tcBorders>
              <w:top w:val="single" w:color="000000" w:sz="4" w:space="0"/>
              <w:bottom w:val="single" w:color="000000" w:sz="4" w:space="0"/>
              <w:right w:val="single" w:color="000000" w:sz="4" w:space="0"/>
            </w:tcBorders>
            <w:shd w:val="clear" w:color="auto" w:fill="auto"/>
            <w:vAlign w:val="center"/>
          </w:tcPr>
          <w:p w14:paraId="1DD5BF9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方案编制费用。</w:t>
            </w:r>
          </w:p>
        </w:tc>
        <w:tc>
          <w:tcPr>
            <w:tcW w:w="11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648C0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C144A2">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29</w:t>
            </w:r>
          </w:p>
        </w:tc>
        <w:tc>
          <w:tcPr>
            <w:tcW w:w="10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A6743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万元</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05A0B3">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11.1%（10）</w:t>
            </w:r>
          </w:p>
        </w:tc>
        <w:tc>
          <w:tcPr>
            <w:tcW w:w="18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E8C24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已完成</w:t>
            </w:r>
          </w:p>
        </w:tc>
      </w:tr>
    </w:tbl>
    <w:p w14:paraId="2C13E151">
      <w:pPr>
        <w:spacing w:line="600" w:lineRule="exact"/>
        <w:jc w:val="center"/>
        <w:outlineLvl w:val="0"/>
        <w:rPr>
          <w:rFonts w:hint="eastAsia" w:ascii="黑体" w:hAnsi="黑体" w:eastAsia="黑体"/>
          <w:color w:val="auto"/>
          <w:sz w:val="44"/>
          <w:szCs w:val="44"/>
          <w:highlight w:val="none"/>
        </w:rPr>
      </w:pPr>
    </w:p>
    <w:p w14:paraId="2E72A2BA">
      <w:pPr>
        <w:widowControl w:val="0"/>
        <w:spacing w:line="578" w:lineRule="exact"/>
        <w:jc w:val="center"/>
        <w:rPr>
          <w:rFonts w:ascii="方正小标宋简体" w:hAnsi="方正小标宋简体" w:eastAsia="方正小标宋简体" w:cs="方正小标宋简体"/>
          <w:color w:val="auto"/>
          <w:kern w:val="2"/>
          <w:sz w:val="44"/>
          <w:szCs w:val="44"/>
          <w:lang w:val="en-US" w:eastAsia="zh-CN" w:bidi="ar-SA"/>
        </w:rPr>
      </w:pPr>
      <w:r>
        <w:rPr>
          <w:rFonts w:hint="eastAsia" w:ascii="方正小标宋简体" w:hAnsi="方正小标宋简体" w:eastAsia="方正小标宋简体" w:cs="方正小标宋简体"/>
          <w:color w:val="auto"/>
          <w:kern w:val="2"/>
          <w:sz w:val="44"/>
          <w:szCs w:val="44"/>
          <w:lang w:val="en-US" w:eastAsia="zh-CN" w:bidi="ar-SA"/>
        </w:rPr>
        <w:t>2023年救灾物资采购</w:t>
      </w:r>
    </w:p>
    <w:p w14:paraId="60DB29B5">
      <w:pPr>
        <w:widowControl w:val="0"/>
        <w:spacing w:line="578" w:lineRule="exact"/>
        <w:jc w:val="center"/>
        <w:rPr>
          <w:rFonts w:ascii="方正小标宋简体" w:hAnsi="方正小标宋简体" w:eastAsia="方正小标宋简体" w:cs="方正小标宋简体"/>
          <w:color w:val="auto"/>
          <w:kern w:val="2"/>
          <w:sz w:val="44"/>
          <w:szCs w:val="44"/>
          <w:lang w:val="en-US" w:eastAsia="zh-CN" w:bidi="ar-SA"/>
        </w:rPr>
      </w:pPr>
      <w:r>
        <w:rPr>
          <w:rFonts w:hint="eastAsia" w:ascii="方正小标宋简体" w:hAnsi="方正小标宋简体" w:eastAsia="方正小标宋简体" w:cs="方正小标宋简体"/>
          <w:color w:val="auto"/>
          <w:kern w:val="2"/>
          <w:sz w:val="44"/>
          <w:szCs w:val="44"/>
          <w:lang w:val="en-US" w:eastAsia="zh-CN" w:bidi="ar-SA"/>
        </w:rPr>
        <w:t>专项预算项目绩效评价报告</w:t>
      </w:r>
    </w:p>
    <w:p w14:paraId="4518859D">
      <w:pPr>
        <w:widowControl w:val="0"/>
        <w:spacing w:line="578" w:lineRule="exact"/>
        <w:ind w:firstLine="640"/>
        <w:jc w:val="center"/>
        <w:rPr>
          <w:rFonts w:ascii="宋体" w:hAnsi="宋体" w:eastAsia="宋体" w:cs="Times New Roman"/>
          <w:color w:val="auto"/>
          <w:kern w:val="2"/>
          <w:sz w:val="32"/>
          <w:szCs w:val="32"/>
          <w:lang w:val="en-US" w:eastAsia="zh-CN" w:bidi="ar-SA"/>
        </w:rPr>
      </w:pPr>
    </w:p>
    <w:p w14:paraId="45B9380F">
      <w:pPr>
        <w:adjustRightInd w:val="0"/>
        <w:snapToGrid w:val="0"/>
        <w:spacing w:line="578" w:lineRule="exact"/>
        <w:ind w:firstLine="640" w:firstLineChars="200"/>
        <w:rPr>
          <w:rFonts w:ascii="黑体" w:hAnsi="宋体" w:eastAsia="黑体" w:cs="Times New Roman"/>
          <w:sz w:val="32"/>
          <w:szCs w:val="32"/>
          <w:lang w:val="zh-CN"/>
        </w:rPr>
      </w:pPr>
      <w:r>
        <w:rPr>
          <w:rFonts w:hint="eastAsia" w:ascii="黑体" w:hAnsi="宋体" w:eastAsia="黑体" w:cs="Times New Roman"/>
          <w:sz w:val="32"/>
          <w:szCs w:val="32"/>
        </w:rPr>
        <w:t>一、</w:t>
      </w:r>
      <w:r>
        <w:rPr>
          <w:rFonts w:hint="eastAsia" w:ascii="黑体" w:hAnsi="宋体" w:eastAsia="黑体" w:cs="Times New Roman"/>
          <w:sz w:val="32"/>
          <w:szCs w:val="32"/>
          <w:lang w:val="zh-CN"/>
        </w:rPr>
        <w:t>项目概况</w:t>
      </w:r>
    </w:p>
    <w:p w14:paraId="290734B5">
      <w:pPr>
        <w:spacing w:line="620" w:lineRule="exact"/>
        <w:ind w:firstLine="643" w:firstLineChars="200"/>
        <w:rPr>
          <w:rFonts w:ascii="楷体_GB2312" w:hAnsi="宋体" w:eastAsia="楷体_GB2312" w:cs="Times New Roman"/>
          <w:b/>
          <w:sz w:val="32"/>
          <w:szCs w:val="32"/>
        </w:rPr>
      </w:pPr>
      <w:r>
        <w:rPr>
          <w:rFonts w:hint="eastAsia" w:ascii="楷体_GB2312" w:hAnsi="宋体" w:eastAsia="楷体_GB2312" w:cs="Times New Roman"/>
          <w:b/>
          <w:sz w:val="32"/>
          <w:szCs w:val="32"/>
          <w:lang w:val="zh-CN"/>
        </w:rPr>
        <w:t>（一）设立背景及基本情况。</w:t>
      </w:r>
      <w:r>
        <w:rPr>
          <w:rFonts w:hint="eastAsia" w:ascii="仿宋" w:hAnsi="仿宋" w:eastAsia="仿宋" w:cs="Times New Roman"/>
          <w:sz w:val="32"/>
          <w:szCs w:val="32"/>
        </w:rPr>
        <w:t>为确保市级储备物资达到启动自然灾害救助Ⅱ级应急响应，满足常态备灾和非常态救灾的物资保障需要，根据市应急管理局提出的2023年救灾物资储备需求计划，采购单帐篷（8m²）200顶、棉被1700床等救灾物资，预计共需采购资金60万元。</w:t>
      </w:r>
    </w:p>
    <w:p w14:paraId="68B40388">
      <w:pPr>
        <w:adjustRightInd w:val="0"/>
        <w:snapToGrid w:val="0"/>
        <w:spacing w:line="578" w:lineRule="exact"/>
        <w:ind w:firstLine="643" w:firstLineChars="200"/>
        <w:rPr>
          <w:rFonts w:ascii="仿宋" w:hAnsi="仿宋" w:eastAsia="仿宋" w:cs="Times New Roman"/>
          <w:sz w:val="32"/>
          <w:szCs w:val="32"/>
        </w:rPr>
      </w:pPr>
      <w:r>
        <w:rPr>
          <w:rFonts w:hint="eastAsia" w:ascii="楷体_GB2312" w:hAnsi="宋体" w:eastAsia="楷体_GB2312" w:cs="Times New Roman"/>
          <w:b/>
          <w:sz w:val="32"/>
          <w:szCs w:val="32"/>
          <w:lang w:val="zh-CN"/>
        </w:rPr>
        <w:t>（二）</w:t>
      </w:r>
      <w:r>
        <w:rPr>
          <w:rFonts w:ascii="楷体_GB2312" w:hAnsi="宋体" w:eastAsia="楷体_GB2312" w:cs="Times New Roman"/>
          <w:b/>
          <w:sz w:val="32"/>
          <w:szCs w:val="32"/>
        </w:rPr>
        <w:t>实施目的及支持方向</w:t>
      </w:r>
      <w:r>
        <w:rPr>
          <w:rFonts w:hint="eastAsia" w:ascii="楷体_GB2312" w:hAnsi="宋体" w:eastAsia="楷体_GB2312" w:cs="Times New Roman"/>
          <w:b/>
          <w:sz w:val="32"/>
          <w:szCs w:val="32"/>
        </w:rPr>
        <w:t>。</w:t>
      </w:r>
      <w:r>
        <w:rPr>
          <w:rFonts w:hint="eastAsia" w:ascii="仿宋" w:hAnsi="仿宋" w:eastAsia="仿宋" w:cs="Times New Roman"/>
          <w:sz w:val="32"/>
          <w:szCs w:val="32"/>
        </w:rPr>
        <w:t>项目资金由市发展改革委向市政府申报，市政府批复后，严格按照政府采购流程进行，符合资金管理办法等相关规定。</w:t>
      </w:r>
    </w:p>
    <w:p w14:paraId="01356CFA">
      <w:pPr>
        <w:adjustRightInd w:val="0"/>
        <w:snapToGrid w:val="0"/>
        <w:spacing w:line="576" w:lineRule="exact"/>
        <w:ind w:firstLine="720"/>
        <w:rPr>
          <w:rFonts w:ascii="仿宋" w:hAnsi="仿宋" w:eastAsia="仿宋" w:cs="Times New Roman"/>
          <w:sz w:val="32"/>
          <w:szCs w:val="32"/>
        </w:rPr>
      </w:pPr>
      <w:r>
        <w:rPr>
          <w:rFonts w:hint="eastAsia" w:ascii="楷体_GB2312" w:hAnsi="宋体" w:eastAsia="楷体_GB2312" w:cs="Times New Roman"/>
          <w:b/>
          <w:sz w:val="32"/>
          <w:szCs w:val="32"/>
          <w:lang w:val="zh-CN"/>
        </w:rPr>
        <w:t>（三）</w:t>
      </w:r>
      <w:r>
        <w:rPr>
          <w:rFonts w:ascii="楷体_GB2312" w:hAnsi="宋体" w:eastAsia="楷体_GB2312" w:cs="Times New Roman"/>
          <w:b/>
          <w:sz w:val="32"/>
          <w:szCs w:val="32"/>
        </w:rPr>
        <w:t>预算安排及分配管理</w:t>
      </w:r>
      <w:r>
        <w:rPr>
          <w:rFonts w:hint="eastAsia" w:ascii="楷体_GB2312" w:hAnsi="宋体" w:eastAsia="楷体_GB2312" w:cs="Times New Roman"/>
          <w:b/>
          <w:sz w:val="32"/>
          <w:szCs w:val="32"/>
          <w:lang w:val="zh-CN"/>
        </w:rPr>
        <w:t>。</w:t>
      </w:r>
      <w:r>
        <w:rPr>
          <w:rFonts w:hint="eastAsia" w:ascii="仿宋" w:hAnsi="仿宋" w:eastAsia="仿宋" w:cs="Times New Roman"/>
          <w:sz w:val="32"/>
          <w:szCs w:val="32"/>
        </w:rPr>
        <w:t>项目预算安排60万元，严格按照政府采购程序执行。</w:t>
      </w:r>
    </w:p>
    <w:p w14:paraId="7AE1EC02">
      <w:pPr>
        <w:adjustRightInd w:val="0"/>
        <w:snapToGrid w:val="0"/>
        <w:spacing w:line="578" w:lineRule="exact"/>
        <w:ind w:firstLine="643" w:firstLineChars="200"/>
        <w:rPr>
          <w:rFonts w:ascii="仿宋" w:hAnsi="仿宋" w:eastAsia="仿宋" w:cs="Times New Roman"/>
          <w:sz w:val="32"/>
          <w:szCs w:val="32"/>
        </w:rPr>
      </w:pPr>
      <w:r>
        <w:rPr>
          <w:rFonts w:hint="eastAsia" w:ascii="楷体_GB2312" w:hAnsi="宋体" w:eastAsia="楷体_GB2312" w:cs="Times New Roman"/>
          <w:b/>
          <w:sz w:val="32"/>
          <w:szCs w:val="32"/>
          <w:lang w:val="zh-CN"/>
        </w:rPr>
        <w:t>（四）项目绩效目标设置。</w:t>
      </w:r>
      <w:r>
        <w:rPr>
          <w:rFonts w:hint="eastAsia" w:ascii="仿宋" w:hAnsi="仿宋" w:eastAsia="仿宋" w:cs="Times New Roman"/>
          <w:sz w:val="32"/>
          <w:szCs w:val="32"/>
        </w:rPr>
        <w:t>项目主要采购救灾物资棉被1700床、单帐篷（8㎡）200顶。发挥良好的社会效益，及时有效提高应急处突能力。</w:t>
      </w:r>
    </w:p>
    <w:p w14:paraId="0F8A24B0">
      <w:pPr>
        <w:adjustRightInd w:val="0"/>
        <w:snapToGrid w:val="0"/>
        <w:spacing w:line="578" w:lineRule="exact"/>
        <w:ind w:firstLine="640" w:firstLineChars="200"/>
        <w:rPr>
          <w:rFonts w:ascii="黑体" w:hAnsi="宋体" w:eastAsia="黑体" w:cs="Times New Roman"/>
          <w:sz w:val="32"/>
          <w:szCs w:val="32"/>
        </w:rPr>
      </w:pPr>
      <w:r>
        <w:rPr>
          <w:rFonts w:hint="eastAsia" w:ascii="黑体" w:hAnsi="宋体" w:eastAsia="黑体" w:cs="Times New Roman"/>
          <w:sz w:val="32"/>
          <w:szCs w:val="32"/>
        </w:rPr>
        <w:t>二、评价实施</w:t>
      </w:r>
    </w:p>
    <w:p w14:paraId="27702FEF">
      <w:pPr>
        <w:spacing w:line="578" w:lineRule="exact"/>
        <w:ind w:firstLine="640"/>
        <w:rPr>
          <w:rFonts w:ascii="楷体_GB2312" w:hAnsi="宋体" w:eastAsia="楷体_GB2312" w:cs="Times New Roman"/>
          <w:b/>
          <w:sz w:val="32"/>
          <w:szCs w:val="32"/>
          <w:lang w:val="zh-CN"/>
        </w:rPr>
      </w:pPr>
      <w:r>
        <w:rPr>
          <w:rFonts w:hint="eastAsia" w:ascii="楷体_GB2312" w:hAnsi="宋体" w:eastAsia="楷体_GB2312" w:cs="Times New Roman"/>
          <w:b/>
          <w:sz w:val="32"/>
          <w:szCs w:val="32"/>
          <w:lang w:val="zh-CN"/>
        </w:rPr>
        <w:t>（一）评价目的。</w:t>
      </w:r>
    </w:p>
    <w:p w14:paraId="5AF62043">
      <w:pPr>
        <w:snapToGrid w:val="0"/>
        <w:spacing w:line="600" w:lineRule="exact"/>
        <w:ind w:firstLine="640" w:firstLineChars="200"/>
        <w:jc w:val="left"/>
        <w:rPr>
          <w:rFonts w:ascii="仿宋" w:hAnsi="仿宋" w:eastAsia="仿宋" w:cs="Times New Roman"/>
          <w:sz w:val="32"/>
          <w:szCs w:val="32"/>
        </w:rPr>
      </w:pPr>
      <w:r>
        <w:rPr>
          <w:rFonts w:ascii="仿宋" w:hAnsi="仿宋" w:eastAsia="仿宋" w:cs="Times New Roman"/>
          <w:sz w:val="32"/>
          <w:szCs w:val="32"/>
        </w:rPr>
        <w:t>通过</w:t>
      </w:r>
      <w:r>
        <w:rPr>
          <w:rFonts w:hint="eastAsia" w:ascii="仿宋" w:hAnsi="仿宋" w:eastAsia="仿宋" w:cs="Times New Roman"/>
          <w:sz w:val="32"/>
          <w:szCs w:val="32"/>
        </w:rPr>
        <w:t>项目绩效自评</w:t>
      </w:r>
      <w:r>
        <w:rPr>
          <w:rFonts w:ascii="仿宋" w:hAnsi="仿宋" w:eastAsia="仿宋" w:cs="Times New Roman"/>
          <w:sz w:val="32"/>
          <w:szCs w:val="32"/>
        </w:rPr>
        <w:t>，</w:t>
      </w:r>
      <w:r>
        <w:rPr>
          <w:rFonts w:hint="eastAsia" w:ascii="仿宋" w:hAnsi="仿宋" w:eastAsia="仿宋" w:cs="Times New Roman"/>
          <w:sz w:val="32"/>
          <w:szCs w:val="32"/>
        </w:rPr>
        <w:t>为项目设立和预算安排提供重要参考依据，提高预算编制科学性、合理性，优化财政支出结构，从源头上防控财政资源配置的低效无效，提高财政资源配置效率和财政资金使用效益。</w:t>
      </w:r>
    </w:p>
    <w:p w14:paraId="1D9E21EE">
      <w:pPr>
        <w:adjustRightInd w:val="0"/>
        <w:snapToGrid w:val="0"/>
        <w:spacing w:line="576" w:lineRule="exact"/>
        <w:ind w:firstLine="720"/>
        <w:rPr>
          <w:rFonts w:ascii="仿宋" w:hAnsi="仿宋" w:eastAsia="仿宋" w:cs="Times New Roman"/>
          <w:sz w:val="32"/>
          <w:szCs w:val="32"/>
        </w:rPr>
      </w:pPr>
      <w:r>
        <w:rPr>
          <w:rFonts w:hint="eastAsia" w:ascii="楷体_GB2312" w:hAnsi="宋体" w:eastAsia="楷体_GB2312" w:cs="Times New Roman"/>
          <w:b/>
          <w:sz w:val="32"/>
          <w:szCs w:val="32"/>
          <w:lang w:val="zh-CN"/>
        </w:rPr>
        <w:t>（二）预设问题及评价重点。</w:t>
      </w:r>
      <w:r>
        <w:rPr>
          <w:rFonts w:hint="eastAsia" w:ascii="仿宋" w:hAnsi="仿宋" w:eastAsia="仿宋" w:cs="Times New Roman"/>
          <w:sz w:val="32"/>
          <w:szCs w:val="32"/>
        </w:rPr>
        <w:t>项目申报内容与具体实施内容相符、申报目标合理可行，资金使用合理。</w:t>
      </w:r>
    </w:p>
    <w:p w14:paraId="44A0AC58">
      <w:pPr>
        <w:adjustRightInd w:val="0"/>
        <w:snapToGrid w:val="0"/>
        <w:spacing w:line="578" w:lineRule="exact"/>
        <w:ind w:firstLine="643" w:firstLineChars="200"/>
        <w:rPr>
          <w:rFonts w:ascii="仿宋" w:hAnsi="仿宋" w:eastAsia="仿宋" w:cs="Times New Roman"/>
          <w:sz w:val="32"/>
          <w:szCs w:val="32"/>
        </w:rPr>
      </w:pPr>
      <w:r>
        <w:rPr>
          <w:rFonts w:hint="eastAsia" w:ascii="楷体_GB2312" w:hAnsi="宋体" w:eastAsia="楷体_GB2312" w:cs="Times New Roman"/>
          <w:b/>
          <w:sz w:val="32"/>
          <w:szCs w:val="32"/>
          <w:lang w:val="zh-CN"/>
        </w:rPr>
        <w:t>（三）评价选点。</w:t>
      </w:r>
      <w:r>
        <w:rPr>
          <w:rFonts w:hint="eastAsia" w:ascii="仿宋" w:hAnsi="仿宋" w:eastAsia="仿宋" w:cs="Times New Roman"/>
          <w:sz w:val="32"/>
          <w:szCs w:val="32"/>
        </w:rPr>
        <w:t>严格执行救灾物资采购程序。采购棉被1700床、单帐篷（8㎡）200顶物资。</w:t>
      </w:r>
    </w:p>
    <w:p w14:paraId="3CDA7C41">
      <w:pPr>
        <w:snapToGrid w:val="0"/>
        <w:spacing w:line="600" w:lineRule="exact"/>
        <w:ind w:firstLine="643" w:firstLineChars="200"/>
        <w:rPr>
          <w:rFonts w:ascii="仿宋" w:hAnsi="仿宋" w:eastAsia="仿宋" w:cs="Times New Roman"/>
          <w:sz w:val="32"/>
          <w:szCs w:val="32"/>
        </w:rPr>
      </w:pPr>
      <w:r>
        <w:rPr>
          <w:rFonts w:hint="eastAsia" w:ascii="楷体_GB2312" w:hAnsi="宋体" w:eastAsia="楷体_GB2312" w:cs="Times New Roman"/>
          <w:b/>
          <w:sz w:val="32"/>
          <w:szCs w:val="32"/>
          <w:lang w:val="zh-CN"/>
        </w:rPr>
        <w:t>（四）评价方法。</w:t>
      </w:r>
      <w:r>
        <w:rPr>
          <w:rFonts w:hint="eastAsia" w:ascii="仿宋" w:hAnsi="仿宋" w:eastAsia="仿宋" w:cs="仿宋_GB2312"/>
          <w:sz w:val="32"/>
          <w:szCs w:val="32"/>
        </w:rPr>
        <w:t>按照有关规定和工作安排</w:t>
      </w:r>
      <w:r>
        <w:rPr>
          <w:rFonts w:hint="eastAsia" w:ascii="仿宋" w:hAnsi="仿宋" w:eastAsia="仿宋" w:cs="Times New Roman"/>
          <w:sz w:val="32"/>
          <w:szCs w:val="32"/>
        </w:rPr>
        <w:t>，通过现场踏勘、与项目相关人员座谈或讨论、</w:t>
      </w:r>
      <w:r>
        <w:rPr>
          <w:rFonts w:ascii="仿宋" w:hAnsi="仿宋" w:eastAsia="仿宋" w:cs="Times New Roman"/>
          <w:sz w:val="32"/>
          <w:szCs w:val="32"/>
        </w:rPr>
        <w:t>聘请相关专业专家、市场调研</w:t>
      </w:r>
      <w:r>
        <w:rPr>
          <w:rFonts w:hint="eastAsia" w:ascii="仿宋" w:hAnsi="仿宋" w:eastAsia="仿宋" w:cs="Times New Roman"/>
          <w:sz w:val="32"/>
          <w:szCs w:val="32"/>
        </w:rPr>
        <w:t>等方法</w:t>
      </w:r>
      <w:r>
        <w:rPr>
          <w:rFonts w:ascii="仿宋" w:hAnsi="仿宋" w:eastAsia="仿宋" w:cs="Times New Roman"/>
          <w:sz w:val="32"/>
          <w:szCs w:val="32"/>
        </w:rPr>
        <w:t>了解项目情况</w:t>
      </w:r>
      <w:r>
        <w:rPr>
          <w:rFonts w:hint="eastAsia" w:ascii="仿宋" w:hAnsi="仿宋" w:eastAsia="仿宋" w:cs="Times New Roman"/>
          <w:sz w:val="32"/>
          <w:szCs w:val="32"/>
        </w:rPr>
        <w:t>，收集相关资料，综合分析相关情况后，对项目的立项必要性、投入经济性、目标合理性、方案可行性以及筹资合规性实施评估。</w:t>
      </w:r>
    </w:p>
    <w:p w14:paraId="523440E2">
      <w:pPr>
        <w:spacing w:line="578" w:lineRule="exact"/>
        <w:ind w:firstLine="640"/>
        <w:rPr>
          <w:rFonts w:ascii="仿宋" w:hAnsi="仿宋" w:eastAsia="仿宋" w:cs="Times New Roman"/>
          <w:sz w:val="32"/>
          <w:szCs w:val="32"/>
        </w:rPr>
      </w:pPr>
      <w:r>
        <w:rPr>
          <w:rFonts w:hint="eastAsia" w:ascii="楷体_GB2312" w:hAnsi="宋体" w:eastAsia="楷体_GB2312" w:cs="Times New Roman"/>
          <w:b/>
          <w:sz w:val="32"/>
          <w:szCs w:val="32"/>
          <w:lang w:val="zh-CN"/>
        </w:rPr>
        <w:t>（五）评价组织。</w:t>
      </w:r>
      <w:r>
        <w:rPr>
          <w:rFonts w:ascii="仿宋" w:hAnsi="仿宋" w:eastAsia="仿宋" w:cs="Times New Roman"/>
          <w:sz w:val="32"/>
          <w:szCs w:val="32"/>
        </w:rPr>
        <w:t>评价组人员由市发展和改革委风管领导、市应急管理业务联系科室负责人、救灾物资管理中心负责等组成。</w:t>
      </w:r>
    </w:p>
    <w:p w14:paraId="54314184">
      <w:pPr>
        <w:adjustRightInd w:val="0"/>
        <w:snapToGrid w:val="0"/>
        <w:spacing w:line="520" w:lineRule="exact"/>
        <w:ind w:firstLine="640" w:firstLineChars="200"/>
        <w:rPr>
          <w:rFonts w:ascii="仿宋" w:hAnsi="仿宋" w:eastAsia="仿宋" w:cs="Times New Roman"/>
          <w:sz w:val="32"/>
          <w:szCs w:val="32"/>
        </w:rPr>
      </w:pPr>
      <w:r>
        <w:rPr>
          <w:rFonts w:hint="eastAsia" w:ascii="仿宋" w:hAnsi="仿宋" w:eastAsia="仿宋" w:cs="Times New Roman"/>
          <w:sz w:val="32"/>
          <w:szCs w:val="32"/>
        </w:rPr>
        <w:t>项目由市救灾物资物资管理中心严格按照政府采购流程组织实施。组织机构健全、职责分工明确，基础设施条件能够有效保障该项目的实施，并结合实际制定了项目实施方案，进一步明确了项目实施时间、工作程序和质量检查、验收等控制措施和应对突发事件的应急措施。</w:t>
      </w:r>
    </w:p>
    <w:p w14:paraId="09CB8F0A">
      <w:pPr>
        <w:adjustRightInd w:val="0"/>
        <w:snapToGrid w:val="0"/>
        <w:spacing w:line="578" w:lineRule="exact"/>
        <w:ind w:firstLine="640" w:firstLineChars="200"/>
        <w:rPr>
          <w:rFonts w:ascii="仿宋_GB2312" w:hAnsi="宋体" w:eastAsia="仿宋_GB2312" w:cs="Times New Roman"/>
          <w:sz w:val="32"/>
          <w:szCs w:val="32"/>
          <w:lang w:val="zh-CN"/>
        </w:rPr>
      </w:pPr>
      <w:r>
        <w:rPr>
          <w:rFonts w:hint="eastAsia" w:ascii="黑体" w:hAnsi="宋体" w:eastAsia="黑体" w:cs="Times New Roman"/>
          <w:sz w:val="32"/>
          <w:szCs w:val="32"/>
        </w:rPr>
        <w:t>三、绩效分析</w:t>
      </w:r>
      <w:r>
        <w:rPr>
          <w:rFonts w:hint="eastAsia" w:ascii="仿宋_GB2312" w:hAnsi="宋体" w:eastAsia="仿宋_GB2312" w:cs="Times New Roman"/>
          <w:sz w:val="32"/>
          <w:szCs w:val="32"/>
          <w:lang w:val="zh-CN"/>
        </w:rPr>
        <w:tab/>
      </w:r>
    </w:p>
    <w:p w14:paraId="4B9A20DF">
      <w:pPr>
        <w:adjustRightInd w:val="0"/>
        <w:snapToGrid w:val="0"/>
        <w:spacing w:line="578" w:lineRule="exact"/>
        <w:ind w:firstLine="643" w:firstLineChars="200"/>
        <w:rPr>
          <w:rFonts w:ascii="仿宋_GB2312" w:hAnsi="宋体" w:eastAsia="仿宋_GB2312" w:cs="Times New Roman"/>
          <w:sz w:val="32"/>
          <w:szCs w:val="32"/>
          <w:lang w:val="zh-CN"/>
        </w:rPr>
      </w:pPr>
      <w:r>
        <w:rPr>
          <w:rFonts w:hint="eastAsia" w:ascii="楷体_GB2312" w:hAnsi="宋体" w:eastAsia="楷体_GB2312" w:cs="Times New Roman"/>
          <w:b/>
          <w:sz w:val="32"/>
          <w:szCs w:val="32"/>
          <w:lang w:val="zh-CN"/>
        </w:rPr>
        <w:t>（一）</w:t>
      </w:r>
      <w:r>
        <w:rPr>
          <w:rFonts w:hint="eastAsia" w:ascii="楷体_GB2312" w:hAnsi="宋体" w:eastAsia="楷体_GB2312" w:cs="Times New Roman"/>
          <w:b/>
          <w:sz w:val="32"/>
          <w:szCs w:val="32"/>
        </w:rPr>
        <w:t>通用指标</w:t>
      </w:r>
      <w:r>
        <w:rPr>
          <w:rFonts w:ascii="Times New Roman" w:hAnsi="Times New Roman" w:eastAsia="楷体_GB2312" w:cs="Times New Roman"/>
          <w:b/>
          <w:bCs/>
          <w:color w:val="000000"/>
          <w:kern w:val="0"/>
          <w:sz w:val="32"/>
          <w:szCs w:val="32"/>
          <w:shd w:val="clear" w:color="auto" w:fill="FFFFFF"/>
          <w:lang w:val="zh-CN"/>
        </w:rPr>
        <w:t>绩效分析。</w:t>
      </w:r>
    </w:p>
    <w:p w14:paraId="16D7FF52">
      <w:pPr>
        <w:adjustRightInd w:val="0"/>
        <w:snapToGrid w:val="0"/>
        <w:spacing w:line="578" w:lineRule="exact"/>
        <w:ind w:firstLine="643" w:firstLineChars="200"/>
        <w:rPr>
          <w:rFonts w:ascii="仿宋_GB2312" w:hAnsi="宋体" w:eastAsia="仿宋_GB2312" w:cs="Times New Roman"/>
          <w:sz w:val="32"/>
          <w:szCs w:val="32"/>
          <w:lang w:val="zh-CN"/>
        </w:rPr>
      </w:pPr>
      <w:r>
        <w:rPr>
          <w:rFonts w:hint="eastAsia" w:ascii="仿宋" w:hAnsi="仿宋" w:eastAsia="仿宋" w:cs="Times New Roman"/>
          <w:b/>
          <w:sz w:val="32"/>
          <w:szCs w:val="32"/>
        </w:rPr>
        <w:t>1.项目决策。</w:t>
      </w:r>
      <w:r>
        <w:rPr>
          <w:rFonts w:hint="eastAsia" w:ascii="仿宋" w:hAnsi="仿宋" w:eastAsia="仿宋" w:cs="Times New Roman"/>
          <w:sz w:val="32"/>
          <w:szCs w:val="32"/>
        </w:rPr>
        <w:t>项目依据广元市应急管理局提出的2023年救灾物资需求计划、现目前救灾物资仓储现状和资金投向等提出的采购品名和数量。项目符合资金管理基本规范和决策程序要求，项目规划论证否符合中省市要求，项目绩效目标设置科学合理。项目资金与相关行业事业发展相匹配，属于政府支持范围，且符合财政事权支出责任划分规定，未与其他同类项目或部门内部相关项目交叉重复。绩效分析得分18分。</w:t>
      </w:r>
    </w:p>
    <w:p w14:paraId="61256667">
      <w:pPr>
        <w:adjustRightInd w:val="0"/>
        <w:snapToGrid w:val="0"/>
        <w:spacing w:line="578" w:lineRule="exact"/>
        <w:ind w:firstLine="643" w:firstLineChars="200"/>
        <w:rPr>
          <w:rFonts w:ascii="仿宋_GB2312" w:hAnsi="宋体" w:eastAsia="仿宋_GB2312" w:cs="Times New Roman"/>
          <w:sz w:val="32"/>
          <w:szCs w:val="32"/>
          <w:lang w:val="zh-CN"/>
        </w:rPr>
      </w:pPr>
      <w:r>
        <w:rPr>
          <w:rFonts w:hint="eastAsia" w:ascii="仿宋" w:hAnsi="仿宋" w:eastAsia="仿宋" w:cs="Times New Roman"/>
          <w:b/>
          <w:sz w:val="32"/>
          <w:szCs w:val="32"/>
        </w:rPr>
        <w:t>2.项目管理。</w:t>
      </w:r>
      <w:r>
        <w:rPr>
          <w:rFonts w:hint="eastAsia" w:ascii="仿宋" w:hAnsi="仿宋" w:eastAsia="仿宋" w:cs="Times New Roman"/>
          <w:sz w:val="32"/>
          <w:szCs w:val="32"/>
        </w:rPr>
        <w:t>项目制度办法、资金管理办法等管理制度体系健全完善，不存在管理制度缺失、管理办法过期情况，项目管理、审批符合管理要求，决策程序符合管理要求，及时高效，项目开展严格按照要求全面完成绩效目标（含事前评估）、绩效评价等预算绩效管理工作。绩效分析得分18分。</w:t>
      </w:r>
    </w:p>
    <w:p w14:paraId="36195D26">
      <w:pPr>
        <w:adjustRightInd w:val="0"/>
        <w:snapToGrid w:val="0"/>
        <w:spacing w:line="578" w:lineRule="exact"/>
        <w:ind w:firstLine="643" w:firstLineChars="200"/>
        <w:rPr>
          <w:rFonts w:ascii="仿宋_GB2312" w:hAnsi="宋体" w:eastAsia="仿宋_GB2312" w:cs="Times New Roman"/>
          <w:sz w:val="32"/>
          <w:szCs w:val="32"/>
          <w:lang w:val="zh-CN"/>
        </w:rPr>
      </w:pPr>
      <w:r>
        <w:rPr>
          <w:rFonts w:hint="eastAsia" w:ascii="仿宋" w:hAnsi="仿宋" w:eastAsia="仿宋" w:cs="Times New Roman"/>
          <w:b/>
          <w:sz w:val="32"/>
          <w:szCs w:val="32"/>
        </w:rPr>
        <w:t>3.项目实施。</w:t>
      </w:r>
      <w:r>
        <w:rPr>
          <w:rFonts w:hint="eastAsia" w:ascii="仿宋" w:hAnsi="仿宋" w:eastAsia="仿宋" w:cs="Times New Roman"/>
          <w:sz w:val="32"/>
          <w:szCs w:val="32"/>
        </w:rPr>
        <w:t>项目资金财政拨付60万元，单位执行到位57.79万元。项目资金使用、拨付符合国家财经法规、财务管理制度及有关专项资金管理制度办法规定和审批程序。绩效分析得分9分。</w:t>
      </w:r>
    </w:p>
    <w:p w14:paraId="7061711F">
      <w:pPr>
        <w:adjustRightInd w:val="0"/>
        <w:snapToGrid w:val="0"/>
        <w:spacing w:line="578" w:lineRule="exact"/>
        <w:ind w:firstLine="643" w:firstLineChars="200"/>
        <w:rPr>
          <w:rFonts w:ascii="仿宋" w:hAnsi="仿宋" w:eastAsia="仿宋" w:cs="Times New Roman"/>
          <w:sz w:val="32"/>
          <w:szCs w:val="32"/>
        </w:rPr>
      </w:pPr>
      <w:r>
        <w:rPr>
          <w:rFonts w:hint="eastAsia" w:ascii="仿宋" w:hAnsi="仿宋" w:eastAsia="仿宋" w:cs="Times New Roman"/>
          <w:b/>
          <w:sz w:val="32"/>
          <w:szCs w:val="32"/>
        </w:rPr>
        <w:t>4.项目结果。</w:t>
      </w:r>
      <w:r>
        <w:rPr>
          <w:rFonts w:hint="eastAsia" w:ascii="仿宋" w:hAnsi="仿宋" w:eastAsia="仿宋" w:cs="Times New Roman"/>
          <w:sz w:val="32"/>
          <w:szCs w:val="32"/>
        </w:rPr>
        <w:t>项目时效提前2个月，达到了预期目标，实施结果与绩效目标相匹配。绩效分析得分9分。</w:t>
      </w:r>
    </w:p>
    <w:p w14:paraId="0E8F7821">
      <w:pPr>
        <w:spacing w:line="578" w:lineRule="exact"/>
        <w:ind w:firstLine="643" w:firstLineChars="200"/>
        <w:rPr>
          <w:rFonts w:ascii="仿宋" w:hAnsi="仿宋" w:eastAsia="仿宋" w:cs="Times New Roman"/>
          <w:sz w:val="32"/>
          <w:szCs w:val="32"/>
        </w:rPr>
      </w:pPr>
      <w:r>
        <w:rPr>
          <w:rFonts w:hint="eastAsia" w:ascii="楷体_GB2312" w:hAnsi="宋体" w:eastAsia="楷体_GB2312" w:cs="Times New Roman"/>
          <w:b/>
          <w:sz w:val="32"/>
          <w:szCs w:val="32"/>
        </w:rPr>
        <w:t>（二）专用指标</w:t>
      </w:r>
      <w:r>
        <w:rPr>
          <w:rFonts w:ascii="楷体_GB2312" w:hAnsi="宋体" w:eastAsia="楷体_GB2312" w:cs="Times New Roman"/>
          <w:b/>
          <w:sz w:val="32"/>
          <w:szCs w:val="32"/>
        </w:rPr>
        <w:t>绩效分析。</w:t>
      </w:r>
      <w:r>
        <w:rPr>
          <w:rFonts w:hint="eastAsia" w:ascii="仿宋" w:hAnsi="仿宋" w:eastAsia="仿宋" w:cs="Times New Roman"/>
          <w:sz w:val="32"/>
          <w:szCs w:val="32"/>
        </w:rPr>
        <w:t>根据专项预算项目资金支持对象，选择民生保障、行政运转进行绩效分析。</w:t>
      </w:r>
    </w:p>
    <w:p w14:paraId="791D4357">
      <w:pPr>
        <w:adjustRightInd w:val="0"/>
        <w:snapToGrid w:val="0"/>
        <w:spacing w:line="578" w:lineRule="exact"/>
        <w:ind w:firstLine="643" w:firstLineChars="200"/>
        <w:rPr>
          <w:rFonts w:ascii="仿宋" w:hAnsi="仿宋" w:eastAsia="仿宋" w:cs="Times New Roman"/>
          <w:sz w:val="32"/>
          <w:szCs w:val="32"/>
        </w:rPr>
      </w:pPr>
      <w:r>
        <w:rPr>
          <w:rFonts w:hint="eastAsia" w:ascii="仿宋" w:hAnsi="仿宋" w:eastAsia="仿宋" w:cs="Times New Roman"/>
          <w:b/>
          <w:sz w:val="32"/>
          <w:szCs w:val="32"/>
        </w:rPr>
        <w:t>1.民生保障。</w:t>
      </w:r>
      <w:r>
        <w:rPr>
          <w:rFonts w:hint="eastAsia" w:ascii="仿宋" w:hAnsi="仿宋" w:eastAsia="仿宋" w:cs="Times New Roman"/>
          <w:sz w:val="32"/>
          <w:szCs w:val="32"/>
        </w:rPr>
        <w:t>2023年发放救灾物资棉被9000床，棉大衣3478件等物资。切实为困难群众温暖越冬提供了坚实的物资保障。绩效分析得分30分。</w:t>
      </w:r>
    </w:p>
    <w:p w14:paraId="7EBB4CEE">
      <w:pPr>
        <w:adjustRightInd w:val="0"/>
        <w:snapToGrid w:val="0"/>
        <w:spacing w:line="578" w:lineRule="exact"/>
        <w:ind w:firstLine="643" w:firstLineChars="200"/>
        <w:rPr>
          <w:rFonts w:ascii="仿宋" w:hAnsi="仿宋" w:eastAsia="仿宋" w:cs="Times New Roman"/>
          <w:sz w:val="32"/>
          <w:szCs w:val="32"/>
        </w:rPr>
      </w:pPr>
      <w:r>
        <w:rPr>
          <w:rFonts w:hint="eastAsia" w:ascii="楷体_GB2312" w:hAnsi="宋体" w:eastAsia="楷体_GB2312" w:cs="Times New Roman"/>
          <w:b/>
          <w:sz w:val="32"/>
          <w:szCs w:val="32"/>
          <w:lang w:val="zh-CN"/>
        </w:rPr>
        <w:t>（三）</w:t>
      </w:r>
      <w:r>
        <w:rPr>
          <w:rFonts w:hint="eastAsia" w:ascii="楷体_GB2312" w:hAnsi="宋体" w:eastAsia="楷体_GB2312" w:cs="Times New Roman"/>
          <w:b/>
          <w:sz w:val="32"/>
          <w:szCs w:val="32"/>
        </w:rPr>
        <w:t>个性指标</w:t>
      </w:r>
      <w:r>
        <w:rPr>
          <w:rFonts w:ascii="Times New Roman" w:hAnsi="Times New Roman" w:eastAsia="楷体_GB2312" w:cs="Times New Roman"/>
          <w:b/>
          <w:bCs/>
          <w:color w:val="000000"/>
          <w:kern w:val="0"/>
          <w:sz w:val="32"/>
          <w:szCs w:val="32"/>
          <w:shd w:val="clear" w:color="auto" w:fill="FFFFFF"/>
          <w:lang w:val="zh-CN"/>
        </w:rPr>
        <w:t>绩效分析。</w:t>
      </w:r>
      <w:r>
        <w:rPr>
          <w:rFonts w:hint="eastAsia" w:ascii="仿宋" w:hAnsi="仿宋" w:eastAsia="仿宋" w:cs="Times New Roman"/>
          <w:sz w:val="32"/>
          <w:szCs w:val="32"/>
        </w:rPr>
        <w:t>严格按照政府采购程序，在绩效设定时效内，提前完成采购棉被1700床、单帐篷（8㎡）200顶救灾物资的采购任务，各项指标绩效设置合理，实施结果与绩效目标相匹配。绩效分析得分16分。</w:t>
      </w:r>
    </w:p>
    <w:p w14:paraId="59640048">
      <w:pPr>
        <w:adjustRightInd w:val="0"/>
        <w:snapToGrid w:val="0"/>
        <w:spacing w:line="578" w:lineRule="exact"/>
        <w:ind w:firstLine="640" w:firstLineChars="200"/>
        <w:rPr>
          <w:rFonts w:ascii="仿宋" w:hAnsi="仿宋" w:eastAsia="仿宋" w:cs="Times New Roman"/>
          <w:sz w:val="32"/>
          <w:szCs w:val="32"/>
        </w:rPr>
      </w:pPr>
      <w:r>
        <w:rPr>
          <w:rFonts w:hint="eastAsia" w:ascii="黑体" w:hAnsi="宋体" w:eastAsia="仿宋_GB2312" w:cs="Times New Roman"/>
          <w:sz w:val="32"/>
          <w:szCs w:val="32"/>
        </w:rPr>
        <w:t>四、评价结论</w:t>
      </w:r>
    </w:p>
    <w:p w14:paraId="35AB4DAE">
      <w:pPr>
        <w:adjustRightInd w:val="0"/>
        <w:snapToGrid w:val="0"/>
        <w:spacing w:line="576" w:lineRule="exact"/>
        <w:ind w:firstLine="720"/>
        <w:rPr>
          <w:rFonts w:ascii="仿宋" w:hAnsi="仿宋" w:eastAsia="仿宋" w:cs="Times New Roman"/>
          <w:sz w:val="32"/>
          <w:szCs w:val="32"/>
        </w:rPr>
      </w:pPr>
      <w:r>
        <w:rPr>
          <w:rFonts w:hint="eastAsia" w:ascii="仿宋" w:hAnsi="仿宋" w:eastAsia="仿宋" w:cs="Times New Roman"/>
          <w:sz w:val="32"/>
          <w:szCs w:val="32"/>
        </w:rPr>
        <w:t>项目历时4个月，采购棉被1700床、单帐篷（8㎡）200顶物资，项目的实施及时，有效提高了应急处突能力，发挥了良好的社会效益。绩效</w:t>
      </w:r>
      <w:r>
        <w:rPr>
          <w:rFonts w:ascii="仿宋" w:hAnsi="仿宋" w:eastAsia="仿宋" w:cs="Times New Roman"/>
          <w:sz w:val="32"/>
          <w:szCs w:val="32"/>
        </w:rPr>
        <w:t>分析</w:t>
      </w:r>
      <w:r>
        <w:rPr>
          <w:rFonts w:hint="eastAsia" w:ascii="仿宋" w:hAnsi="仿宋" w:eastAsia="仿宋" w:cs="Times New Roman"/>
          <w:sz w:val="32"/>
          <w:szCs w:val="32"/>
        </w:rPr>
        <w:t>评分100分。</w:t>
      </w:r>
    </w:p>
    <w:p w14:paraId="68B23556">
      <w:pPr>
        <w:widowControl/>
        <w:tabs>
          <w:tab w:val="left" w:pos="2160"/>
        </w:tabs>
        <w:spacing w:line="600" w:lineRule="exact"/>
        <w:ind w:firstLine="640" w:firstLineChars="200"/>
        <w:jc w:val="left"/>
        <w:rPr>
          <w:rFonts w:ascii="黑体" w:hAnsi="宋体" w:eastAsia="黑体" w:cs="Times New Roman"/>
          <w:kern w:val="0"/>
          <w:position w:val="3"/>
          <w:sz w:val="32"/>
          <w:szCs w:val="32"/>
          <w:lang w:val="en-US" w:eastAsia="zh-CN" w:bidi="ar-SA"/>
        </w:rPr>
      </w:pPr>
      <w:r>
        <w:rPr>
          <w:rFonts w:hint="eastAsia" w:ascii="黑体" w:hAnsi="宋体" w:eastAsia="黑体" w:cs="Times New Roman"/>
          <w:kern w:val="0"/>
          <w:position w:val="3"/>
          <w:sz w:val="32"/>
          <w:szCs w:val="32"/>
          <w:lang w:val="en-US" w:eastAsia="zh-CN" w:bidi="ar-SA"/>
        </w:rPr>
        <w:t>五、存在主要问题</w:t>
      </w:r>
    </w:p>
    <w:p w14:paraId="46B47C53">
      <w:pPr>
        <w:widowControl/>
        <w:tabs>
          <w:tab w:val="left" w:pos="2160"/>
        </w:tabs>
        <w:spacing w:line="600" w:lineRule="exact"/>
        <w:ind w:firstLine="640" w:firstLineChars="200"/>
        <w:jc w:val="left"/>
        <w:rPr>
          <w:rFonts w:ascii="黑体" w:hAnsi="黑体" w:eastAsia="黑体" w:cs="黑体"/>
          <w:kern w:val="2"/>
          <w:position w:val="0"/>
          <w:sz w:val="32"/>
          <w:szCs w:val="32"/>
          <w:lang w:val="en-US" w:eastAsia="zh-CN" w:bidi="ar-SA"/>
        </w:rPr>
      </w:pPr>
      <w:r>
        <w:rPr>
          <w:rFonts w:ascii="黑体" w:hAnsi="黑体" w:eastAsia="黑体" w:cs="黑体"/>
          <w:kern w:val="2"/>
          <w:position w:val="0"/>
          <w:sz w:val="32"/>
          <w:szCs w:val="32"/>
          <w:lang w:val="en-US" w:eastAsia="zh-CN" w:bidi="ar-SA"/>
        </w:rPr>
        <w:t>无</w:t>
      </w:r>
    </w:p>
    <w:p w14:paraId="1929457B">
      <w:pPr>
        <w:widowControl/>
        <w:tabs>
          <w:tab w:val="left" w:pos="2160"/>
        </w:tabs>
        <w:spacing w:line="600" w:lineRule="exact"/>
        <w:ind w:firstLine="640" w:firstLineChars="200"/>
        <w:jc w:val="left"/>
        <w:rPr>
          <w:rFonts w:ascii="黑体" w:hAnsi="宋体" w:eastAsia="黑体" w:cs="Times New Roman"/>
          <w:kern w:val="0"/>
          <w:position w:val="3"/>
          <w:sz w:val="32"/>
          <w:szCs w:val="32"/>
          <w:lang w:val="zh-CN" w:eastAsia="zh-CN" w:bidi="ar-SA"/>
        </w:rPr>
      </w:pPr>
      <w:r>
        <w:rPr>
          <w:rFonts w:hint="eastAsia" w:ascii="黑体" w:hAnsi="宋体" w:eastAsia="黑体" w:cs="Times New Roman"/>
          <w:kern w:val="0"/>
          <w:position w:val="3"/>
          <w:sz w:val="32"/>
          <w:szCs w:val="32"/>
          <w:lang w:val="zh-CN" w:eastAsia="zh-CN" w:bidi="ar-SA"/>
        </w:rPr>
        <w:t>六、改进建议</w:t>
      </w:r>
    </w:p>
    <w:p w14:paraId="40C6D7E2">
      <w:pPr>
        <w:tabs>
          <w:tab w:val="left" w:pos="1911"/>
        </w:tabs>
        <w:jc w:val="left"/>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rPr>
        <w:t>无</w:t>
      </w:r>
    </w:p>
    <w:p w14:paraId="4F9611BF">
      <w:pPr>
        <w:snapToGrid w:val="0"/>
        <w:spacing w:line="578" w:lineRule="exact"/>
        <w:ind w:firstLine="640" w:firstLineChars="200"/>
        <w:rPr>
          <w:rFonts w:ascii="Times New Roman" w:hAnsi="Times New Roman" w:eastAsia="仿宋_GB2312" w:cs="Times New Roman"/>
          <w:color w:val="000000"/>
          <w:kern w:val="0"/>
          <w:sz w:val="32"/>
          <w:szCs w:val="32"/>
          <w:shd w:val="clear" w:color="auto" w:fill="FFFFFF"/>
          <w:lang w:val="zh-CN"/>
        </w:rPr>
      </w:pPr>
    </w:p>
    <w:p w14:paraId="30A3FCF1">
      <w:pPr>
        <w:snapToGrid w:val="0"/>
        <w:spacing w:line="578" w:lineRule="exact"/>
        <w:ind w:firstLine="640" w:firstLineChars="200"/>
        <w:rPr>
          <w:rFonts w:ascii="仿宋" w:hAnsi="仿宋" w:eastAsia="仿宋" w:cs="Times New Roman"/>
          <w:sz w:val="32"/>
          <w:szCs w:val="32"/>
        </w:rPr>
      </w:pPr>
      <w:r>
        <w:rPr>
          <w:rFonts w:hint="eastAsia" w:ascii="仿宋" w:hAnsi="仿宋" w:eastAsia="仿宋" w:cs="Times New Roman"/>
          <w:sz w:val="32"/>
          <w:szCs w:val="32"/>
        </w:rPr>
        <w:t>附表：1.项目资金分配涉及所有点位自评得分情况表</w:t>
      </w:r>
    </w:p>
    <w:p w14:paraId="08009B4C">
      <w:pPr>
        <w:snapToGrid w:val="0"/>
        <w:spacing w:line="578" w:lineRule="exact"/>
        <w:ind w:firstLine="1600" w:firstLineChars="500"/>
        <w:rPr>
          <w:rFonts w:ascii="仿宋" w:hAnsi="仿宋" w:eastAsia="仿宋" w:cs="Times New Roman"/>
          <w:sz w:val="32"/>
          <w:szCs w:val="32"/>
        </w:rPr>
      </w:pPr>
      <w:r>
        <w:rPr>
          <w:rFonts w:hint="eastAsia" w:ascii="仿宋" w:hAnsi="仿宋" w:eastAsia="仿宋" w:cs="Times New Roman"/>
          <w:sz w:val="32"/>
          <w:szCs w:val="32"/>
        </w:rPr>
        <w:t>2.专项预算项目绩效目标完成情况自评表</w:t>
      </w:r>
    </w:p>
    <w:p w14:paraId="7496A9E8">
      <w:pPr>
        <w:snapToGrid w:val="0"/>
        <w:spacing w:line="578" w:lineRule="exact"/>
        <w:ind w:firstLine="640" w:firstLineChars="200"/>
        <w:rPr>
          <w:rFonts w:ascii="仿宋" w:hAnsi="仿宋" w:eastAsia="仿宋" w:cs="Times New Roman"/>
          <w:sz w:val="32"/>
          <w:szCs w:val="32"/>
        </w:rPr>
      </w:pPr>
      <w:r>
        <w:rPr>
          <w:rFonts w:hint="eastAsia" w:ascii="仿宋" w:hAnsi="仿宋" w:eastAsia="仿宋" w:cs="Times New Roman"/>
          <w:sz w:val="32"/>
          <w:szCs w:val="32"/>
        </w:rPr>
        <w:br w:type="page"/>
      </w:r>
    </w:p>
    <w:p w14:paraId="23168343">
      <w:pPr>
        <w:widowControl/>
        <w:adjustRightInd w:val="0"/>
        <w:snapToGrid w:val="0"/>
        <w:spacing w:line="578" w:lineRule="exact"/>
        <w:contextualSpacing/>
        <w:jc w:val="left"/>
        <w:rPr>
          <w:rFonts w:ascii="黑体" w:hAnsi="黑体" w:eastAsia="黑体" w:cs="黑体"/>
          <w:kern w:val="0"/>
          <w:sz w:val="32"/>
          <w:szCs w:val="32"/>
          <w:shd w:val="clear" w:color="auto" w:fill="FFFFFF"/>
          <w:lang w:val="zh-CN"/>
        </w:rPr>
      </w:pPr>
      <w:r>
        <w:rPr>
          <w:rFonts w:hint="eastAsia" w:ascii="黑体" w:hAnsi="黑体" w:eastAsia="黑体" w:cs="黑体"/>
          <w:kern w:val="0"/>
          <w:sz w:val="32"/>
          <w:szCs w:val="32"/>
          <w:shd w:val="clear" w:color="auto" w:fill="FFFFFF"/>
          <w:lang w:val="zh-CN"/>
        </w:rPr>
        <w:t>附表</w:t>
      </w:r>
      <w:r>
        <w:rPr>
          <w:rFonts w:hint="eastAsia" w:ascii="黑体" w:hAnsi="黑体" w:eastAsia="黑体" w:cs="黑体"/>
          <w:kern w:val="0"/>
          <w:sz w:val="32"/>
          <w:szCs w:val="32"/>
          <w:shd w:val="clear" w:color="auto" w:fill="FFFFFF"/>
        </w:rPr>
        <w:t>1</w:t>
      </w:r>
    </w:p>
    <w:p w14:paraId="2D0EE218">
      <w:pPr>
        <w:spacing w:line="578" w:lineRule="exact"/>
        <w:jc w:val="center"/>
        <w:rPr>
          <w:rFonts w:ascii="方正小标宋_GBK" w:hAnsi="方正小标宋_GBK" w:eastAsia="方正小标宋_GBK" w:cs="方正小标宋_GBK"/>
          <w:sz w:val="40"/>
          <w:szCs w:val="40"/>
        </w:rPr>
      </w:pPr>
      <w:r>
        <w:rPr>
          <w:rFonts w:hint="eastAsia" w:ascii="方正小标宋_GBK" w:hAnsi="方正小标宋_GBK" w:eastAsia="方正小标宋_GBK" w:cs="方正小标宋_GBK"/>
          <w:sz w:val="40"/>
          <w:szCs w:val="40"/>
        </w:rPr>
        <w:t>项目资金分配涉及所有点位自评得分情况表</w:t>
      </w:r>
    </w:p>
    <w:tbl>
      <w:tblPr>
        <w:tblStyle w:val="21"/>
        <w:tblW w:w="88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23"/>
        <w:gridCol w:w="3843"/>
        <w:gridCol w:w="2861"/>
        <w:gridCol w:w="993"/>
      </w:tblGrid>
      <w:tr w14:paraId="11C58A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tcPr>
          <w:p w14:paraId="07886E34">
            <w:pPr>
              <w:keepNext w:val="0"/>
              <w:keepLines w:val="0"/>
              <w:suppressLineNumbers w:val="0"/>
              <w:spacing w:before="0" w:beforeAutospacing="0" w:after="0" w:afterAutospacing="0" w:line="300" w:lineRule="exact"/>
              <w:ind w:left="0" w:right="0"/>
              <w:jc w:val="center"/>
              <w:rPr>
                <w:rFonts w:hint="default" w:ascii="黑体" w:hAnsi="黑体" w:eastAsia="黑体" w:cs="黑体"/>
                <w:sz w:val="24"/>
                <w:szCs w:val="24"/>
              </w:rPr>
            </w:pPr>
            <w:r>
              <w:rPr>
                <w:rFonts w:hint="eastAsia" w:ascii="黑体" w:hAnsi="黑体" w:eastAsia="黑体" w:cs="黑体"/>
                <w:sz w:val="24"/>
                <w:szCs w:val="24"/>
              </w:rPr>
              <w:t>序号</w:t>
            </w:r>
          </w:p>
        </w:tc>
        <w:tc>
          <w:tcPr>
            <w:tcW w:w="3843" w:type="dxa"/>
          </w:tcPr>
          <w:p w14:paraId="2F7A9931">
            <w:pPr>
              <w:keepNext w:val="0"/>
              <w:keepLines w:val="0"/>
              <w:suppressLineNumbers w:val="0"/>
              <w:spacing w:before="0" w:beforeAutospacing="0" w:after="0" w:afterAutospacing="0" w:line="300" w:lineRule="exact"/>
              <w:ind w:left="0" w:right="0"/>
              <w:jc w:val="center"/>
              <w:rPr>
                <w:rFonts w:hint="default" w:ascii="黑体" w:hAnsi="黑体" w:eastAsia="黑体" w:cs="黑体"/>
                <w:sz w:val="24"/>
                <w:szCs w:val="24"/>
              </w:rPr>
            </w:pPr>
            <w:r>
              <w:rPr>
                <w:rFonts w:hint="eastAsia" w:ascii="黑体" w:hAnsi="黑体" w:eastAsia="黑体" w:cs="黑体"/>
                <w:sz w:val="24"/>
                <w:szCs w:val="24"/>
              </w:rPr>
              <w:t>项目资金末端分配点位</w:t>
            </w:r>
          </w:p>
        </w:tc>
        <w:tc>
          <w:tcPr>
            <w:tcW w:w="2861" w:type="dxa"/>
          </w:tcPr>
          <w:p w14:paraId="69AA29C0">
            <w:pPr>
              <w:keepNext w:val="0"/>
              <w:keepLines w:val="0"/>
              <w:suppressLineNumbers w:val="0"/>
              <w:spacing w:before="0" w:beforeAutospacing="0" w:after="0" w:afterAutospacing="0" w:line="300" w:lineRule="exact"/>
              <w:ind w:left="0" w:right="0"/>
              <w:jc w:val="center"/>
              <w:rPr>
                <w:rFonts w:hint="default" w:ascii="黑体" w:hAnsi="黑体" w:eastAsia="黑体" w:cs="黑体"/>
                <w:sz w:val="24"/>
                <w:szCs w:val="24"/>
              </w:rPr>
            </w:pPr>
            <w:r>
              <w:rPr>
                <w:rFonts w:hint="eastAsia" w:ascii="黑体" w:hAnsi="黑体" w:eastAsia="黑体" w:cs="黑体"/>
                <w:sz w:val="24"/>
                <w:szCs w:val="24"/>
              </w:rPr>
              <w:t>自评得分（百分制）</w:t>
            </w:r>
          </w:p>
        </w:tc>
        <w:tc>
          <w:tcPr>
            <w:tcW w:w="993" w:type="dxa"/>
          </w:tcPr>
          <w:p w14:paraId="6EAFCC55">
            <w:pPr>
              <w:keepNext w:val="0"/>
              <w:keepLines w:val="0"/>
              <w:suppressLineNumbers w:val="0"/>
              <w:spacing w:before="0" w:beforeAutospacing="0" w:after="0" w:afterAutospacing="0" w:line="300" w:lineRule="exact"/>
              <w:ind w:left="0" w:right="0"/>
              <w:jc w:val="center"/>
              <w:rPr>
                <w:rFonts w:hint="default" w:ascii="黑体" w:hAnsi="黑体" w:eastAsia="黑体" w:cs="黑体"/>
                <w:sz w:val="24"/>
                <w:szCs w:val="24"/>
              </w:rPr>
            </w:pPr>
            <w:r>
              <w:rPr>
                <w:rFonts w:hint="eastAsia" w:ascii="黑体" w:hAnsi="黑体" w:eastAsia="黑体" w:cs="黑体"/>
                <w:sz w:val="24"/>
                <w:szCs w:val="24"/>
              </w:rPr>
              <w:t>备注</w:t>
            </w:r>
          </w:p>
        </w:tc>
      </w:tr>
      <w:tr w14:paraId="5E64D7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exact"/>
          <w:jc w:val="center"/>
        </w:trPr>
        <w:tc>
          <w:tcPr>
            <w:tcW w:w="1123" w:type="dxa"/>
          </w:tcPr>
          <w:p w14:paraId="1164753E">
            <w:pPr>
              <w:keepNext w:val="0"/>
              <w:keepLines w:val="0"/>
              <w:suppressLineNumbers w:val="0"/>
              <w:spacing w:before="0" w:beforeAutospacing="0" w:after="0" w:afterAutospacing="0" w:line="300" w:lineRule="exact"/>
              <w:ind w:left="0" w:right="0"/>
              <w:jc w:val="center"/>
              <w:rPr>
                <w:rFonts w:hint="default" w:ascii="宋体" w:hAnsi="宋体" w:eastAsia="宋体" w:cs="宋体"/>
                <w:sz w:val="24"/>
                <w:szCs w:val="24"/>
              </w:rPr>
            </w:pPr>
            <w:r>
              <w:rPr>
                <w:rFonts w:hint="eastAsia" w:ascii="宋体" w:hAnsi="宋体" w:eastAsia="宋体" w:cs="宋体"/>
                <w:sz w:val="24"/>
                <w:szCs w:val="24"/>
              </w:rPr>
              <w:t>1</w:t>
            </w:r>
          </w:p>
        </w:tc>
        <w:tc>
          <w:tcPr>
            <w:tcW w:w="3843" w:type="dxa"/>
            <w:vAlign w:val="center"/>
          </w:tcPr>
          <w:p w14:paraId="6A2A6846">
            <w:pPr>
              <w:keepNext w:val="0"/>
              <w:keepLines w:val="0"/>
              <w:suppressLineNumbers w:val="0"/>
              <w:spacing w:before="0" w:beforeAutospacing="0" w:after="0" w:afterAutospacing="0"/>
              <w:ind w:left="0" w:right="0"/>
              <w:jc w:val="left"/>
              <w:rPr>
                <w:rFonts w:hint="default" w:ascii="宋体" w:hAnsi="宋体" w:eastAsia="宋体" w:cs="宋体"/>
                <w:color w:val="000000"/>
                <w:sz w:val="18"/>
                <w:szCs w:val="18"/>
              </w:rPr>
            </w:pPr>
          </w:p>
        </w:tc>
        <w:tc>
          <w:tcPr>
            <w:tcW w:w="2861" w:type="dxa"/>
            <w:vAlign w:val="center"/>
          </w:tcPr>
          <w:p w14:paraId="10F5FBAF">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p>
        </w:tc>
        <w:tc>
          <w:tcPr>
            <w:tcW w:w="993" w:type="dxa"/>
          </w:tcPr>
          <w:p w14:paraId="4FBD9FE6">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r>
      <w:tr w14:paraId="3B1939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tcPr>
          <w:p w14:paraId="549DA293">
            <w:pPr>
              <w:keepNext w:val="0"/>
              <w:keepLines w:val="0"/>
              <w:suppressLineNumbers w:val="0"/>
              <w:spacing w:before="0" w:beforeAutospacing="0" w:after="0" w:afterAutospacing="0" w:line="300" w:lineRule="exact"/>
              <w:ind w:left="0" w:right="0"/>
              <w:jc w:val="center"/>
              <w:rPr>
                <w:rFonts w:hint="default" w:ascii="宋体" w:hAnsi="宋体" w:eastAsia="宋体" w:cs="宋体"/>
                <w:sz w:val="24"/>
                <w:szCs w:val="24"/>
              </w:rPr>
            </w:pPr>
            <w:r>
              <w:rPr>
                <w:rFonts w:hint="eastAsia" w:ascii="宋体" w:hAnsi="宋体" w:eastAsia="宋体" w:cs="宋体"/>
                <w:sz w:val="24"/>
                <w:szCs w:val="24"/>
              </w:rPr>
              <w:t>2</w:t>
            </w:r>
          </w:p>
        </w:tc>
        <w:tc>
          <w:tcPr>
            <w:tcW w:w="3843" w:type="dxa"/>
            <w:vAlign w:val="center"/>
          </w:tcPr>
          <w:p w14:paraId="45FB1942">
            <w:pPr>
              <w:keepNext w:val="0"/>
              <w:keepLines w:val="0"/>
              <w:suppressLineNumbers w:val="0"/>
              <w:spacing w:before="0" w:beforeAutospacing="0" w:after="0" w:afterAutospacing="0"/>
              <w:ind w:left="0" w:right="0"/>
              <w:jc w:val="left"/>
              <w:rPr>
                <w:rFonts w:hint="default" w:ascii="宋体" w:hAnsi="宋体" w:eastAsia="宋体" w:cs="宋体"/>
                <w:color w:val="000000"/>
                <w:sz w:val="18"/>
                <w:szCs w:val="18"/>
              </w:rPr>
            </w:pPr>
          </w:p>
        </w:tc>
        <w:tc>
          <w:tcPr>
            <w:tcW w:w="2861" w:type="dxa"/>
            <w:vAlign w:val="center"/>
          </w:tcPr>
          <w:p w14:paraId="10DBD1E6">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p>
        </w:tc>
        <w:tc>
          <w:tcPr>
            <w:tcW w:w="993" w:type="dxa"/>
          </w:tcPr>
          <w:p w14:paraId="4A213AC3">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r>
      <w:tr w14:paraId="02D9ED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tcPr>
          <w:p w14:paraId="46A3453A">
            <w:pPr>
              <w:keepNext w:val="0"/>
              <w:keepLines w:val="0"/>
              <w:suppressLineNumbers w:val="0"/>
              <w:spacing w:before="0" w:beforeAutospacing="0" w:after="0" w:afterAutospacing="0" w:line="300" w:lineRule="exact"/>
              <w:ind w:left="0" w:right="0"/>
              <w:jc w:val="center"/>
              <w:rPr>
                <w:rFonts w:hint="default" w:ascii="宋体" w:hAnsi="宋体" w:eastAsia="宋体" w:cs="宋体"/>
                <w:sz w:val="24"/>
                <w:szCs w:val="24"/>
              </w:rPr>
            </w:pPr>
            <w:r>
              <w:rPr>
                <w:rFonts w:hint="eastAsia" w:ascii="宋体" w:hAnsi="宋体" w:eastAsia="宋体" w:cs="宋体"/>
                <w:sz w:val="24"/>
                <w:szCs w:val="24"/>
              </w:rPr>
              <w:t>3</w:t>
            </w:r>
          </w:p>
        </w:tc>
        <w:tc>
          <w:tcPr>
            <w:tcW w:w="3843" w:type="dxa"/>
            <w:vAlign w:val="center"/>
          </w:tcPr>
          <w:p w14:paraId="7C132D22">
            <w:pPr>
              <w:keepNext w:val="0"/>
              <w:keepLines w:val="0"/>
              <w:suppressLineNumbers w:val="0"/>
              <w:spacing w:before="0" w:beforeAutospacing="0" w:after="0" w:afterAutospacing="0"/>
              <w:ind w:left="0" w:right="0"/>
              <w:jc w:val="left"/>
              <w:rPr>
                <w:rFonts w:hint="default" w:ascii="宋体" w:hAnsi="宋体" w:eastAsia="宋体" w:cs="宋体"/>
                <w:color w:val="000000"/>
                <w:sz w:val="18"/>
                <w:szCs w:val="18"/>
              </w:rPr>
            </w:pPr>
          </w:p>
        </w:tc>
        <w:tc>
          <w:tcPr>
            <w:tcW w:w="2861" w:type="dxa"/>
            <w:vAlign w:val="center"/>
          </w:tcPr>
          <w:p w14:paraId="55E59B5C">
            <w:pPr>
              <w:keepNext w:val="0"/>
              <w:keepLines w:val="0"/>
              <w:suppressLineNumbers w:val="0"/>
              <w:spacing w:before="0" w:beforeAutospacing="0" w:after="0" w:afterAutospacing="0"/>
              <w:ind w:left="0" w:right="0"/>
              <w:rPr>
                <w:rFonts w:hint="default" w:ascii="宋体" w:hAnsi="宋体" w:eastAsia="宋体" w:cs="宋体"/>
                <w:color w:val="000000"/>
                <w:sz w:val="18"/>
                <w:szCs w:val="18"/>
              </w:rPr>
            </w:pPr>
          </w:p>
        </w:tc>
        <w:tc>
          <w:tcPr>
            <w:tcW w:w="993" w:type="dxa"/>
          </w:tcPr>
          <w:p w14:paraId="7BF8014D">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r>
      <w:tr w14:paraId="685FA0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tcPr>
          <w:p w14:paraId="157CA887">
            <w:pPr>
              <w:keepNext w:val="0"/>
              <w:keepLines w:val="0"/>
              <w:suppressLineNumbers w:val="0"/>
              <w:spacing w:before="0" w:beforeAutospacing="0" w:after="0" w:afterAutospacing="0" w:line="300" w:lineRule="exact"/>
              <w:ind w:left="0" w:right="0"/>
              <w:jc w:val="center"/>
              <w:rPr>
                <w:rFonts w:hint="default" w:ascii="宋体" w:hAnsi="宋体" w:eastAsia="宋体" w:cs="宋体"/>
                <w:sz w:val="24"/>
                <w:szCs w:val="24"/>
              </w:rPr>
            </w:pPr>
            <w:r>
              <w:rPr>
                <w:rFonts w:hint="eastAsia" w:ascii="宋体" w:hAnsi="宋体" w:eastAsia="宋体" w:cs="宋体"/>
                <w:sz w:val="24"/>
                <w:szCs w:val="24"/>
              </w:rPr>
              <w:t>4</w:t>
            </w:r>
          </w:p>
        </w:tc>
        <w:tc>
          <w:tcPr>
            <w:tcW w:w="3843" w:type="dxa"/>
            <w:vAlign w:val="center"/>
          </w:tcPr>
          <w:p w14:paraId="302CD3D9">
            <w:pPr>
              <w:keepNext w:val="0"/>
              <w:keepLines w:val="0"/>
              <w:suppressLineNumbers w:val="0"/>
              <w:spacing w:before="0" w:beforeAutospacing="0" w:after="0" w:afterAutospacing="0"/>
              <w:ind w:left="0" w:right="0"/>
              <w:jc w:val="left"/>
              <w:rPr>
                <w:rFonts w:hint="default" w:ascii="宋体" w:hAnsi="宋体" w:eastAsia="宋体" w:cs="宋体"/>
                <w:color w:val="000000"/>
                <w:sz w:val="18"/>
                <w:szCs w:val="18"/>
              </w:rPr>
            </w:pPr>
          </w:p>
        </w:tc>
        <w:tc>
          <w:tcPr>
            <w:tcW w:w="2861" w:type="dxa"/>
            <w:vAlign w:val="center"/>
          </w:tcPr>
          <w:p w14:paraId="54DB7DE3">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p>
        </w:tc>
        <w:tc>
          <w:tcPr>
            <w:tcW w:w="993" w:type="dxa"/>
          </w:tcPr>
          <w:p w14:paraId="45D4CEEC">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r>
      <w:tr w14:paraId="0EE814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tcPr>
          <w:p w14:paraId="51065C55">
            <w:pPr>
              <w:keepNext w:val="0"/>
              <w:keepLines w:val="0"/>
              <w:suppressLineNumbers w:val="0"/>
              <w:spacing w:before="0" w:beforeAutospacing="0" w:after="0" w:afterAutospacing="0" w:line="300" w:lineRule="exact"/>
              <w:ind w:left="0" w:right="0"/>
              <w:jc w:val="center"/>
              <w:rPr>
                <w:rFonts w:hint="default" w:ascii="宋体" w:hAnsi="宋体" w:eastAsia="宋体" w:cs="宋体"/>
                <w:sz w:val="24"/>
                <w:szCs w:val="24"/>
              </w:rPr>
            </w:pPr>
            <w:r>
              <w:rPr>
                <w:rFonts w:hint="eastAsia" w:ascii="宋体" w:hAnsi="宋体" w:eastAsia="宋体" w:cs="宋体"/>
                <w:sz w:val="24"/>
                <w:szCs w:val="24"/>
              </w:rPr>
              <w:t>5</w:t>
            </w:r>
          </w:p>
        </w:tc>
        <w:tc>
          <w:tcPr>
            <w:tcW w:w="3843" w:type="dxa"/>
            <w:vAlign w:val="center"/>
          </w:tcPr>
          <w:p w14:paraId="2FF2F73C">
            <w:pPr>
              <w:keepNext w:val="0"/>
              <w:keepLines w:val="0"/>
              <w:suppressLineNumbers w:val="0"/>
              <w:spacing w:before="0" w:beforeAutospacing="0" w:after="0" w:afterAutospacing="0"/>
              <w:ind w:left="0" w:right="0"/>
              <w:jc w:val="left"/>
              <w:rPr>
                <w:rFonts w:hint="default" w:ascii="宋体" w:hAnsi="宋体" w:eastAsia="宋体" w:cs="宋体"/>
                <w:color w:val="000000"/>
                <w:sz w:val="18"/>
                <w:szCs w:val="18"/>
              </w:rPr>
            </w:pPr>
          </w:p>
        </w:tc>
        <w:tc>
          <w:tcPr>
            <w:tcW w:w="2861" w:type="dxa"/>
            <w:vAlign w:val="center"/>
          </w:tcPr>
          <w:p w14:paraId="6E527EFF">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p>
        </w:tc>
        <w:tc>
          <w:tcPr>
            <w:tcW w:w="993" w:type="dxa"/>
          </w:tcPr>
          <w:p w14:paraId="7BC88703">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r>
      <w:tr w14:paraId="36FF90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tcPr>
          <w:p w14:paraId="27097420">
            <w:pPr>
              <w:keepNext w:val="0"/>
              <w:keepLines w:val="0"/>
              <w:suppressLineNumbers w:val="0"/>
              <w:spacing w:before="0" w:beforeAutospacing="0" w:after="0" w:afterAutospacing="0" w:line="300" w:lineRule="exact"/>
              <w:ind w:left="0" w:right="0"/>
              <w:jc w:val="center"/>
              <w:rPr>
                <w:rFonts w:hint="default" w:ascii="宋体" w:hAnsi="宋体" w:eastAsia="宋体" w:cs="宋体"/>
                <w:sz w:val="24"/>
                <w:szCs w:val="24"/>
              </w:rPr>
            </w:pPr>
            <w:r>
              <w:rPr>
                <w:rFonts w:hint="eastAsia" w:ascii="宋体" w:hAnsi="宋体" w:eastAsia="宋体" w:cs="宋体"/>
                <w:sz w:val="24"/>
                <w:szCs w:val="24"/>
              </w:rPr>
              <w:t>6</w:t>
            </w:r>
          </w:p>
        </w:tc>
        <w:tc>
          <w:tcPr>
            <w:tcW w:w="3843" w:type="dxa"/>
            <w:vAlign w:val="center"/>
          </w:tcPr>
          <w:p w14:paraId="10D0D997">
            <w:pPr>
              <w:keepNext w:val="0"/>
              <w:keepLines w:val="0"/>
              <w:suppressLineNumbers w:val="0"/>
              <w:spacing w:before="0" w:beforeAutospacing="0" w:after="0" w:afterAutospacing="0"/>
              <w:ind w:left="0" w:right="0"/>
              <w:jc w:val="left"/>
              <w:rPr>
                <w:rFonts w:hint="default" w:ascii="宋体" w:hAnsi="宋体" w:eastAsia="宋体" w:cs="宋体"/>
                <w:color w:val="000000"/>
                <w:sz w:val="18"/>
                <w:szCs w:val="18"/>
              </w:rPr>
            </w:pPr>
          </w:p>
        </w:tc>
        <w:tc>
          <w:tcPr>
            <w:tcW w:w="2861" w:type="dxa"/>
            <w:vAlign w:val="center"/>
          </w:tcPr>
          <w:p w14:paraId="45F572CA">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p>
        </w:tc>
        <w:tc>
          <w:tcPr>
            <w:tcW w:w="993" w:type="dxa"/>
          </w:tcPr>
          <w:p w14:paraId="4AF89725">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r>
      <w:tr w14:paraId="23BA3C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tcPr>
          <w:p w14:paraId="6ADA33B3">
            <w:pPr>
              <w:keepNext w:val="0"/>
              <w:keepLines w:val="0"/>
              <w:suppressLineNumbers w:val="0"/>
              <w:spacing w:before="0" w:beforeAutospacing="0" w:after="0" w:afterAutospacing="0" w:line="300" w:lineRule="exact"/>
              <w:ind w:left="0" w:right="0"/>
              <w:jc w:val="center"/>
              <w:rPr>
                <w:rFonts w:hint="default" w:ascii="宋体" w:hAnsi="宋体" w:eastAsia="宋体" w:cs="宋体"/>
                <w:sz w:val="24"/>
                <w:szCs w:val="24"/>
              </w:rPr>
            </w:pPr>
            <w:r>
              <w:rPr>
                <w:rFonts w:hint="eastAsia" w:ascii="宋体" w:hAnsi="宋体" w:eastAsia="宋体" w:cs="宋体"/>
                <w:sz w:val="24"/>
                <w:szCs w:val="24"/>
              </w:rPr>
              <w:t>7</w:t>
            </w:r>
          </w:p>
        </w:tc>
        <w:tc>
          <w:tcPr>
            <w:tcW w:w="3843" w:type="dxa"/>
            <w:vAlign w:val="center"/>
          </w:tcPr>
          <w:p w14:paraId="215F12DA">
            <w:pPr>
              <w:keepNext w:val="0"/>
              <w:keepLines w:val="0"/>
              <w:suppressLineNumbers w:val="0"/>
              <w:spacing w:before="0" w:beforeAutospacing="0" w:after="0" w:afterAutospacing="0"/>
              <w:ind w:left="0" w:right="0"/>
              <w:jc w:val="left"/>
              <w:rPr>
                <w:rFonts w:hint="default" w:ascii="宋体" w:hAnsi="宋体" w:eastAsia="宋体" w:cs="宋体"/>
                <w:color w:val="000000"/>
                <w:sz w:val="18"/>
                <w:szCs w:val="18"/>
              </w:rPr>
            </w:pPr>
          </w:p>
        </w:tc>
        <w:tc>
          <w:tcPr>
            <w:tcW w:w="2861" w:type="dxa"/>
            <w:vAlign w:val="center"/>
          </w:tcPr>
          <w:p w14:paraId="37F49447">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p>
        </w:tc>
        <w:tc>
          <w:tcPr>
            <w:tcW w:w="993" w:type="dxa"/>
          </w:tcPr>
          <w:p w14:paraId="17AAF4C6">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r>
      <w:tr w14:paraId="5B0D4C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tcPr>
          <w:p w14:paraId="23B0C68B">
            <w:pPr>
              <w:keepNext w:val="0"/>
              <w:keepLines w:val="0"/>
              <w:suppressLineNumbers w:val="0"/>
              <w:spacing w:before="0" w:beforeAutospacing="0" w:after="0" w:afterAutospacing="0" w:line="300" w:lineRule="exact"/>
              <w:ind w:left="0" w:right="0"/>
              <w:jc w:val="center"/>
              <w:rPr>
                <w:rFonts w:hint="default" w:ascii="宋体" w:hAnsi="宋体" w:eastAsia="宋体" w:cs="宋体"/>
                <w:sz w:val="24"/>
                <w:szCs w:val="24"/>
              </w:rPr>
            </w:pPr>
            <w:r>
              <w:rPr>
                <w:rFonts w:hint="eastAsia" w:ascii="宋体" w:hAnsi="宋体" w:eastAsia="宋体" w:cs="宋体"/>
                <w:sz w:val="24"/>
                <w:szCs w:val="24"/>
              </w:rPr>
              <w:t>8</w:t>
            </w:r>
          </w:p>
        </w:tc>
        <w:tc>
          <w:tcPr>
            <w:tcW w:w="3843" w:type="dxa"/>
            <w:vAlign w:val="center"/>
          </w:tcPr>
          <w:p w14:paraId="01B0D467">
            <w:pPr>
              <w:keepNext w:val="0"/>
              <w:keepLines w:val="0"/>
              <w:suppressLineNumbers w:val="0"/>
              <w:spacing w:before="0" w:beforeAutospacing="0" w:after="0" w:afterAutospacing="0"/>
              <w:ind w:left="0" w:right="0"/>
              <w:jc w:val="left"/>
              <w:rPr>
                <w:rFonts w:hint="default" w:ascii="宋体" w:hAnsi="宋体" w:eastAsia="宋体" w:cs="宋体"/>
                <w:color w:val="000000"/>
                <w:sz w:val="18"/>
                <w:szCs w:val="18"/>
              </w:rPr>
            </w:pPr>
          </w:p>
        </w:tc>
        <w:tc>
          <w:tcPr>
            <w:tcW w:w="2861" w:type="dxa"/>
            <w:vAlign w:val="center"/>
          </w:tcPr>
          <w:p w14:paraId="1C31CB8C">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p>
        </w:tc>
        <w:tc>
          <w:tcPr>
            <w:tcW w:w="993" w:type="dxa"/>
          </w:tcPr>
          <w:p w14:paraId="48EF9D34">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r>
      <w:tr w14:paraId="1F1C91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exact"/>
          <w:jc w:val="center"/>
        </w:trPr>
        <w:tc>
          <w:tcPr>
            <w:tcW w:w="1123" w:type="dxa"/>
          </w:tcPr>
          <w:p w14:paraId="10EF6ABA">
            <w:pPr>
              <w:keepNext w:val="0"/>
              <w:keepLines w:val="0"/>
              <w:suppressLineNumbers w:val="0"/>
              <w:spacing w:before="0" w:beforeAutospacing="0" w:after="0" w:afterAutospacing="0" w:line="300" w:lineRule="exact"/>
              <w:ind w:left="0" w:right="0"/>
              <w:jc w:val="center"/>
              <w:rPr>
                <w:rFonts w:hint="default" w:ascii="宋体" w:hAnsi="宋体" w:eastAsia="宋体" w:cs="宋体"/>
                <w:sz w:val="24"/>
                <w:szCs w:val="24"/>
              </w:rPr>
            </w:pPr>
            <w:r>
              <w:rPr>
                <w:rFonts w:hint="eastAsia" w:ascii="宋体" w:hAnsi="宋体" w:eastAsia="宋体" w:cs="宋体"/>
                <w:sz w:val="24"/>
                <w:szCs w:val="24"/>
              </w:rPr>
              <w:t>……</w:t>
            </w:r>
          </w:p>
        </w:tc>
        <w:tc>
          <w:tcPr>
            <w:tcW w:w="3843" w:type="dxa"/>
            <w:vAlign w:val="center"/>
          </w:tcPr>
          <w:p w14:paraId="5226AA7C">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p>
        </w:tc>
        <w:tc>
          <w:tcPr>
            <w:tcW w:w="2861" w:type="dxa"/>
            <w:vAlign w:val="center"/>
          </w:tcPr>
          <w:p w14:paraId="320C630A">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p>
        </w:tc>
        <w:tc>
          <w:tcPr>
            <w:tcW w:w="993" w:type="dxa"/>
          </w:tcPr>
          <w:p w14:paraId="0758B431">
            <w:pPr>
              <w:keepNext w:val="0"/>
              <w:keepLines w:val="0"/>
              <w:suppressLineNumbers w:val="0"/>
              <w:spacing w:before="0" w:beforeAutospacing="0" w:after="0" w:afterAutospacing="0" w:line="300" w:lineRule="exact"/>
              <w:ind w:left="0" w:right="0"/>
              <w:rPr>
                <w:rFonts w:hint="default" w:ascii="宋体" w:hAnsi="宋体" w:eastAsia="仿宋_GB2312" w:cs="宋体"/>
                <w:sz w:val="24"/>
                <w:szCs w:val="24"/>
              </w:rPr>
            </w:pPr>
          </w:p>
        </w:tc>
      </w:tr>
    </w:tbl>
    <w:p w14:paraId="713FCD04">
      <w:pPr>
        <w:spacing w:line="400" w:lineRule="exact"/>
        <w:jc w:val="left"/>
        <w:rPr>
          <w:rFonts w:ascii="宋体" w:hAnsi="宋体" w:eastAsia="宋体" w:cs="宋体"/>
          <w:sz w:val="21"/>
          <w:szCs w:val="21"/>
        </w:rPr>
      </w:pPr>
      <w:r>
        <w:rPr>
          <w:rFonts w:hint="eastAsia" w:ascii="宋体" w:hAnsi="宋体" w:eastAsia="宋体" w:cs="宋体"/>
          <w:sz w:val="21"/>
          <w:szCs w:val="21"/>
        </w:rPr>
        <w:t>备注：1.项目资金末端分配点位包括市本级、县（区）、市级部门下属单位及一次性单位等。</w:t>
      </w:r>
    </w:p>
    <w:p w14:paraId="1B8D9998">
      <w:pPr>
        <w:spacing w:line="400" w:lineRule="exact"/>
        <w:ind w:firstLine="630" w:firstLineChars="300"/>
        <w:jc w:val="left"/>
        <w:rPr>
          <w:rFonts w:ascii="宋体" w:hAnsi="宋体" w:eastAsia="宋体" w:cs="宋体"/>
          <w:sz w:val="21"/>
          <w:szCs w:val="21"/>
        </w:rPr>
      </w:pPr>
      <w:r>
        <w:rPr>
          <w:rFonts w:hint="eastAsia" w:ascii="宋体" w:hAnsi="宋体" w:eastAsia="宋体" w:cs="宋体"/>
          <w:sz w:val="21"/>
          <w:szCs w:val="21"/>
        </w:rPr>
        <w:t>2.自评得分（百分制）从高到低划分为优、良、中、差四个档次，各个档次数量占比分别为20%、20%、55%、5%，且不同档次间得分分值应体现差异化，同档次得分分值相同的比例不超过该档次总数量的10%。</w:t>
      </w:r>
    </w:p>
    <w:p w14:paraId="27484A30">
      <w:pPr>
        <w:rPr>
          <w:rFonts w:ascii="Times New Roman" w:hAnsi="Times New Roman" w:eastAsia="仿宋_GB2312" w:cs="Times New Roman"/>
          <w:sz w:val="32"/>
          <w:szCs w:val="24"/>
        </w:rPr>
      </w:pPr>
      <w:r>
        <w:rPr>
          <w:rFonts w:hint="eastAsia" w:ascii="Times New Roman" w:hAnsi="Times New Roman" w:eastAsia="仿宋_GB2312" w:cs="Times New Roman"/>
          <w:sz w:val="32"/>
          <w:szCs w:val="24"/>
        </w:rPr>
        <w:br w:type="page"/>
      </w:r>
    </w:p>
    <w:p w14:paraId="19FC6944">
      <w:pPr>
        <w:widowControl w:val="0"/>
        <w:spacing w:after="0" w:line="578" w:lineRule="exact"/>
        <w:ind w:left="0" w:leftChars="0" w:firstLine="0" w:firstLineChars="0"/>
        <w:jc w:val="both"/>
        <w:rPr>
          <w:rFonts w:ascii="Times New Roman" w:hAnsi="Times New Roman" w:eastAsia="黑体" w:cs="Times New Roman"/>
          <w:kern w:val="2"/>
          <w:sz w:val="32"/>
          <w:szCs w:val="24"/>
          <w:lang w:val="en-US" w:eastAsia="zh-CN" w:bidi="ar-SA"/>
        </w:rPr>
      </w:pPr>
      <w:r>
        <w:rPr>
          <w:rFonts w:ascii="Times New Roman" w:hAnsi="Times New Roman" w:eastAsia="黑体" w:cs="Times New Roman"/>
          <w:kern w:val="2"/>
          <w:sz w:val="32"/>
          <w:szCs w:val="24"/>
          <w:lang w:val="en-US" w:eastAsia="zh-CN" w:bidi="ar-SA"/>
        </w:rPr>
        <w:t>附表2</w:t>
      </w:r>
    </w:p>
    <w:tbl>
      <w:tblPr>
        <w:tblStyle w:val="20"/>
        <w:tblW w:w="10233" w:type="dxa"/>
        <w:jc w:val="center"/>
        <w:tblLayout w:type="fixed"/>
        <w:tblCellMar>
          <w:top w:w="15" w:type="dxa"/>
          <w:left w:w="15" w:type="dxa"/>
          <w:bottom w:w="15" w:type="dxa"/>
          <w:right w:w="15" w:type="dxa"/>
        </w:tblCellMar>
      </w:tblPr>
      <w:tblGrid>
        <w:gridCol w:w="652"/>
        <w:gridCol w:w="1081"/>
        <w:gridCol w:w="1250"/>
        <w:gridCol w:w="1806"/>
        <w:gridCol w:w="633"/>
        <w:gridCol w:w="971"/>
        <w:gridCol w:w="1061"/>
        <w:gridCol w:w="938"/>
        <w:gridCol w:w="1841"/>
      </w:tblGrid>
      <w:tr w14:paraId="2FC49E8C">
        <w:tblPrEx>
          <w:tblCellMar>
            <w:top w:w="15" w:type="dxa"/>
            <w:left w:w="15" w:type="dxa"/>
            <w:bottom w:w="15" w:type="dxa"/>
            <w:right w:w="15" w:type="dxa"/>
          </w:tblCellMar>
        </w:tblPrEx>
        <w:trPr>
          <w:trHeight w:val="576" w:hRule="atLeast"/>
          <w:jc w:val="center"/>
        </w:trPr>
        <w:tc>
          <w:tcPr>
            <w:tcW w:w="10233" w:type="dxa"/>
            <w:gridSpan w:val="9"/>
            <w:shd w:val="clear" w:color="auto" w:fill="auto"/>
            <w:vAlign w:val="center"/>
          </w:tcPr>
          <w:p w14:paraId="166F0AFA">
            <w:pPr>
              <w:keepNext w:val="0"/>
              <w:keepLines w:val="0"/>
              <w:widowControl/>
              <w:suppressLineNumbers w:val="0"/>
              <w:spacing w:before="0" w:beforeAutospacing="0" w:after="0" w:afterAutospacing="0" w:line="600" w:lineRule="exact"/>
              <w:ind w:left="0" w:right="0"/>
              <w:jc w:val="center"/>
              <w:textAlignment w:val="center"/>
              <w:rPr>
                <w:rFonts w:hint="default" w:ascii="黑体" w:hAnsi="宋体" w:eastAsia="黑体" w:cs="黑体"/>
                <w:color w:val="000000"/>
                <w:sz w:val="30"/>
                <w:szCs w:val="30"/>
              </w:rPr>
            </w:pPr>
            <w:r>
              <w:rPr>
                <w:rFonts w:hint="eastAsia" w:ascii="方正小标宋简体" w:hAnsi="方正小标宋简体" w:eastAsia="方正小标宋简体" w:cs="方正小标宋简体"/>
                <w:color w:val="000000"/>
                <w:kern w:val="0"/>
                <w:sz w:val="40"/>
                <w:szCs w:val="40"/>
              </w:rPr>
              <w:t>专项预算项目绩效目标完成情况自评表</w:t>
            </w:r>
          </w:p>
        </w:tc>
      </w:tr>
      <w:tr w14:paraId="011898F9">
        <w:tblPrEx>
          <w:tblCellMar>
            <w:top w:w="15" w:type="dxa"/>
            <w:left w:w="15" w:type="dxa"/>
            <w:bottom w:w="15" w:type="dxa"/>
            <w:right w:w="15" w:type="dxa"/>
          </w:tblCellMar>
        </w:tblPrEx>
        <w:trPr>
          <w:trHeight w:val="23" w:hRule="atLeast"/>
          <w:jc w:val="center"/>
        </w:trPr>
        <w:tc>
          <w:tcPr>
            <w:tcW w:w="4789"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797CBCB5">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项目名称</w:t>
            </w:r>
          </w:p>
        </w:tc>
        <w:tc>
          <w:tcPr>
            <w:tcW w:w="5444"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5CEDCA76">
            <w:pPr>
              <w:keepNext w:val="0"/>
              <w:keepLines w:val="0"/>
              <w:suppressLineNumbers w:val="0"/>
              <w:spacing w:before="0" w:beforeAutospacing="0" w:after="0" w:afterAutospacing="0" w:line="300" w:lineRule="exact"/>
              <w:ind w:left="0" w:right="0"/>
              <w:rPr>
                <w:rFonts w:hint="default" w:ascii="宋体" w:hAnsi="宋体" w:eastAsia="宋体" w:cs="宋体"/>
                <w:color w:val="000000"/>
                <w:sz w:val="24"/>
                <w:szCs w:val="24"/>
              </w:rPr>
            </w:pPr>
            <w:r>
              <w:rPr>
                <w:rFonts w:hint="eastAsia" w:ascii="宋体" w:hAnsi="宋体" w:eastAsia="宋体" w:cs="宋体"/>
                <w:color w:val="000000"/>
                <w:sz w:val="24"/>
                <w:szCs w:val="24"/>
              </w:rPr>
              <w:t>2023年救灾物资采购资金</w:t>
            </w:r>
          </w:p>
        </w:tc>
      </w:tr>
      <w:tr w14:paraId="0C30D828">
        <w:tblPrEx>
          <w:tblCellMar>
            <w:top w:w="15" w:type="dxa"/>
            <w:left w:w="15" w:type="dxa"/>
            <w:bottom w:w="15" w:type="dxa"/>
            <w:right w:w="15" w:type="dxa"/>
          </w:tblCellMar>
        </w:tblPrEx>
        <w:trPr>
          <w:trHeight w:val="23" w:hRule="atLeast"/>
          <w:jc w:val="center"/>
        </w:trPr>
        <w:tc>
          <w:tcPr>
            <w:tcW w:w="4789"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032D16B6">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预算单位</w:t>
            </w:r>
          </w:p>
        </w:tc>
        <w:tc>
          <w:tcPr>
            <w:tcW w:w="5444"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2B969319">
            <w:pPr>
              <w:keepNext w:val="0"/>
              <w:keepLines w:val="0"/>
              <w:suppressLineNumbers w:val="0"/>
              <w:spacing w:before="0" w:beforeAutospacing="0" w:after="0" w:afterAutospacing="0" w:line="300" w:lineRule="exact"/>
              <w:ind w:left="0" w:right="0"/>
              <w:rPr>
                <w:rFonts w:hint="default" w:ascii="宋体" w:hAnsi="宋体" w:eastAsia="宋体" w:cs="宋体"/>
                <w:color w:val="000000"/>
                <w:sz w:val="24"/>
                <w:szCs w:val="24"/>
              </w:rPr>
            </w:pPr>
            <w:r>
              <w:rPr>
                <w:rFonts w:hint="default" w:ascii="宋体" w:hAnsi="宋体" w:eastAsia="宋体" w:cs="宋体"/>
                <w:color w:val="000000"/>
                <w:sz w:val="24"/>
                <w:szCs w:val="24"/>
              </w:rPr>
              <w:t>广元市救灾物资管理中心</w:t>
            </w:r>
          </w:p>
        </w:tc>
      </w:tr>
      <w:tr w14:paraId="231A7AC3">
        <w:tblPrEx>
          <w:tblCellMar>
            <w:top w:w="15" w:type="dxa"/>
            <w:left w:w="15" w:type="dxa"/>
            <w:bottom w:w="15" w:type="dxa"/>
            <w:right w:w="15" w:type="dxa"/>
          </w:tblCellMar>
        </w:tblPrEx>
        <w:trPr>
          <w:trHeight w:val="23" w:hRule="atLeast"/>
          <w:jc w:val="center"/>
        </w:trPr>
        <w:tc>
          <w:tcPr>
            <w:tcW w:w="4789"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5AC3F25A">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项目类型</w:t>
            </w:r>
          </w:p>
        </w:tc>
        <w:tc>
          <w:tcPr>
            <w:tcW w:w="5444"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236EE68">
            <w:pPr>
              <w:keepNext w:val="0"/>
              <w:keepLines w:val="0"/>
              <w:suppressLineNumbers w:val="0"/>
              <w:spacing w:before="0" w:beforeAutospacing="0" w:after="0" w:afterAutospacing="0" w:line="300" w:lineRule="exact"/>
              <w:ind w:left="0" w:right="0"/>
              <w:jc w:val="left"/>
              <w:rPr>
                <w:rFonts w:hint="default" w:ascii="宋体" w:hAnsi="宋体" w:eastAsia="宋体" w:cs="宋体"/>
                <w:color w:val="000000"/>
                <w:sz w:val="24"/>
                <w:szCs w:val="24"/>
              </w:rPr>
            </w:pPr>
            <w:r>
              <w:rPr>
                <w:rFonts w:hint="eastAsia" w:ascii="宋体" w:hAnsi="宋体" w:eastAsia="宋体" w:cs="宋体"/>
                <w:color w:val="000000"/>
                <w:sz w:val="24"/>
                <w:szCs w:val="24"/>
              </w:rPr>
              <w:t>一次性项目</w:t>
            </w:r>
          </w:p>
        </w:tc>
      </w:tr>
      <w:tr w14:paraId="5867B5D0">
        <w:tblPrEx>
          <w:tblCellMar>
            <w:top w:w="15" w:type="dxa"/>
            <w:left w:w="15" w:type="dxa"/>
            <w:bottom w:w="15" w:type="dxa"/>
            <w:right w:w="15" w:type="dxa"/>
          </w:tblCellMar>
        </w:tblPrEx>
        <w:trPr>
          <w:trHeight w:val="23" w:hRule="atLeast"/>
          <w:jc w:val="center"/>
        </w:trPr>
        <w:tc>
          <w:tcPr>
            <w:tcW w:w="65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3E4578B">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项目 概况</w:t>
            </w:r>
          </w:p>
        </w:tc>
        <w:tc>
          <w:tcPr>
            <w:tcW w:w="413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9D9FA4D">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宋体"/>
                <w:color w:val="000000"/>
                <w:kern w:val="0"/>
                <w:sz w:val="24"/>
                <w:szCs w:val="24"/>
              </w:rPr>
            </w:pPr>
            <w:r>
              <w:rPr>
                <w:rFonts w:hint="default" w:ascii="宋体" w:hAnsi="宋体" w:eastAsia="宋体" w:cs="宋体"/>
                <w:color w:val="000000"/>
                <w:kern w:val="0"/>
                <w:sz w:val="24"/>
                <w:szCs w:val="24"/>
              </w:rPr>
              <w:t>中长期规划（名称、文号，仅指</w:t>
            </w:r>
          </w:p>
          <w:p w14:paraId="6300EC2C">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常年项目）</w:t>
            </w:r>
          </w:p>
        </w:tc>
        <w:tc>
          <w:tcPr>
            <w:tcW w:w="5444"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09BD807D">
            <w:pPr>
              <w:keepNext w:val="0"/>
              <w:keepLines w:val="0"/>
              <w:suppressLineNumbers w:val="0"/>
              <w:spacing w:before="0" w:beforeAutospacing="0" w:after="0" w:afterAutospacing="0" w:line="300" w:lineRule="exact"/>
              <w:ind w:left="0" w:right="0"/>
              <w:jc w:val="left"/>
              <w:rPr>
                <w:rFonts w:hint="default" w:ascii="宋体" w:hAnsi="宋体" w:eastAsia="宋体" w:cs="宋体"/>
                <w:color w:val="000000"/>
                <w:sz w:val="24"/>
                <w:szCs w:val="24"/>
              </w:rPr>
            </w:pPr>
          </w:p>
        </w:tc>
      </w:tr>
      <w:tr w14:paraId="4395DAE6">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07D96D">
            <w:pPr>
              <w:keepNext w:val="0"/>
              <w:keepLines w:val="0"/>
              <w:suppressLineNumbers w:val="0"/>
              <w:spacing w:before="0" w:beforeAutospacing="0" w:after="0" w:afterAutospacing="0" w:line="300" w:lineRule="exact"/>
              <w:ind w:left="0" w:right="0"/>
              <w:rPr>
                <w:rFonts w:hint="default" w:ascii="宋体" w:hAnsi="宋体" w:eastAsia="宋体" w:cs="宋体"/>
                <w:color w:val="000000"/>
                <w:sz w:val="24"/>
                <w:szCs w:val="24"/>
              </w:rPr>
            </w:pPr>
          </w:p>
        </w:tc>
        <w:tc>
          <w:tcPr>
            <w:tcW w:w="413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A1332AF">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资金管理办法（名称、文号）</w:t>
            </w:r>
          </w:p>
        </w:tc>
        <w:tc>
          <w:tcPr>
            <w:tcW w:w="5444"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1AE4997">
            <w:pPr>
              <w:keepNext w:val="0"/>
              <w:keepLines w:val="0"/>
              <w:suppressLineNumbers w:val="0"/>
              <w:spacing w:before="0" w:beforeAutospacing="0" w:after="0" w:afterAutospacing="0" w:line="300" w:lineRule="exact"/>
              <w:ind w:left="0" w:right="0"/>
              <w:jc w:val="left"/>
              <w:rPr>
                <w:rFonts w:hint="default" w:ascii="宋体" w:hAnsi="宋体" w:eastAsia="宋体" w:cs="宋体"/>
                <w:color w:val="000000"/>
                <w:sz w:val="24"/>
                <w:szCs w:val="24"/>
              </w:rPr>
            </w:pPr>
          </w:p>
        </w:tc>
      </w:tr>
      <w:tr w14:paraId="6AF1FF9F">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B4ADE3">
            <w:pPr>
              <w:keepNext w:val="0"/>
              <w:keepLines w:val="0"/>
              <w:suppressLineNumbers w:val="0"/>
              <w:spacing w:before="0" w:beforeAutospacing="0" w:after="0" w:afterAutospacing="0" w:line="300" w:lineRule="exact"/>
              <w:ind w:left="0" w:right="0"/>
              <w:rPr>
                <w:rFonts w:hint="default" w:ascii="宋体" w:hAnsi="宋体" w:eastAsia="宋体" w:cs="宋体"/>
                <w:color w:val="000000"/>
                <w:sz w:val="24"/>
                <w:szCs w:val="24"/>
              </w:rPr>
            </w:pPr>
          </w:p>
        </w:tc>
        <w:tc>
          <w:tcPr>
            <w:tcW w:w="413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A801E00">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绩效分配方式</w:t>
            </w:r>
          </w:p>
        </w:tc>
        <w:tc>
          <w:tcPr>
            <w:tcW w:w="6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178751">
            <w:pPr>
              <w:keepNext w:val="0"/>
              <w:keepLines w:val="0"/>
              <w:widowControl/>
              <w:suppressLineNumbers w:val="0"/>
              <w:spacing w:before="0" w:beforeAutospacing="0" w:after="0" w:afterAutospacing="0" w:line="300" w:lineRule="exact"/>
              <w:ind w:left="0" w:right="0"/>
              <w:jc w:val="left"/>
              <w:textAlignment w:val="center"/>
              <w:rPr>
                <w:rFonts w:hint="default" w:ascii="Wingdings 2" w:hAnsi="Wingdings 2" w:eastAsia="Wingdings 2" w:cs="Wingdings 2"/>
                <w:color w:val="000000"/>
                <w:sz w:val="24"/>
                <w:szCs w:val="24"/>
              </w:rPr>
            </w:pPr>
            <w:r>
              <w:rPr>
                <w:rFonts w:hint="default" w:ascii="Wingdings 2" w:hAnsi="Wingdings 2" w:eastAsia="Wingdings 2" w:cs="Wingdings 2"/>
                <w:color w:val="000000"/>
                <w:kern w:val="0"/>
                <w:sz w:val="24"/>
                <w:szCs w:val="24"/>
              </w:rPr>
              <w:t></w:t>
            </w:r>
            <w:r>
              <w:rPr>
                <w:rFonts w:hint="default" w:ascii="宋体" w:hAnsi="宋体" w:eastAsia="宋体" w:cs="宋体"/>
                <w:color w:val="000000"/>
                <w:kern w:val="0"/>
                <w:sz w:val="24"/>
                <w:szCs w:val="24"/>
              </w:rPr>
              <w:t>因素法</w:t>
            </w:r>
          </w:p>
        </w:tc>
        <w:tc>
          <w:tcPr>
            <w:tcW w:w="20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5781293">
            <w:pPr>
              <w:keepNext w:val="0"/>
              <w:keepLines w:val="0"/>
              <w:widowControl/>
              <w:suppressLineNumbers w:val="0"/>
              <w:spacing w:before="0" w:beforeAutospacing="0" w:after="0" w:afterAutospacing="0" w:line="300" w:lineRule="exact"/>
              <w:ind w:left="0" w:right="0"/>
              <w:jc w:val="center"/>
              <w:textAlignment w:val="center"/>
              <w:rPr>
                <w:rFonts w:hint="default" w:ascii="Wingdings 2" w:hAnsi="Wingdings 2" w:eastAsia="Wingdings 2" w:cs="Wingdings 2"/>
                <w:color w:val="000000"/>
                <w:sz w:val="24"/>
                <w:szCs w:val="24"/>
              </w:rPr>
            </w:pPr>
            <w:r>
              <w:rPr>
                <w:rFonts w:hint="default" w:ascii="Wingdings 2" w:hAnsi="Wingdings 2" w:eastAsia="Wingdings 2" w:cs="Wingdings 2"/>
                <w:color w:val="000000"/>
                <w:kern w:val="0"/>
                <w:sz w:val="24"/>
                <w:szCs w:val="24"/>
              </w:rPr>
              <w:t>项目法</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E97AE9">
            <w:pPr>
              <w:keepNext w:val="0"/>
              <w:keepLines w:val="0"/>
              <w:widowControl/>
              <w:suppressLineNumbers w:val="0"/>
              <w:spacing w:before="0" w:beforeAutospacing="0" w:after="0" w:afterAutospacing="0" w:line="300" w:lineRule="exact"/>
              <w:ind w:left="0" w:right="0"/>
              <w:jc w:val="center"/>
              <w:textAlignment w:val="center"/>
              <w:rPr>
                <w:rFonts w:hint="default" w:ascii="Wingdings 2" w:hAnsi="Wingdings 2" w:eastAsia="Wingdings 2" w:cs="Wingdings 2"/>
                <w:color w:val="000000"/>
                <w:sz w:val="24"/>
                <w:szCs w:val="24"/>
              </w:rPr>
            </w:pPr>
            <w:r>
              <w:rPr>
                <w:rFonts w:hint="default" w:ascii="Wingdings 2" w:hAnsi="Wingdings 2" w:eastAsia="Wingdings 2" w:cs="Wingdings 2"/>
                <w:color w:val="000000"/>
                <w:kern w:val="0"/>
                <w:sz w:val="24"/>
                <w:szCs w:val="24"/>
              </w:rPr>
              <w:t></w:t>
            </w:r>
            <w:r>
              <w:rPr>
                <w:rFonts w:hint="default" w:ascii="宋体" w:hAnsi="宋体" w:eastAsia="宋体" w:cs="宋体"/>
                <w:color w:val="000000"/>
                <w:kern w:val="0"/>
                <w:sz w:val="24"/>
                <w:szCs w:val="24"/>
              </w:rPr>
              <w:t>据实据效</w:t>
            </w:r>
          </w:p>
        </w:tc>
        <w:tc>
          <w:tcPr>
            <w:tcW w:w="18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1EC483">
            <w:pPr>
              <w:keepNext w:val="0"/>
              <w:keepLines w:val="0"/>
              <w:widowControl/>
              <w:suppressLineNumbers w:val="0"/>
              <w:spacing w:before="0" w:beforeAutospacing="0" w:after="0" w:afterAutospacing="0" w:line="300" w:lineRule="exact"/>
              <w:ind w:left="0" w:right="0"/>
              <w:jc w:val="center"/>
              <w:textAlignment w:val="center"/>
              <w:rPr>
                <w:rFonts w:hint="default" w:ascii="Wingdings 2" w:hAnsi="Wingdings 2" w:eastAsia="Wingdings 2" w:cs="Wingdings 2"/>
                <w:color w:val="000000"/>
                <w:sz w:val="24"/>
                <w:szCs w:val="24"/>
              </w:rPr>
            </w:pPr>
            <w:r>
              <w:rPr>
                <w:rFonts w:hint="default" w:ascii="Wingdings 2" w:hAnsi="Wingdings 2" w:eastAsia="Wingdings 2" w:cs="Wingdings 2"/>
                <w:color w:val="000000"/>
                <w:kern w:val="0"/>
                <w:sz w:val="24"/>
                <w:szCs w:val="24"/>
              </w:rPr>
              <w:t></w:t>
            </w:r>
            <w:r>
              <w:rPr>
                <w:rFonts w:hint="default" w:ascii="宋体" w:hAnsi="宋体" w:eastAsia="宋体" w:cs="宋体"/>
                <w:color w:val="000000"/>
                <w:kern w:val="0"/>
                <w:sz w:val="24"/>
                <w:szCs w:val="24"/>
              </w:rPr>
              <w:t>因素法与项目法相结合</w:t>
            </w:r>
          </w:p>
        </w:tc>
      </w:tr>
      <w:tr w14:paraId="1A860658">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0B44B4">
            <w:pPr>
              <w:keepNext w:val="0"/>
              <w:keepLines w:val="0"/>
              <w:suppressLineNumbers w:val="0"/>
              <w:spacing w:before="0" w:beforeAutospacing="0" w:after="0" w:afterAutospacing="0" w:line="300" w:lineRule="exact"/>
              <w:ind w:left="0" w:right="0"/>
              <w:rPr>
                <w:rFonts w:hint="default" w:ascii="宋体" w:hAnsi="宋体" w:eastAsia="宋体" w:cs="宋体"/>
                <w:color w:val="000000"/>
                <w:sz w:val="24"/>
                <w:szCs w:val="24"/>
              </w:rPr>
            </w:pPr>
          </w:p>
        </w:tc>
        <w:tc>
          <w:tcPr>
            <w:tcW w:w="413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F31C803">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立项依据</w:t>
            </w:r>
          </w:p>
        </w:tc>
        <w:tc>
          <w:tcPr>
            <w:tcW w:w="5444"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2777CF47">
            <w:pPr>
              <w:keepNext w:val="0"/>
              <w:keepLines w:val="0"/>
              <w:suppressLineNumbers w:val="0"/>
              <w:spacing w:before="0" w:beforeAutospacing="0" w:after="0" w:afterAutospacing="0" w:line="300" w:lineRule="exact"/>
              <w:ind w:left="0" w:right="0"/>
              <w:jc w:val="left"/>
              <w:rPr>
                <w:rFonts w:hint="default" w:ascii="宋体" w:hAnsi="宋体" w:eastAsia="宋体" w:cs="宋体"/>
                <w:color w:val="000000"/>
                <w:sz w:val="24"/>
                <w:szCs w:val="24"/>
              </w:rPr>
            </w:pPr>
          </w:p>
        </w:tc>
      </w:tr>
      <w:tr w14:paraId="5F058548">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31EA5E">
            <w:pPr>
              <w:keepNext w:val="0"/>
              <w:keepLines w:val="0"/>
              <w:suppressLineNumbers w:val="0"/>
              <w:spacing w:before="0" w:beforeAutospacing="0" w:after="0" w:afterAutospacing="0" w:line="300" w:lineRule="exact"/>
              <w:ind w:left="0" w:right="0"/>
              <w:rPr>
                <w:rFonts w:hint="default" w:ascii="宋体" w:hAnsi="宋体" w:eastAsia="宋体" w:cs="宋体"/>
                <w:color w:val="000000"/>
                <w:sz w:val="24"/>
                <w:szCs w:val="24"/>
              </w:rPr>
            </w:pPr>
          </w:p>
        </w:tc>
        <w:tc>
          <w:tcPr>
            <w:tcW w:w="413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C3E607C">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使用范围</w:t>
            </w:r>
          </w:p>
        </w:tc>
        <w:tc>
          <w:tcPr>
            <w:tcW w:w="5444"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50DA075E">
            <w:pPr>
              <w:keepNext w:val="0"/>
              <w:keepLines w:val="0"/>
              <w:suppressLineNumbers w:val="0"/>
              <w:spacing w:before="0" w:beforeAutospacing="0" w:after="0" w:afterAutospacing="0" w:line="300" w:lineRule="exact"/>
              <w:ind w:left="0" w:right="0"/>
              <w:jc w:val="left"/>
              <w:rPr>
                <w:rFonts w:hint="default" w:ascii="宋体" w:hAnsi="宋体" w:eastAsia="宋体" w:cs="宋体"/>
                <w:color w:val="000000"/>
                <w:sz w:val="24"/>
                <w:szCs w:val="24"/>
              </w:rPr>
            </w:pPr>
          </w:p>
        </w:tc>
      </w:tr>
      <w:tr w14:paraId="77A23C87">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747264">
            <w:pPr>
              <w:keepNext w:val="0"/>
              <w:keepLines w:val="0"/>
              <w:suppressLineNumbers w:val="0"/>
              <w:spacing w:before="0" w:beforeAutospacing="0" w:after="0" w:afterAutospacing="0" w:line="300" w:lineRule="exact"/>
              <w:ind w:left="0" w:right="0"/>
              <w:rPr>
                <w:rFonts w:hint="default" w:ascii="宋体" w:hAnsi="宋体" w:eastAsia="宋体" w:cs="宋体"/>
                <w:color w:val="000000"/>
                <w:sz w:val="24"/>
                <w:szCs w:val="24"/>
              </w:rPr>
            </w:pPr>
          </w:p>
        </w:tc>
        <w:tc>
          <w:tcPr>
            <w:tcW w:w="413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E717360">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申报（补助）条件</w:t>
            </w:r>
          </w:p>
        </w:tc>
        <w:tc>
          <w:tcPr>
            <w:tcW w:w="5444"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65A16043">
            <w:pPr>
              <w:keepNext w:val="0"/>
              <w:keepLines w:val="0"/>
              <w:suppressLineNumbers w:val="0"/>
              <w:spacing w:before="0" w:beforeAutospacing="0" w:after="0" w:afterAutospacing="0" w:line="300" w:lineRule="exact"/>
              <w:ind w:left="0" w:right="0"/>
              <w:jc w:val="left"/>
              <w:rPr>
                <w:rFonts w:hint="default" w:ascii="宋体" w:hAnsi="宋体" w:eastAsia="宋体" w:cs="宋体"/>
                <w:color w:val="000000"/>
                <w:sz w:val="24"/>
                <w:szCs w:val="24"/>
              </w:rPr>
            </w:pPr>
          </w:p>
        </w:tc>
      </w:tr>
      <w:tr w14:paraId="2E554F55">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9634AF">
            <w:pPr>
              <w:keepNext w:val="0"/>
              <w:keepLines w:val="0"/>
              <w:suppressLineNumbers w:val="0"/>
              <w:spacing w:before="0" w:beforeAutospacing="0" w:after="0" w:afterAutospacing="0" w:line="300" w:lineRule="exact"/>
              <w:ind w:left="0" w:right="0"/>
              <w:rPr>
                <w:rFonts w:hint="default" w:ascii="宋体" w:hAnsi="宋体" w:eastAsia="宋体" w:cs="宋体"/>
                <w:color w:val="000000"/>
                <w:sz w:val="24"/>
                <w:szCs w:val="24"/>
              </w:rPr>
            </w:pPr>
          </w:p>
        </w:tc>
        <w:tc>
          <w:tcPr>
            <w:tcW w:w="413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BE38F19">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项目起止年限</w:t>
            </w:r>
          </w:p>
        </w:tc>
        <w:tc>
          <w:tcPr>
            <w:tcW w:w="5444"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1B4469DD">
            <w:pPr>
              <w:keepNext w:val="0"/>
              <w:keepLines w:val="0"/>
              <w:suppressLineNumbers w:val="0"/>
              <w:spacing w:before="0" w:beforeAutospacing="0" w:after="0" w:afterAutospacing="0" w:line="300" w:lineRule="exact"/>
              <w:ind w:left="0" w:right="0"/>
              <w:rPr>
                <w:rFonts w:hint="default" w:ascii="宋体" w:hAnsi="宋体" w:eastAsia="宋体" w:cs="宋体"/>
                <w:color w:val="000000"/>
                <w:sz w:val="24"/>
                <w:szCs w:val="24"/>
              </w:rPr>
            </w:pPr>
            <w:r>
              <w:rPr>
                <w:rFonts w:hint="eastAsia" w:ascii="宋体" w:hAnsi="宋体" w:eastAsia="宋体" w:cs="宋体"/>
                <w:color w:val="000000"/>
                <w:sz w:val="24"/>
                <w:szCs w:val="24"/>
              </w:rPr>
              <w:t>2023年4月—2023年12月</w:t>
            </w:r>
          </w:p>
        </w:tc>
      </w:tr>
      <w:tr w14:paraId="7773AE78">
        <w:tblPrEx>
          <w:tblCellMar>
            <w:top w:w="15" w:type="dxa"/>
            <w:left w:w="15" w:type="dxa"/>
            <w:bottom w:w="15" w:type="dxa"/>
            <w:right w:w="15" w:type="dxa"/>
          </w:tblCellMar>
        </w:tblPrEx>
        <w:trPr>
          <w:trHeight w:val="23" w:hRule="atLeast"/>
          <w:jc w:val="center"/>
        </w:trPr>
        <w:tc>
          <w:tcPr>
            <w:tcW w:w="1733" w:type="dxa"/>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E0C3FFE">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kern w:val="0"/>
                <w:sz w:val="24"/>
                <w:szCs w:val="24"/>
              </w:rPr>
            </w:pPr>
            <w:r>
              <w:rPr>
                <w:rFonts w:hint="default" w:ascii="宋体" w:hAnsi="宋体" w:eastAsia="宋体" w:cs="宋体"/>
                <w:color w:val="000000"/>
                <w:kern w:val="0"/>
                <w:sz w:val="24"/>
                <w:szCs w:val="24"/>
              </w:rPr>
              <w:t>项目资金</w:t>
            </w:r>
          </w:p>
          <w:p w14:paraId="08B016EE">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（万元）</w:t>
            </w:r>
          </w:p>
        </w:tc>
        <w:tc>
          <w:tcPr>
            <w:tcW w:w="305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94AF805">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 xml:space="preserve">  年度资金总额：</w:t>
            </w:r>
          </w:p>
        </w:tc>
        <w:tc>
          <w:tcPr>
            <w:tcW w:w="5444"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57C1E6B0">
            <w:pPr>
              <w:keepNext w:val="0"/>
              <w:keepLines w:val="0"/>
              <w:suppressLineNumbers w:val="0"/>
              <w:spacing w:before="0" w:beforeAutospacing="0" w:after="0" w:afterAutospacing="0" w:line="300" w:lineRule="exact"/>
              <w:ind w:left="0" w:right="0"/>
              <w:jc w:val="left"/>
              <w:rPr>
                <w:rFonts w:hint="default" w:ascii="宋体" w:hAnsi="宋体" w:eastAsia="宋体" w:cs="宋体"/>
                <w:color w:val="000000"/>
                <w:sz w:val="24"/>
                <w:szCs w:val="24"/>
              </w:rPr>
            </w:pPr>
            <w:r>
              <w:rPr>
                <w:rFonts w:hint="eastAsia" w:ascii="宋体" w:hAnsi="宋体" w:eastAsia="宋体" w:cs="宋体"/>
                <w:color w:val="000000"/>
                <w:sz w:val="24"/>
                <w:szCs w:val="24"/>
              </w:rPr>
              <w:t>60</w:t>
            </w:r>
          </w:p>
        </w:tc>
      </w:tr>
      <w:tr w14:paraId="2C931D76">
        <w:tblPrEx>
          <w:tblCellMar>
            <w:top w:w="15" w:type="dxa"/>
            <w:left w:w="15" w:type="dxa"/>
            <w:bottom w:w="15" w:type="dxa"/>
            <w:right w:w="15" w:type="dxa"/>
          </w:tblCellMar>
        </w:tblPrEx>
        <w:trPr>
          <w:trHeight w:val="23" w:hRule="atLeast"/>
          <w:jc w:val="center"/>
        </w:trPr>
        <w:tc>
          <w:tcPr>
            <w:tcW w:w="1733"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9BD2C3">
            <w:pPr>
              <w:keepNext w:val="0"/>
              <w:keepLines w:val="0"/>
              <w:suppressLineNumbers w:val="0"/>
              <w:spacing w:before="0" w:beforeAutospacing="0" w:after="0" w:afterAutospacing="0" w:line="300" w:lineRule="exact"/>
              <w:ind w:left="0" w:right="0"/>
              <w:rPr>
                <w:rFonts w:hint="default" w:ascii="宋体" w:hAnsi="宋体" w:eastAsia="宋体" w:cs="宋体"/>
                <w:color w:val="000000"/>
                <w:sz w:val="24"/>
                <w:szCs w:val="24"/>
              </w:rPr>
            </w:pPr>
          </w:p>
        </w:tc>
        <w:tc>
          <w:tcPr>
            <w:tcW w:w="305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B8F4BCA">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其中：财政拨款</w:t>
            </w:r>
          </w:p>
        </w:tc>
        <w:tc>
          <w:tcPr>
            <w:tcW w:w="5444"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C7A64C6">
            <w:pPr>
              <w:keepNext w:val="0"/>
              <w:keepLines w:val="0"/>
              <w:suppressLineNumbers w:val="0"/>
              <w:spacing w:before="0" w:beforeAutospacing="0" w:after="0" w:afterAutospacing="0" w:line="300" w:lineRule="exact"/>
              <w:ind w:left="0" w:right="0"/>
              <w:jc w:val="left"/>
              <w:rPr>
                <w:rFonts w:hint="default" w:ascii="宋体" w:hAnsi="宋体" w:eastAsia="宋体" w:cs="宋体"/>
                <w:color w:val="000000"/>
                <w:sz w:val="24"/>
                <w:szCs w:val="24"/>
              </w:rPr>
            </w:pPr>
            <w:r>
              <w:rPr>
                <w:rFonts w:hint="eastAsia" w:ascii="宋体" w:hAnsi="宋体" w:eastAsia="宋体" w:cs="宋体"/>
                <w:color w:val="000000"/>
                <w:sz w:val="24"/>
                <w:szCs w:val="24"/>
              </w:rPr>
              <w:t>60</w:t>
            </w:r>
          </w:p>
        </w:tc>
      </w:tr>
      <w:tr w14:paraId="1595197E">
        <w:tblPrEx>
          <w:tblCellMar>
            <w:top w:w="15" w:type="dxa"/>
            <w:left w:w="15" w:type="dxa"/>
            <w:bottom w:w="15" w:type="dxa"/>
            <w:right w:w="15" w:type="dxa"/>
          </w:tblCellMar>
        </w:tblPrEx>
        <w:trPr>
          <w:trHeight w:val="23" w:hRule="atLeast"/>
          <w:jc w:val="center"/>
        </w:trPr>
        <w:tc>
          <w:tcPr>
            <w:tcW w:w="1733"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A5A5DF">
            <w:pPr>
              <w:keepNext w:val="0"/>
              <w:keepLines w:val="0"/>
              <w:suppressLineNumbers w:val="0"/>
              <w:spacing w:before="0" w:beforeAutospacing="0" w:after="0" w:afterAutospacing="0" w:line="300" w:lineRule="exact"/>
              <w:ind w:left="0" w:right="0"/>
              <w:rPr>
                <w:rFonts w:hint="default" w:ascii="宋体" w:hAnsi="宋体" w:eastAsia="宋体" w:cs="宋体"/>
                <w:color w:val="000000"/>
                <w:sz w:val="24"/>
                <w:szCs w:val="24"/>
              </w:rPr>
            </w:pPr>
          </w:p>
        </w:tc>
        <w:tc>
          <w:tcPr>
            <w:tcW w:w="305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C311101">
            <w:pPr>
              <w:keepNext w:val="0"/>
              <w:keepLines w:val="0"/>
              <w:widowControl/>
              <w:suppressLineNumbers w:val="0"/>
              <w:spacing w:before="0" w:beforeAutospacing="0" w:after="0" w:afterAutospacing="0" w:line="300" w:lineRule="exact"/>
              <w:ind w:left="0" w:right="0"/>
              <w:jc w:val="left"/>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 xml:space="preserve">            其他资金</w:t>
            </w:r>
          </w:p>
        </w:tc>
        <w:tc>
          <w:tcPr>
            <w:tcW w:w="5444"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026F8D12">
            <w:pPr>
              <w:keepNext w:val="0"/>
              <w:keepLines w:val="0"/>
              <w:suppressLineNumbers w:val="0"/>
              <w:spacing w:before="0" w:beforeAutospacing="0" w:after="0" w:afterAutospacing="0" w:line="300" w:lineRule="exact"/>
              <w:ind w:left="0" w:right="0"/>
              <w:jc w:val="right"/>
              <w:rPr>
                <w:rFonts w:hint="default" w:ascii="宋体" w:hAnsi="宋体" w:eastAsia="宋体" w:cs="宋体"/>
                <w:color w:val="000000"/>
                <w:sz w:val="24"/>
                <w:szCs w:val="24"/>
              </w:rPr>
            </w:pPr>
          </w:p>
        </w:tc>
      </w:tr>
      <w:tr w14:paraId="6D4DA283">
        <w:tblPrEx>
          <w:tblCellMar>
            <w:top w:w="15" w:type="dxa"/>
            <w:left w:w="15" w:type="dxa"/>
            <w:bottom w:w="15" w:type="dxa"/>
            <w:right w:w="15" w:type="dxa"/>
          </w:tblCellMar>
        </w:tblPrEx>
        <w:trPr>
          <w:trHeight w:val="23" w:hRule="atLeast"/>
          <w:jc w:val="center"/>
        </w:trPr>
        <w:tc>
          <w:tcPr>
            <w:tcW w:w="65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2C323E5">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总体 目标</w:t>
            </w:r>
          </w:p>
        </w:tc>
        <w:tc>
          <w:tcPr>
            <w:tcW w:w="9581"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79664765">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年度目标</w:t>
            </w:r>
          </w:p>
        </w:tc>
      </w:tr>
      <w:tr w14:paraId="070420D4">
        <w:tblPrEx>
          <w:tblCellMar>
            <w:top w:w="15" w:type="dxa"/>
            <w:left w:w="15" w:type="dxa"/>
            <w:bottom w:w="15" w:type="dxa"/>
            <w:right w:w="15" w:type="dxa"/>
          </w:tblCellMar>
        </w:tblPrEx>
        <w:trPr>
          <w:trHeight w:val="1235" w:hRule="atLeast"/>
          <w:jc w:val="center"/>
        </w:trPr>
        <w:tc>
          <w:tcPr>
            <w:tcW w:w="6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4498C0">
            <w:pPr>
              <w:keepNext w:val="0"/>
              <w:keepLines w:val="0"/>
              <w:suppressLineNumbers w:val="0"/>
              <w:spacing w:before="0" w:beforeAutospacing="0" w:after="0" w:afterAutospacing="0" w:line="300" w:lineRule="exact"/>
              <w:ind w:left="0" w:right="0"/>
              <w:rPr>
                <w:rFonts w:hint="default" w:ascii="宋体" w:hAnsi="宋体" w:eastAsia="宋体" w:cs="宋体"/>
                <w:color w:val="000000"/>
                <w:sz w:val="24"/>
                <w:szCs w:val="24"/>
              </w:rPr>
            </w:pPr>
          </w:p>
        </w:tc>
        <w:tc>
          <w:tcPr>
            <w:tcW w:w="9581"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14:paraId="5D0F8A46">
            <w:pPr>
              <w:keepNext w:val="0"/>
              <w:keepLines w:val="0"/>
              <w:suppressLineNumbers w:val="0"/>
              <w:spacing w:before="0" w:beforeAutospacing="0" w:after="0" w:afterAutospacing="0" w:line="300" w:lineRule="exact"/>
              <w:ind w:left="0" w:right="0"/>
              <w:rPr>
                <w:rFonts w:hint="default" w:ascii="宋体" w:hAnsi="宋体" w:eastAsia="宋体" w:cs="宋体"/>
                <w:color w:val="000000"/>
                <w:sz w:val="24"/>
                <w:szCs w:val="24"/>
              </w:rPr>
            </w:pPr>
          </w:p>
        </w:tc>
      </w:tr>
      <w:tr w14:paraId="39F2283F">
        <w:tblPrEx>
          <w:tblCellMar>
            <w:top w:w="15" w:type="dxa"/>
            <w:left w:w="15" w:type="dxa"/>
            <w:bottom w:w="15" w:type="dxa"/>
            <w:right w:w="15" w:type="dxa"/>
          </w:tblCellMar>
        </w:tblPrEx>
        <w:trPr>
          <w:trHeight w:val="23" w:hRule="atLeast"/>
          <w:jc w:val="center"/>
        </w:trPr>
        <w:tc>
          <w:tcPr>
            <w:tcW w:w="652" w:type="dxa"/>
            <w:vMerge w:val="restart"/>
            <w:tcBorders>
              <w:top w:val="single" w:color="000000" w:sz="4" w:space="0"/>
              <w:left w:val="single" w:color="000000" w:sz="4" w:space="0"/>
              <w:bottom w:val="single" w:color="000000" w:sz="4" w:space="0"/>
            </w:tcBorders>
            <w:shd w:val="clear" w:color="auto" w:fill="auto"/>
            <w:vAlign w:val="center"/>
          </w:tcPr>
          <w:p w14:paraId="3535580F">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绩效 指标</w:t>
            </w:r>
          </w:p>
        </w:tc>
        <w:tc>
          <w:tcPr>
            <w:tcW w:w="10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81BEA1">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一级指标</w:t>
            </w:r>
          </w:p>
        </w:tc>
        <w:tc>
          <w:tcPr>
            <w:tcW w:w="12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1E3B37">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二级指标</w:t>
            </w:r>
          </w:p>
        </w:tc>
        <w:tc>
          <w:tcPr>
            <w:tcW w:w="1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DD0B9A">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三级指标</w:t>
            </w:r>
          </w:p>
        </w:tc>
        <w:tc>
          <w:tcPr>
            <w:tcW w:w="6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C72B2C">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指标性质</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BEED63">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指标值</w:t>
            </w:r>
          </w:p>
        </w:tc>
        <w:tc>
          <w:tcPr>
            <w:tcW w:w="10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7B23C8">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度量单位</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85E551">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权重</w:t>
            </w:r>
          </w:p>
        </w:tc>
        <w:tc>
          <w:tcPr>
            <w:tcW w:w="18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AA2305">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实际完成指标值</w:t>
            </w:r>
          </w:p>
        </w:tc>
      </w:tr>
      <w:tr w14:paraId="5647771C">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3D5CD506">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108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EEDD03F">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产出指标</w:t>
            </w:r>
          </w:p>
        </w:tc>
        <w:tc>
          <w:tcPr>
            <w:tcW w:w="125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A105A9A">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数量指标</w:t>
            </w:r>
          </w:p>
        </w:tc>
        <w:tc>
          <w:tcPr>
            <w:tcW w:w="1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A3FCBC">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r>
              <w:rPr>
                <w:rFonts w:hint="eastAsia" w:ascii="Times New Roman" w:hAnsi="Times New Roman" w:eastAsia="仿宋_GB2312" w:cs="Times New Roman"/>
                <w:color w:val="000000"/>
                <w:sz w:val="18"/>
                <w:szCs w:val="18"/>
              </w:rPr>
              <w:t>完成救灾物资单帐篷（8㎡）采购200顶。</w:t>
            </w:r>
          </w:p>
        </w:tc>
        <w:tc>
          <w:tcPr>
            <w:tcW w:w="6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55B136">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r>
              <w:rPr>
                <w:rFonts w:hint="eastAsia" w:ascii="Times New Roman" w:hAnsi="Times New Roman" w:eastAsia="仿宋_GB2312" w:cs="Times New Roman"/>
                <w:color w:val="000000"/>
                <w:sz w:val="18"/>
                <w:szCs w:val="18"/>
              </w:rPr>
              <w:t>＝</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F99A7F">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r>
              <w:rPr>
                <w:rFonts w:hint="eastAsia" w:ascii="Times New Roman" w:hAnsi="Times New Roman" w:eastAsia="仿宋_GB2312" w:cs="Times New Roman"/>
                <w:color w:val="000000"/>
                <w:sz w:val="18"/>
                <w:szCs w:val="18"/>
              </w:rPr>
              <w:t>200</w:t>
            </w:r>
          </w:p>
        </w:tc>
        <w:tc>
          <w:tcPr>
            <w:tcW w:w="10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6261AE">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r>
              <w:rPr>
                <w:rFonts w:hint="eastAsia" w:ascii="Times New Roman" w:hAnsi="Times New Roman" w:eastAsia="仿宋_GB2312" w:cs="Times New Roman"/>
                <w:color w:val="000000"/>
                <w:sz w:val="18"/>
                <w:szCs w:val="18"/>
              </w:rPr>
              <w:t>张</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A1263E">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r>
              <w:rPr>
                <w:rFonts w:hint="eastAsia" w:ascii="Times New Roman" w:hAnsi="Times New Roman" w:eastAsia="仿宋_GB2312" w:cs="Times New Roman"/>
                <w:color w:val="000000"/>
                <w:sz w:val="18"/>
                <w:szCs w:val="18"/>
              </w:rPr>
              <w:t>15</w:t>
            </w:r>
          </w:p>
        </w:tc>
        <w:tc>
          <w:tcPr>
            <w:tcW w:w="18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55528A">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r>
              <w:rPr>
                <w:rFonts w:hint="eastAsia" w:ascii="Times New Roman" w:hAnsi="Times New Roman" w:eastAsia="仿宋_GB2312" w:cs="Times New Roman"/>
                <w:color w:val="000000"/>
                <w:sz w:val="18"/>
                <w:szCs w:val="18"/>
              </w:rPr>
              <w:t>15</w:t>
            </w:r>
          </w:p>
        </w:tc>
      </w:tr>
      <w:tr w14:paraId="518582D3">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7E4D731B">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10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8B7238">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12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2B209F">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1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74B57D">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r>
              <w:rPr>
                <w:rFonts w:hint="eastAsia" w:ascii="Times New Roman" w:hAnsi="Times New Roman" w:eastAsia="仿宋_GB2312" w:cs="Times New Roman"/>
                <w:color w:val="000000"/>
                <w:sz w:val="18"/>
                <w:szCs w:val="18"/>
              </w:rPr>
              <w:t>完成救灾物资棉被采购1700床</w:t>
            </w:r>
          </w:p>
        </w:tc>
        <w:tc>
          <w:tcPr>
            <w:tcW w:w="6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FE7FDA">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r>
              <w:rPr>
                <w:rFonts w:hint="eastAsia" w:ascii="Times New Roman" w:hAnsi="Times New Roman" w:eastAsia="仿宋_GB2312" w:cs="Times New Roman"/>
                <w:color w:val="000000"/>
                <w:sz w:val="18"/>
                <w:szCs w:val="18"/>
              </w:rPr>
              <w:t>＝</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6F3EE5">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r>
              <w:rPr>
                <w:rFonts w:hint="eastAsia" w:ascii="Times New Roman" w:hAnsi="Times New Roman" w:eastAsia="仿宋_GB2312" w:cs="Times New Roman"/>
                <w:color w:val="000000"/>
                <w:sz w:val="18"/>
                <w:szCs w:val="18"/>
              </w:rPr>
              <w:t>1700</w:t>
            </w:r>
          </w:p>
        </w:tc>
        <w:tc>
          <w:tcPr>
            <w:tcW w:w="10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ED640B">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r>
              <w:rPr>
                <w:rFonts w:hint="eastAsia" w:ascii="Times New Roman" w:hAnsi="Times New Roman" w:eastAsia="仿宋_GB2312" w:cs="Times New Roman"/>
                <w:color w:val="000000"/>
                <w:sz w:val="18"/>
                <w:szCs w:val="18"/>
              </w:rPr>
              <w:t>床</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DC5C46">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r>
              <w:rPr>
                <w:rFonts w:hint="eastAsia" w:ascii="Times New Roman" w:hAnsi="Times New Roman" w:eastAsia="仿宋_GB2312" w:cs="Times New Roman"/>
                <w:color w:val="000000"/>
                <w:sz w:val="18"/>
                <w:szCs w:val="18"/>
              </w:rPr>
              <w:t>15</w:t>
            </w:r>
          </w:p>
        </w:tc>
        <w:tc>
          <w:tcPr>
            <w:tcW w:w="18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F381BC">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r>
              <w:rPr>
                <w:rFonts w:hint="eastAsia" w:ascii="Times New Roman" w:hAnsi="Times New Roman" w:eastAsia="仿宋_GB2312" w:cs="Times New Roman"/>
                <w:color w:val="000000"/>
                <w:sz w:val="18"/>
                <w:szCs w:val="18"/>
              </w:rPr>
              <w:t>15</w:t>
            </w:r>
          </w:p>
        </w:tc>
      </w:tr>
      <w:tr w14:paraId="7FE936B3">
        <w:tblPrEx>
          <w:tblCellMar>
            <w:top w:w="15" w:type="dxa"/>
            <w:left w:w="15" w:type="dxa"/>
            <w:bottom w:w="15" w:type="dxa"/>
            <w:right w:w="15" w:type="dxa"/>
          </w:tblCellMar>
        </w:tblPrEx>
        <w:trPr>
          <w:trHeight w:val="640"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08720FBC">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10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BD4CC2">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12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FEADE1">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质量指标</w:t>
            </w:r>
          </w:p>
        </w:tc>
        <w:tc>
          <w:tcPr>
            <w:tcW w:w="1806" w:type="dxa"/>
            <w:tcBorders>
              <w:top w:val="single" w:color="000000" w:sz="4" w:space="0"/>
              <w:left w:val="single" w:color="000000" w:sz="4" w:space="0"/>
              <w:right w:val="single" w:color="000000" w:sz="4" w:space="0"/>
            </w:tcBorders>
            <w:shd w:val="clear" w:color="auto" w:fill="auto"/>
            <w:vAlign w:val="center"/>
          </w:tcPr>
          <w:p w14:paraId="49AB044D">
            <w:pPr>
              <w:keepNext w:val="0"/>
              <w:keepLines w:val="0"/>
              <w:suppressLineNumbers w:val="0"/>
              <w:spacing w:before="0" w:beforeAutospacing="0" w:after="0" w:afterAutospacing="0"/>
              <w:ind w:left="0" w:right="0"/>
              <w:jc w:val="center"/>
              <w:rPr>
                <w:rFonts w:hint="default" w:ascii="宋体" w:hAnsi="宋体" w:eastAsia="宋体" w:cs="宋体"/>
                <w:color w:val="000000"/>
                <w:sz w:val="24"/>
                <w:szCs w:val="24"/>
              </w:rPr>
            </w:pPr>
            <w:r>
              <w:rPr>
                <w:rFonts w:hint="eastAsia" w:ascii="Times New Roman" w:hAnsi="Times New Roman" w:eastAsia="仿宋_GB2312" w:cs="Times New Roman"/>
                <w:color w:val="000000"/>
                <w:sz w:val="18"/>
                <w:szCs w:val="18"/>
              </w:rPr>
              <w:t>确保救灾储备物资完好</w:t>
            </w:r>
          </w:p>
        </w:tc>
        <w:tc>
          <w:tcPr>
            <w:tcW w:w="633" w:type="dxa"/>
            <w:tcBorders>
              <w:top w:val="single" w:color="000000" w:sz="4" w:space="0"/>
              <w:left w:val="single" w:color="000000" w:sz="4" w:space="0"/>
              <w:right w:val="single" w:color="000000" w:sz="4" w:space="0"/>
            </w:tcBorders>
            <w:shd w:val="clear" w:color="auto" w:fill="auto"/>
            <w:vAlign w:val="center"/>
          </w:tcPr>
          <w:p w14:paraId="53885EA6">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r>
              <w:rPr>
                <w:rFonts w:hint="eastAsia" w:ascii="Times New Roman" w:hAnsi="Times New Roman" w:eastAsia="仿宋_GB2312" w:cs="Times New Roman"/>
                <w:color w:val="000000"/>
                <w:sz w:val="18"/>
                <w:szCs w:val="18"/>
              </w:rPr>
              <w:t>定性</w:t>
            </w:r>
          </w:p>
        </w:tc>
        <w:tc>
          <w:tcPr>
            <w:tcW w:w="971" w:type="dxa"/>
            <w:tcBorders>
              <w:top w:val="single" w:color="000000" w:sz="4" w:space="0"/>
              <w:left w:val="single" w:color="000000" w:sz="4" w:space="0"/>
              <w:right w:val="single" w:color="000000" w:sz="4" w:space="0"/>
            </w:tcBorders>
            <w:shd w:val="clear" w:color="auto" w:fill="auto"/>
            <w:vAlign w:val="center"/>
          </w:tcPr>
          <w:p w14:paraId="0292143F">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r>
              <w:rPr>
                <w:rFonts w:hint="eastAsia" w:ascii="Times New Roman" w:hAnsi="Times New Roman" w:eastAsia="仿宋_GB2312" w:cs="Times New Roman"/>
                <w:color w:val="000000"/>
                <w:sz w:val="18"/>
                <w:szCs w:val="18"/>
              </w:rPr>
              <w:t>100</w:t>
            </w:r>
          </w:p>
        </w:tc>
        <w:tc>
          <w:tcPr>
            <w:tcW w:w="1061" w:type="dxa"/>
            <w:tcBorders>
              <w:top w:val="single" w:color="000000" w:sz="4" w:space="0"/>
              <w:left w:val="single" w:color="000000" w:sz="4" w:space="0"/>
              <w:right w:val="single" w:color="000000" w:sz="4" w:space="0"/>
            </w:tcBorders>
            <w:shd w:val="clear" w:color="auto" w:fill="auto"/>
            <w:vAlign w:val="center"/>
          </w:tcPr>
          <w:p w14:paraId="32EC58B0">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r>
              <w:rPr>
                <w:rFonts w:hint="eastAsia" w:ascii="Times New Roman" w:hAnsi="Times New Roman" w:eastAsia="仿宋_GB2312" w:cs="Times New Roman"/>
                <w:color w:val="000000"/>
                <w:sz w:val="18"/>
                <w:szCs w:val="18"/>
              </w:rPr>
              <w:t>%</w:t>
            </w:r>
          </w:p>
        </w:tc>
        <w:tc>
          <w:tcPr>
            <w:tcW w:w="938" w:type="dxa"/>
            <w:tcBorders>
              <w:top w:val="single" w:color="000000" w:sz="4" w:space="0"/>
              <w:left w:val="single" w:color="000000" w:sz="4" w:space="0"/>
              <w:right w:val="single" w:color="000000" w:sz="4" w:space="0"/>
            </w:tcBorders>
            <w:shd w:val="clear" w:color="auto" w:fill="auto"/>
            <w:vAlign w:val="center"/>
          </w:tcPr>
          <w:p w14:paraId="39446873">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r>
              <w:rPr>
                <w:rFonts w:hint="eastAsia" w:ascii="Times New Roman" w:hAnsi="Times New Roman" w:eastAsia="仿宋_GB2312" w:cs="Times New Roman"/>
                <w:color w:val="000000"/>
                <w:sz w:val="18"/>
                <w:szCs w:val="18"/>
              </w:rPr>
              <w:t>10</w:t>
            </w:r>
          </w:p>
        </w:tc>
        <w:tc>
          <w:tcPr>
            <w:tcW w:w="1841" w:type="dxa"/>
            <w:tcBorders>
              <w:top w:val="single" w:color="000000" w:sz="4" w:space="0"/>
              <w:left w:val="single" w:color="000000" w:sz="4" w:space="0"/>
              <w:right w:val="single" w:color="000000" w:sz="4" w:space="0"/>
            </w:tcBorders>
            <w:shd w:val="clear" w:color="auto" w:fill="auto"/>
            <w:vAlign w:val="center"/>
          </w:tcPr>
          <w:p w14:paraId="19FD6374">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r>
              <w:rPr>
                <w:rFonts w:hint="eastAsia" w:ascii="Times New Roman" w:hAnsi="Times New Roman" w:eastAsia="仿宋_GB2312" w:cs="Times New Roman"/>
                <w:color w:val="000000"/>
                <w:sz w:val="18"/>
                <w:szCs w:val="18"/>
              </w:rPr>
              <w:t>10</w:t>
            </w:r>
          </w:p>
        </w:tc>
      </w:tr>
      <w:tr w14:paraId="5127E388">
        <w:tblPrEx>
          <w:tblCellMar>
            <w:top w:w="15" w:type="dxa"/>
            <w:left w:w="15" w:type="dxa"/>
            <w:bottom w:w="15" w:type="dxa"/>
            <w:right w:w="15" w:type="dxa"/>
          </w:tblCellMar>
        </w:tblPrEx>
        <w:trPr>
          <w:trHeight w:val="324"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2416591E">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10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335E3C">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1250" w:type="dxa"/>
            <w:tcBorders>
              <w:top w:val="single" w:color="000000" w:sz="4" w:space="0"/>
              <w:left w:val="single" w:color="000000" w:sz="4" w:space="0"/>
              <w:right w:val="single" w:color="000000" w:sz="4" w:space="0"/>
            </w:tcBorders>
            <w:shd w:val="clear" w:color="auto" w:fill="auto"/>
            <w:vAlign w:val="center"/>
          </w:tcPr>
          <w:p w14:paraId="12243BD9">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时效指标</w:t>
            </w:r>
          </w:p>
        </w:tc>
        <w:tc>
          <w:tcPr>
            <w:tcW w:w="1806" w:type="dxa"/>
            <w:tcBorders>
              <w:top w:val="single" w:color="000000" w:sz="4" w:space="0"/>
              <w:left w:val="single" w:color="000000" w:sz="4" w:space="0"/>
              <w:right w:val="single" w:color="000000" w:sz="4" w:space="0"/>
            </w:tcBorders>
            <w:shd w:val="clear" w:color="auto" w:fill="auto"/>
            <w:vAlign w:val="center"/>
          </w:tcPr>
          <w:p w14:paraId="4BC2F8E7">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r>
              <w:rPr>
                <w:rFonts w:hint="eastAsia" w:ascii="Times New Roman" w:hAnsi="Times New Roman" w:eastAsia="仿宋_GB2312" w:cs="Times New Roman"/>
                <w:color w:val="000000"/>
                <w:sz w:val="18"/>
                <w:szCs w:val="18"/>
              </w:rPr>
              <w:t>完成时间</w:t>
            </w:r>
          </w:p>
        </w:tc>
        <w:tc>
          <w:tcPr>
            <w:tcW w:w="633" w:type="dxa"/>
            <w:tcBorders>
              <w:top w:val="single" w:color="000000" w:sz="4" w:space="0"/>
              <w:left w:val="single" w:color="000000" w:sz="4" w:space="0"/>
              <w:right w:val="single" w:color="000000" w:sz="4" w:space="0"/>
            </w:tcBorders>
            <w:shd w:val="clear" w:color="auto" w:fill="auto"/>
            <w:vAlign w:val="center"/>
          </w:tcPr>
          <w:p w14:paraId="6154D29D">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r>
              <w:rPr>
                <w:rFonts w:hint="eastAsia" w:ascii="Times New Roman" w:hAnsi="Times New Roman" w:eastAsia="仿宋_GB2312" w:cs="Times New Roman"/>
                <w:color w:val="000000"/>
                <w:sz w:val="18"/>
                <w:szCs w:val="18"/>
              </w:rPr>
              <w:t>≤</w:t>
            </w:r>
          </w:p>
        </w:tc>
        <w:tc>
          <w:tcPr>
            <w:tcW w:w="971" w:type="dxa"/>
            <w:tcBorders>
              <w:top w:val="single" w:color="000000" w:sz="4" w:space="0"/>
              <w:left w:val="single" w:color="000000" w:sz="4" w:space="0"/>
              <w:right w:val="single" w:color="000000" w:sz="4" w:space="0"/>
            </w:tcBorders>
            <w:shd w:val="clear" w:color="auto" w:fill="auto"/>
            <w:vAlign w:val="center"/>
          </w:tcPr>
          <w:p w14:paraId="59018B25">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r>
              <w:rPr>
                <w:rFonts w:hint="eastAsia" w:ascii="Times New Roman" w:hAnsi="Times New Roman" w:eastAsia="仿宋_GB2312" w:cs="Times New Roman"/>
                <w:color w:val="000000"/>
                <w:sz w:val="18"/>
                <w:szCs w:val="18"/>
              </w:rPr>
              <w:t>11</w:t>
            </w:r>
          </w:p>
        </w:tc>
        <w:tc>
          <w:tcPr>
            <w:tcW w:w="1061" w:type="dxa"/>
            <w:tcBorders>
              <w:top w:val="single" w:color="000000" w:sz="4" w:space="0"/>
              <w:left w:val="single" w:color="000000" w:sz="4" w:space="0"/>
              <w:right w:val="single" w:color="000000" w:sz="4" w:space="0"/>
            </w:tcBorders>
            <w:shd w:val="clear" w:color="auto" w:fill="auto"/>
            <w:vAlign w:val="center"/>
          </w:tcPr>
          <w:p w14:paraId="6A488C97">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r>
              <w:rPr>
                <w:rFonts w:hint="eastAsia" w:ascii="Times New Roman" w:hAnsi="Times New Roman" w:eastAsia="仿宋_GB2312" w:cs="Times New Roman"/>
                <w:color w:val="000000"/>
                <w:sz w:val="18"/>
                <w:szCs w:val="18"/>
              </w:rPr>
              <w:t>月</w:t>
            </w:r>
          </w:p>
        </w:tc>
        <w:tc>
          <w:tcPr>
            <w:tcW w:w="938" w:type="dxa"/>
            <w:tcBorders>
              <w:top w:val="single" w:color="000000" w:sz="4" w:space="0"/>
              <w:left w:val="single" w:color="000000" w:sz="4" w:space="0"/>
              <w:right w:val="single" w:color="000000" w:sz="4" w:space="0"/>
            </w:tcBorders>
            <w:shd w:val="clear" w:color="auto" w:fill="auto"/>
            <w:vAlign w:val="center"/>
          </w:tcPr>
          <w:p w14:paraId="4F879CE9">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r>
              <w:rPr>
                <w:rFonts w:hint="eastAsia" w:ascii="Times New Roman" w:hAnsi="Times New Roman" w:eastAsia="仿宋_GB2312" w:cs="Times New Roman"/>
                <w:color w:val="000000"/>
                <w:sz w:val="18"/>
                <w:szCs w:val="18"/>
              </w:rPr>
              <w:t>10</w:t>
            </w:r>
          </w:p>
        </w:tc>
        <w:tc>
          <w:tcPr>
            <w:tcW w:w="1841" w:type="dxa"/>
            <w:tcBorders>
              <w:top w:val="single" w:color="000000" w:sz="4" w:space="0"/>
              <w:left w:val="single" w:color="000000" w:sz="4" w:space="0"/>
              <w:right w:val="single" w:color="000000" w:sz="4" w:space="0"/>
            </w:tcBorders>
            <w:shd w:val="clear" w:color="auto" w:fill="auto"/>
            <w:vAlign w:val="center"/>
          </w:tcPr>
          <w:p w14:paraId="78EE3C87">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r>
              <w:rPr>
                <w:rFonts w:hint="eastAsia" w:ascii="Times New Roman" w:hAnsi="Times New Roman" w:eastAsia="仿宋_GB2312" w:cs="Times New Roman"/>
                <w:color w:val="000000"/>
                <w:sz w:val="18"/>
                <w:szCs w:val="18"/>
              </w:rPr>
              <w:t>10</w:t>
            </w:r>
          </w:p>
        </w:tc>
      </w:tr>
      <w:tr w14:paraId="35A09E34">
        <w:tblPrEx>
          <w:tblCellMar>
            <w:top w:w="15" w:type="dxa"/>
            <w:left w:w="15" w:type="dxa"/>
            <w:bottom w:w="15" w:type="dxa"/>
            <w:right w:w="15" w:type="dxa"/>
          </w:tblCellMar>
        </w:tblPrEx>
        <w:trPr>
          <w:trHeight w:val="640"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6CA14F6B">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108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4F63F57">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效益指标</w:t>
            </w:r>
          </w:p>
        </w:tc>
        <w:tc>
          <w:tcPr>
            <w:tcW w:w="12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18ABC4">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kern w:val="0"/>
                <w:sz w:val="24"/>
                <w:szCs w:val="24"/>
              </w:rPr>
            </w:pPr>
            <w:r>
              <w:rPr>
                <w:rFonts w:hint="default" w:ascii="宋体" w:hAnsi="宋体" w:eastAsia="宋体" w:cs="宋体"/>
                <w:color w:val="000000"/>
                <w:kern w:val="0"/>
                <w:sz w:val="24"/>
                <w:szCs w:val="24"/>
              </w:rPr>
              <w:t>社会效益</w:t>
            </w:r>
          </w:p>
          <w:p w14:paraId="3037DDC2">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指标</w:t>
            </w:r>
          </w:p>
        </w:tc>
        <w:tc>
          <w:tcPr>
            <w:tcW w:w="1806" w:type="dxa"/>
            <w:tcBorders>
              <w:top w:val="single" w:color="000000" w:sz="4" w:space="0"/>
              <w:left w:val="single" w:color="000000" w:sz="4" w:space="0"/>
              <w:right w:val="single" w:color="000000" w:sz="4" w:space="0"/>
            </w:tcBorders>
            <w:shd w:val="clear" w:color="auto" w:fill="auto"/>
            <w:vAlign w:val="center"/>
          </w:tcPr>
          <w:p w14:paraId="6B32FE72">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r>
              <w:rPr>
                <w:rFonts w:hint="eastAsia" w:ascii="Times New Roman" w:hAnsi="Times New Roman" w:eastAsia="仿宋_GB2312" w:cs="Times New Roman"/>
                <w:color w:val="000000"/>
                <w:sz w:val="18"/>
                <w:szCs w:val="18"/>
              </w:rPr>
              <w:t>完成救灾物资采购、储备和管理。</w:t>
            </w:r>
          </w:p>
        </w:tc>
        <w:tc>
          <w:tcPr>
            <w:tcW w:w="633" w:type="dxa"/>
            <w:tcBorders>
              <w:top w:val="single" w:color="000000" w:sz="4" w:space="0"/>
              <w:left w:val="single" w:color="000000" w:sz="4" w:space="0"/>
              <w:right w:val="single" w:color="000000" w:sz="4" w:space="0"/>
            </w:tcBorders>
            <w:shd w:val="clear" w:color="auto" w:fill="auto"/>
            <w:vAlign w:val="center"/>
          </w:tcPr>
          <w:p w14:paraId="239C82C4">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r>
              <w:rPr>
                <w:rFonts w:hint="eastAsia" w:ascii="Times New Roman" w:hAnsi="Times New Roman" w:eastAsia="仿宋_GB2312" w:cs="Times New Roman"/>
                <w:color w:val="000000"/>
                <w:sz w:val="18"/>
                <w:szCs w:val="18"/>
              </w:rPr>
              <w:t>定性</w:t>
            </w:r>
          </w:p>
        </w:tc>
        <w:tc>
          <w:tcPr>
            <w:tcW w:w="971" w:type="dxa"/>
            <w:tcBorders>
              <w:top w:val="single" w:color="000000" w:sz="4" w:space="0"/>
              <w:left w:val="single" w:color="000000" w:sz="4" w:space="0"/>
              <w:right w:val="single" w:color="000000" w:sz="4" w:space="0"/>
            </w:tcBorders>
            <w:shd w:val="clear" w:color="auto" w:fill="auto"/>
            <w:vAlign w:val="center"/>
          </w:tcPr>
          <w:p w14:paraId="1BCCE4A5">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r>
              <w:rPr>
                <w:rFonts w:hint="eastAsia" w:ascii="Times New Roman" w:hAnsi="Times New Roman" w:eastAsia="仿宋_GB2312" w:cs="Times New Roman"/>
                <w:color w:val="000000"/>
                <w:sz w:val="18"/>
                <w:szCs w:val="18"/>
              </w:rPr>
              <w:t>确保市级救灾物资安全完整，以保障受灾困难群众基本生活。</w:t>
            </w:r>
          </w:p>
        </w:tc>
        <w:tc>
          <w:tcPr>
            <w:tcW w:w="1061" w:type="dxa"/>
            <w:tcBorders>
              <w:top w:val="single" w:color="000000" w:sz="4" w:space="0"/>
              <w:left w:val="single" w:color="000000" w:sz="4" w:space="0"/>
              <w:right w:val="single" w:color="000000" w:sz="4" w:space="0"/>
            </w:tcBorders>
            <w:shd w:val="clear" w:color="auto" w:fill="auto"/>
            <w:vAlign w:val="center"/>
          </w:tcPr>
          <w:p w14:paraId="5424E6E5">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r>
              <w:rPr>
                <w:rFonts w:hint="eastAsia" w:ascii="Times New Roman" w:hAnsi="Times New Roman" w:eastAsia="仿宋_GB2312" w:cs="Times New Roman"/>
                <w:color w:val="000000"/>
                <w:sz w:val="18"/>
                <w:szCs w:val="18"/>
              </w:rPr>
              <w:t>　</w:t>
            </w:r>
          </w:p>
        </w:tc>
        <w:tc>
          <w:tcPr>
            <w:tcW w:w="938" w:type="dxa"/>
            <w:tcBorders>
              <w:top w:val="single" w:color="000000" w:sz="4" w:space="0"/>
              <w:left w:val="single" w:color="000000" w:sz="4" w:space="0"/>
              <w:right w:val="single" w:color="000000" w:sz="4" w:space="0"/>
            </w:tcBorders>
            <w:shd w:val="clear" w:color="auto" w:fill="auto"/>
            <w:vAlign w:val="center"/>
          </w:tcPr>
          <w:p w14:paraId="45F282C4">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r>
              <w:rPr>
                <w:rFonts w:hint="eastAsia" w:ascii="Times New Roman" w:hAnsi="Times New Roman" w:eastAsia="仿宋_GB2312" w:cs="Times New Roman"/>
                <w:color w:val="000000"/>
                <w:sz w:val="18"/>
                <w:szCs w:val="18"/>
              </w:rPr>
              <w:t>10</w:t>
            </w:r>
          </w:p>
        </w:tc>
        <w:tc>
          <w:tcPr>
            <w:tcW w:w="1841" w:type="dxa"/>
            <w:tcBorders>
              <w:top w:val="single" w:color="000000" w:sz="4" w:space="0"/>
              <w:left w:val="single" w:color="000000" w:sz="4" w:space="0"/>
              <w:right w:val="single" w:color="000000" w:sz="4" w:space="0"/>
            </w:tcBorders>
            <w:shd w:val="clear" w:color="auto" w:fill="auto"/>
            <w:vAlign w:val="center"/>
          </w:tcPr>
          <w:p w14:paraId="31F2B1AB">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r>
              <w:rPr>
                <w:rFonts w:hint="eastAsia" w:ascii="Times New Roman" w:hAnsi="Times New Roman" w:eastAsia="仿宋_GB2312" w:cs="Times New Roman"/>
                <w:color w:val="000000"/>
                <w:sz w:val="18"/>
                <w:szCs w:val="18"/>
              </w:rPr>
              <w:t>10</w:t>
            </w:r>
          </w:p>
        </w:tc>
      </w:tr>
      <w:tr w14:paraId="7C157C68">
        <w:tblPrEx>
          <w:tblCellMar>
            <w:top w:w="15" w:type="dxa"/>
            <w:left w:w="15" w:type="dxa"/>
            <w:bottom w:w="15" w:type="dxa"/>
            <w:right w:w="15" w:type="dxa"/>
          </w:tblCellMar>
        </w:tblPrEx>
        <w:trPr>
          <w:trHeight w:val="769"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76D302C8">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10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D4E240">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1250" w:type="dxa"/>
            <w:tcBorders>
              <w:top w:val="single" w:color="000000" w:sz="4" w:space="0"/>
              <w:left w:val="single" w:color="000000" w:sz="4" w:space="0"/>
              <w:right w:val="single" w:color="000000" w:sz="4" w:space="0"/>
            </w:tcBorders>
            <w:shd w:val="clear" w:color="auto" w:fill="auto"/>
            <w:vAlign w:val="center"/>
          </w:tcPr>
          <w:p w14:paraId="0FF64C81">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eastAsia" w:ascii="宋体" w:hAnsi="宋体" w:eastAsia="宋体" w:cs="宋体"/>
                <w:color w:val="000000"/>
                <w:kern w:val="0"/>
                <w:sz w:val="24"/>
                <w:szCs w:val="24"/>
              </w:rPr>
              <w:t>可持续影响指标</w:t>
            </w:r>
          </w:p>
        </w:tc>
        <w:tc>
          <w:tcPr>
            <w:tcW w:w="1806" w:type="dxa"/>
            <w:tcBorders>
              <w:top w:val="single" w:color="000000" w:sz="4" w:space="0"/>
              <w:left w:val="single" w:color="000000" w:sz="4" w:space="0"/>
              <w:right w:val="single" w:color="000000" w:sz="4" w:space="0"/>
            </w:tcBorders>
            <w:shd w:val="clear" w:color="auto" w:fill="auto"/>
            <w:vAlign w:val="center"/>
          </w:tcPr>
          <w:p w14:paraId="481CE0C1">
            <w:pPr>
              <w:keepNext w:val="0"/>
              <w:keepLines w:val="0"/>
              <w:suppressLineNumbers w:val="0"/>
              <w:spacing w:before="0" w:beforeAutospacing="0" w:after="0" w:afterAutospacing="0" w:line="300" w:lineRule="exact"/>
              <w:ind w:left="0" w:right="0"/>
              <w:rPr>
                <w:rFonts w:hint="default" w:ascii="宋体" w:hAnsi="宋体" w:eastAsia="宋体" w:cs="宋体"/>
                <w:color w:val="000000"/>
                <w:sz w:val="24"/>
                <w:szCs w:val="24"/>
              </w:rPr>
            </w:pPr>
            <w:r>
              <w:rPr>
                <w:rFonts w:hint="eastAsia" w:ascii="宋体" w:hAnsi="宋体" w:eastAsia="宋体" w:cs="宋体"/>
                <w:color w:val="000000"/>
                <w:sz w:val="24"/>
                <w:szCs w:val="24"/>
              </w:rPr>
              <w:t>救灾物资储备管理工作的开展将持续发挥良好的社会效益。</w:t>
            </w:r>
          </w:p>
        </w:tc>
        <w:tc>
          <w:tcPr>
            <w:tcW w:w="633" w:type="dxa"/>
            <w:tcBorders>
              <w:top w:val="single" w:color="000000" w:sz="4" w:space="0"/>
              <w:left w:val="single" w:color="000000" w:sz="4" w:space="0"/>
              <w:right w:val="single" w:color="000000" w:sz="4" w:space="0"/>
            </w:tcBorders>
            <w:shd w:val="clear" w:color="auto" w:fill="auto"/>
            <w:vAlign w:val="center"/>
          </w:tcPr>
          <w:p w14:paraId="41AB2E82">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r>
              <w:rPr>
                <w:rFonts w:hint="eastAsia" w:ascii="Times New Roman" w:hAnsi="Times New Roman" w:eastAsia="仿宋_GB2312" w:cs="Times New Roman"/>
                <w:color w:val="000000"/>
                <w:sz w:val="18"/>
                <w:szCs w:val="18"/>
              </w:rPr>
              <w:t>定性</w:t>
            </w:r>
          </w:p>
        </w:tc>
        <w:tc>
          <w:tcPr>
            <w:tcW w:w="971" w:type="dxa"/>
            <w:tcBorders>
              <w:top w:val="single" w:color="000000" w:sz="4" w:space="0"/>
              <w:left w:val="single" w:color="000000" w:sz="4" w:space="0"/>
              <w:right w:val="single" w:color="000000" w:sz="4" w:space="0"/>
            </w:tcBorders>
            <w:shd w:val="clear" w:color="auto" w:fill="auto"/>
            <w:vAlign w:val="center"/>
          </w:tcPr>
          <w:p w14:paraId="3D2910CC">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r>
              <w:rPr>
                <w:rFonts w:hint="eastAsia" w:ascii="Times New Roman" w:hAnsi="Times New Roman" w:eastAsia="仿宋_GB2312" w:cs="Times New Roman"/>
                <w:color w:val="000000"/>
                <w:sz w:val="18"/>
                <w:szCs w:val="18"/>
              </w:rPr>
              <w:t>及时有效提高应急处突能力，确保社会稳定。</w:t>
            </w:r>
          </w:p>
        </w:tc>
        <w:tc>
          <w:tcPr>
            <w:tcW w:w="1061" w:type="dxa"/>
            <w:tcBorders>
              <w:top w:val="single" w:color="000000" w:sz="4" w:space="0"/>
              <w:left w:val="single" w:color="000000" w:sz="4" w:space="0"/>
              <w:right w:val="single" w:color="000000" w:sz="4" w:space="0"/>
            </w:tcBorders>
            <w:shd w:val="clear" w:color="auto" w:fill="auto"/>
            <w:vAlign w:val="center"/>
          </w:tcPr>
          <w:p w14:paraId="2675141B">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r>
              <w:rPr>
                <w:rFonts w:hint="eastAsia" w:ascii="Times New Roman" w:hAnsi="Times New Roman" w:eastAsia="仿宋_GB2312" w:cs="Times New Roman"/>
                <w:color w:val="000000"/>
                <w:sz w:val="18"/>
                <w:szCs w:val="18"/>
              </w:rPr>
              <w:t>　</w:t>
            </w:r>
          </w:p>
        </w:tc>
        <w:tc>
          <w:tcPr>
            <w:tcW w:w="938" w:type="dxa"/>
            <w:tcBorders>
              <w:top w:val="single" w:color="000000" w:sz="4" w:space="0"/>
              <w:left w:val="single" w:color="000000" w:sz="4" w:space="0"/>
              <w:right w:val="single" w:color="000000" w:sz="4" w:space="0"/>
            </w:tcBorders>
            <w:shd w:val="clear" w:color="auto" w:fill="auto"/>
            <w:vAlign w:val="center"/>
          </w:tcPr>
          <w:p w14:paraId="7E2CB60C">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r>
              <w:rPr>
                <w:rFonts w:hint="eastAsia" w:ascii="Times New Roman" w:hAnsi="Times New Roman" w:eastAsia="仿宋_GB2312" w:cs="Times New Roman"/>
                <w:color w:val="000000"/>
                <w:sz w:val="18"/>
                <w:szCs w:val="18"/>
              </w:rPr>
              <w:t>10</w:t>
            </w:r>
          </w:p>
        </w:tc>
        <w:tc>
          <w:tcPr>
            <w:tcW w:w="1841" w:type="dxa"/>
            <w:tcBorders>
              <w:top w:val="single" w:color="000000" w:sz="4" w:space="0"/>
              <w:left w:val="single" w:color="000000" w:sz="4" w:space="0"/>
              <w:right w:val="single" w:color="000000" w:sz="4" w:space="0"/>
            </w:tcBorders>
            <w:shd w:val="clear" w:color="auto" w:fill="auto"/>
            <w:vAlign w:val="center"/>
          </w:tcPr>
          <w:p w14:paraId="3B670A7B">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r>
              <w:rPr>
                <w:rFonts w:hint="eastAsia" w:ascii="Times New Roman" w:hAnsi="Times New Roman" w:eastAsia="仿宋_GB2312" w:cs="Times New Roman"/>
                <w:color w:val="000000"/>
                <w:sz w:val="18"/>
                <w:szCs w:val="18"/>
              </w:rPr>
              <w:t>10</w:t>
            </w:r>
          </w:p>
        </w:tc>
      </w:tr>
      <w:tr w14:paraId="346D3AA7">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7EB0FDA8">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1081" w:type="dxa"/>
            <w:tcBorders>
              <w:top w:val="single" w:color="000000" w:sz="4" w:space="0"/>
              <w:left w:val="single" w:color="000000" w:sz="4" w:space="0"/>
              <w:right w:val="single" w:color="000000" w:sz="4" w:space="0"/>
            </w:tcBorders>
            <w:shd w:val="clear" w:color="auto" w:fill="auto"/>
            <w:vAlign w:val="center"/>
          </w:tcPr>
          <w:p w14:paraId="3875EF23">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kern w:val="0"/>
                <w:sz w:val="24"/>
                <w:szCs w:val="24"/>
              </w:rPr>
            </w:pPr>
            <w:r>
              <w:rPr>
                <w:rFonts w:hint="default" w:ascii="宋体" w:hAnsi="宋体" w:eastAsia="宋体" w:cs="宋体"/>
                <w:color w:val="000000"/>
                <w:kern w:val="0"/>
                <w:sz w:val="24"/>
                <w:szCs w:val="24"/>
              </w:rPr>
              <w:t>满意度</w:t>
            </w:r>
          </w:p>
          <w:p w14:paraId="3D9CBCA6">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指标</w:t>
            </w:r>
          </w:p>
        </w:tc>
        <w:tc>
          <w:tcPr>
            <w:tcW w:w="1250" w:type="dxa"/>
            <w:tcBorders>
              <w:top w:val="single" w:color="000000" w:sz="4" w:space="0"/>
              <w:left w:val="single" w:color="000000" w:sz="4" w:space="0"/>
              <w:right w:val="single" w:color="000000" w:sz="4" w:space="0"/>
            </w:tcBorders>
            <w:shd w:val="clear" w:color="auto" w:fill="auto"/>
            <w:vAlign w:val="center"/>
          </w:tcPr>
          <w:p w14:paraId="2189F9A0">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kern w:val="0"/>
                <w:sz w:val="24"/>
                <w:szCs w:val="24"/>
              </w:rPr>
            </w:pPr>
            <w:r>
              <w:rPr>
                <w:rFonts w:hint="default" w:ascii="宋体" w:hAnsi="宋体" w:eastAsia="宋体" w:cs="宋体"/>
                <w:color w:val="000000"/>
                <w:kern w:val="0"/>
                <w:sz w:val="24"/>
                <w:szCs w:val="24"/>
              </w:rPr>
              <w:t>服务对象</w:t>
            </w:r>
          </w:p>
          <w:p w14:paraId="094DD794">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满意度指标</w:t>
            </w:r>
          </w:p>
        </w:tc>
        <w:tc>
          <w:tcPr>
            <w:tcW w:w="1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B31BBC">
            <w:pPr>
              <w:keepNext w:val="0"/>
              <w:keepLines w:val="0"/>
              <w:suppressLineNumbers w:val="0"/>
              <w:spacing w:before="0" w:beforeAutospacing="0" w:after="0" w:afterAutospacing="0"/>
              <w:ind w:left="0" w:right="0"/>
              <w:rPr>
                <w:rFonts w:hint="default" w:ascii="宋体" w:hAnsi="宋体" w:eastAsia="宋体" w:cs="宋体"/>
                <w:color w:val="000000"/>
                <w:sz w:val="18"/>
                <w:szCs w:val="18"/>
              </w:rPr>
            </w:pPr>
            <w:r>
              <w:rPr>
                <w:rFonts w:hint="eastAsia" w:ascii="Times New Roman" w:hAnsi="Times New Roman" w:eastAsia="仿宋_GB2312" w:cs="Times New Roman"/>
                <w:color w:val="000000"/>
                <w:sz w:val="18"/>
                <w:szCs w:val="18"/>
              </w:rPr>
              <w:t>受灾群众满意率</w:t>
            </w:r>
          </w:p>
        </w:tc>
        <w:tc>
          <w:tcPr>
            <w:tcW w:w="6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FA36DD">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r>
              <w:rPr>
                <w:rFonts w:hint="eastAsia" w:ascii="Times New Roman" w:hAnsi="Times New Roman" w:eastAsia="仿宋_GB2312" w:cs="Times New Roman"/>
                <w:color w:val="000000"/>
                <w:sz w:val="18"/>
                <w:szCs w:val="18"/>
              </w:rPr>
              <w:t>＝</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981946">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r>
              <w:rPr>
                <w:rFonts w:hint="eastAsia" w:ascii="Times New Roman" w:hAnsi="Times New Roman" w:eastAsia="仿宋_GB2312" w:cs="Times New Roman"/>
                <w:color w:val="000000"/>
                <w:sz w:val="18"/>
                <w:szCs w:val="18"/>
              </w:rPr>
              <w:t>100</w:t>
            </w:r>
          </w:p>
        </w:tc>
        <w:tc>
          <w:tcPr>
            <w:tcW w:w="10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19DDFC">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r>
              <w:rPr>
                <w:rFonts w:hint="eastAsia" w:ascii="Times New Roman" w:hAnsi="Times New Roman" w:eastAsia="仿宋_GB2312" w:cs="Times New Roman"/>
                <w:color w:val="000000"/>
                <w:sz w:val="18"/>
                <w:szCs w:val="18"/>
              </w:rPr>
              <w:t>%</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28B758">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r>
              <w:rPr>
                <w:rFonts w:hint="eastAsia" w:ascii="Times New Roman" w:hAnsi="Times New Roman" w:eastAsia="仿宋_GB2312" w:cs="Times New Roman"/>
                <w:color w:val="000000"/>
                <w:sz w:val="18"/>
                <w:szCs w:val="18"/>
              </w:rPr>
              <w:t>10</w:t>
            </w:r>
          </w:p>
        </w:tc>
        <w:tc>
          <w:tcPr>
            <w:tcW w:w="18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40B75F">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r>
              <w:rPr>
                <w:rFonts w:hint="eastAsia" w:ascii="Times New Roman" w:hAnsi="Times New Roman" w:eastAsia="仿宋_GB2312" w:cs="Times New Roman"/>
                <w:color w:val="000000"/>
                <w:sz w:val="18"/>
                <w:szCs w:val="18"/>
              </w:rPr>
              <w:t>10</w:t>
            </w:r>
          </w:p>
        </w:tc>
      </w:tr>
      <w:tr w14:paraId="074DF692">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12C826F6">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108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68118B1">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成本指标</w:t>
            </w:r>
          </w:p>
        </w:tc>
        <w:tc>
          <w:tcPr>
            <w:tcW w:w="1250" w:type="dxa"/>
            <w:vMerge w:val="restart"/>
            <w:tcBorders>
              <w:top w:val="single" w:color="000000" w:sz="4" w:space="0"/>
              <w:left w:val="single" w:color="000000" w:sz="4" w:space="0"/>
              <w:right w:val="single" w:color="000000" w:sz="4" w:space="0"/>
            </w:tcBorders>
            <w:shd w:val="clear" w:color="auto" w:fill="auto"/>
            <w:vAlign w:val="center"/>
          </w:tcPr>
          <w:p w14:paraId="758AB153">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kern w:val="0"/>
                <w:sz w:val="24"/>
                <w:szCs w:val="24"/>
              </w:rPr>
            </w:pPr>
            <w:r>
              <w:rPr>
                <w:rFonts w:hint="default" w:ascii="宋体" w:hAnsi="宋体" w:eastAsia="宋体" w:cs="宋体"/>
                <w:color w:val="000000"/>
                <w:kern w:val="0"/>
                <w:sz w:val="24"/>
                <w:szCs w:val="24"/>
              </w:rPr>
              <w:t>经济成本</w:t>
            </w:r>
          </w:p>
          <w:p w14:paraId="1496F468">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r>
              <w:rPr>
                <w:rFonts w:hint="default" w:ascii="宋体" w:hAnsi="宋体" w:eastAsia="宋体" w:cs="宋体"/>
                <w:color w:val="000000"/>
                <w:kern w:val="0"/>
                <w:sz w:val="24"/>
                <w:szCs w:val="24"/>
              </w:rPr>
              <w:t>指标</w:t>
            </w:r>
          </w:p>
        </w:tc>
        <w:tc>
          <w:tcPr>
            <w:tcW w:w="1806" w:type="dxa"/>
            <w:tcBorders>
              <w:top w:val="single" w:color="000000" w:sz="4" w:space="0"/>
              <w:bottom w:val="single" w:color="000000" w:sz="4" w:space="0"/>
              <w:right w:val="single" w:color="000000" w:sz="4" w:space="0"/>
            </w:tcBorders>
            <w:shd w:val="clear" w:color="auto" w:fill="auto"/>
            <w:vAlign w:val="center"/>
          </w:tcPr>
          <w:p w14:paraId="5BB65A83">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r>
              <w:rPr>
                <w:rFonts w:hint="eastAsia" w:ascii="Times New Roman" w:hAnsi="Times New Roman" w:eastAsia="仿宋_GB2312" w:cs="Times New Roman"/>
                <w:color w:val="000000"/>
                <w:sz w:val="18"/>
                <w:szCs w:val="18"/>
              </w:rPr>
              <w:t>完成救灾物资单帐篷（8 ㎡）采购200顶</w:t>
            </w:r>
          </w:p>
        </w:tc>
        <w:tc>
          <w:tcPr>
            <w:tcW w:w="6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A8F3ED">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r>
              <w:rPr>
                <w:rFonts w:hint="eastAsia" w:ascii="Times New Roman" w:hAnsi="Times New Roman" w:eastAsia="仿宋_GB2312" w:cs="Times New Roman"/>
                <w:color w:val="000000"/>
                <w:sz w:val="18"/>
                <w:szCs w:val="18"/>
              </w:rPr>
              <w:t>定性</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803F7F">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r>
              <w:rPr>
                <w:rFonts w:hint="eastAsia" w:ascii="Times New Roman" w:hAnsi="Times New Roman" w:eastAsia="仿宋_GB2312" w:cs="Times New Roman"/>
                <w:color w:val="000000"/>
                <w:sz w:val="18"/>
                <w:szCs w:val="18"/>
              </w:rPr>
              <w:t>26</w:t>
            </w:r>
          </w:p>
        </w:tc>
        <w:tc>
          <w:tcPr>
            <w:tcW w:w="10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21058F">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r>
              <w:rPr>
                <w:rFonts w:hint="eastAsia" w:ascii="Times New Roman" w:hAnsi="Times New Roman" w:eastAsia="仿宋_GB2312" w:cs="Times New Roman"/>
                <w:color w:val="000000"/>
                <w:sz w:val="18"/>
                <w:szCs w:val="18"/>
              </w:rPr>
              <w:t>万元</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A59C6B">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r>
              <w:rPr>
                <w:rFonts w:hint="eastAsia" w:ascii="Times New Roman" w:hAnsi="Times New Roman" w:eastAsia="仿宋_GB2312" w:cs="Times New Roman"/>
                <w:color w:val="000000"/>
                <w:sz w:val="18"/>
                <w:szCs w:val="18"/>
              </w:rPr>
              <w:t>5</w:t>
            </w:r>
          </w:p>
        </w:tc>
        <w:tc>
          <w:tcPr>
            <w:tcW w:w="18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25B3CB">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r>
              <w:rPr>
                <w:rFonts w:hint="eastAsia" w:ascii="Times New Roman" w:hAnsi="Times New Roman" w:eastAsia="仿宋_GB2312" w:cs="Times New Roman"/>
                <w:color w:val="000000"/>
                <w:sz w:val="18"/>
                <w:szCs w:val="18"/>
              </w:rPr>
              <w:t>5</w:t>
            </w:r>
          </w:p>
        </w:tc>
      </w:tr>
      <w:tr w14:paraId="41881EAE">
        <w:tblPrEx>
          <w:tblCellMar>
            <w:top w:w="15" w:type="dxa"/>
            <w:left w:w="15" w:type="dxa"/>
            <w:bottom w:w="15" w:type="dxa"/>
            <w:right w:w="15" w:type="dxa"/>
          </w:tblCellMar>
        </w:tblPrEx>
        <w:trPr>
          <w:trHeight w:val="23" w:hRule="atLeast"/>
          <w:jc w:val="center"/>
        </w:trPr>
        <w:tc>
          <w:tcPr>
            <w:tcW w:w="652" w:type="dxa"/>
            <w:vMerge w:val="continue"/>
            <w:tcBorders>
              <w:top w:val="single" w:color="000000" w:sz="4" w:space="0"/>
              <w:left w:val="single" w:color="000000" w:sz="4" w:space="0"/>
              <w:bottom w:val="single" w:color="000000" w:sz="4" w:space="0"/>
            </w:tcBorders>
            <w:shd w:val="clear" w:color="auto" w:fill="auto"/>
            <w:vAlign w:val="center"/>
          </w:tcPr>
          <w:p w14:paraId="14ABEB3C">
            <w:pPr>
              <w:keepNext w:val="0"/>
              <w:keepLines w:val="0"/>
              <w:suppressLineNumbers w:val="0"/>
              <w:spacing w:before="0" w:beforeAutospacing="0" w:after="0" w:afterAutospacing="0" w:line="300" w:lineRule="exact"/>
              <w:ind w:left="0" w:right="0"/>
              <w:jc w:val="center"/>
              <w:rPr>
                <w:rFonts w:hint="default" w:ascii="宋体" w:hAnsi="宋体" w:eastAsia="宋体" w:cs="宋体"/>
                <w:color w:val="000000"/>
                <w:sz w:val="24"/>
                <w:szCs w:val="24"/>
              </w:rPr>
            </w:pPr>
          </w:p>
        </w:tc>
        <w:tc>
          <w:tcPr>
            <w:tcW w:w="10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D2ED22">
            <w:pPr>
              <w:keepNext w:val="0"/>
              <w:keepLines w:val="0"/>
              <w:suppressLineNumbers w:val="0"/>
              <w:spacing w:before="0" w:beforeAutospacing="0" w:after="0" w:afterAutospacing="0" w:line="300" w:lineRule="exact"/>
              <w:ind w:left="0" w:right="0"/>
              <w:jc w:val="left"/>
              <w:rPr>
                <w:rFonts w:hint="default" w:ascii="宋体" w:hAnsi="宋体" w:eastAsia="宋体" w:cs="宋体"/>
                <w:color w:val="000000"/>
                <w:sz w:val="24"/>
                <w:szCs w:val="24"/>
              </w:rPr>
            </w:pPr>
          </w:p>
        </w:tc>
        <w:tc>
          <w:tcPr>
            <w:tcW w:w="1250" w:type="dxa"/>
            <w:vMerge w:val="continue"/>
            <w:tcBorders>
              <w:left w:val="single" w:color="000000" w:sz="4" w:space="0"/>
              <w:bottom w:val="single" w:color="000000" w:sz="4" w:space="0"/>
              <w:right w:val="single" w:color="000000" w:sz="4" w:space="0"/>
            </w:tcBorders>
            <w:shd w:val="clear" w:color="auto" w:fill="auto"/>
            <w:vAlign w:val="center"/>
          </w:tcPr>
          <w:p w14:paraId="51AC8DC7">
            <w:pPr>
              <w:keepNext w:val="0"/>
              <w:keepLines w:val="0"/>
              <w:widowControl/>
              <w:suppressLineNumbers w:val="0"/>
              <w:spacing w:before="0" w:beforeAutospacing="0" w:after="0" w:afterAutospacing="0" w:line="300" w:lineRule="exact"/>
              <w:ind w:left="0" w:right="0"/>
              <w:jc w:val="center"/>
              <w:textAlignment w:val="center"/>
              <w:rPr>
                <w:rFonts w:hint="default" w:ascii="宋体" w:hAnsi="宋体" w:eastAsia="宋体" w:cs="宋体"/>
                <w:color w:val="000000"/>
                <w:sz w:val="24"/>
                <w:szCs w:val="24"/>
              </w:rPr>
            </w:pPr>
          </w:p>
        </w:tc>
        <w:tc>
          <w:tcPr>
            <w:tcW w:w="1806" w:type="dxa"/>
            <w:tcBorders>
              <w:top w:val="single" w:color="000000" w:sz="4" w:space="0"/>
              <w:bottom w:val="single" w:color="000000" w:sz="4" w:space="0"/>
              <w:right w:val="single" w:color="000000" w:sz="4" w:space="0"/>
            </w:tcBorders>
            <w:shd w:val="clear" w:color="auto" w:fill="auto"/>
            <w:vAlign w:val="center"/>
          </w:tcPr>
          <w:p w14:paraId="5455B94A">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r>
              <w:rPr>
                <w:rFonts w:hint="eastAsia" w:ascii="Times New Roman" w:hAnsi="Times New Roman" w:eastAsia="仿宋_GB2312" w:cs="Times New Roman"/>
                <w:color w:val="000000"/>
                <w:sz w:val="18"/>
                <w:szCs w:val="18"/>
              </w:rPr>
              <w:t>完成救灾物资棉被采购1700床</w:t>
            </w:r>
          </w:p>
        </w:tc>
        <w:tc>
          <w:tcPr>
            <w:tcW w:w="6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1407A2">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r>
              <w:rPr>
                <w:rFonts w:hint="eastAsia" w:ascii="Times New Roman" w:hAnsi="Times New Roman" w:eastAsia="仿宋_GB2312" w:cs="Times New Roman"/>
                <w:color w:val="000000"/>
                <w:sz w:val="18"/>
                <w:szCs w:val="18"/>
              </w:rPr>
              <w:t>＝</w:t>
            </w:r>
          </w:p>
        </w:tc>
        <w:tc>
          <w:tcPr>
            <w:tcW w:w="9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89AA3F">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r>
              <w:rPr>
                <w:rFonts w:hint="eastAsia" w:ascii="Times New Roman" w:hAnsi="Times New Roman" w:eastAsia="仿宋_GB2312" w:cs="Times New Roman"/>
                <w:color w:val="000000"/>
                <w:sz w:val="18"/>
                <w:szCs w:val="18"/>
              </w:rPr>
              <w:t>34</w:t>
            </w:r>
          </w:p>
        </w:tc>
        <w:tc>
          <w:tcPr>
            <w:tcW w:w="10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BE8DF9">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r>
              <w:rPr>
                <w:rFonts w:hint="eastAsia" w:ascii="Times New Roman" w:hAnsi="Times New Roman" w:eastAsia="仿宋_GB2312" w:cs="Times New Roman"/>
                <w:color w:val="000000"/>
                <w:sz w:val="18"/>
                <w:szCs w:val="18"/>
              </w:rPr>
              <w:t>万元</w:t>
            </w:r>
          </w:p>
        </w:tc>
        <w:tc>
          <w:tcPr>
            <w:tcW w:w="9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9A7CD3">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r>
              <w:rPr>
                <w:rFonts w:hint="eastAsia" w:ascii="Times New Roman" w:hAnsi="Times New Roman" w:eastAsia="仿宋_GB2312" w:cs="Times New Roman"/>
                <w:color w:val="000000"/>
                <w:sz w:val="18"/>
                <w:szCs w:val="18"/>
              </w:rPr>
              <w:t>5</w:t>
            </w:r>
          </w:p>
        </w:tc>
        <w:tc>
          <w:tcPr>
            <w:tcW w:w="18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3D90DF">
            <w:pPr>
              <w:keepNext w:val="0"/>
              <w:keepLines w:val="0"/>
              <w:suppressLineNumbers w:val="0"/>
              <w:spacing w:before="0" w:beforeAutospacing="0" w:after="0" w:afterAutospacing="0"/>
              <w:ind w:left="0" w:right="0"/>
              <w:jc w:val="center"/>
              <w:rPr>
                <w:rFonts w:hint="default" w:ascii="宋体" w:hAnsi="宋体" w:eastAsia="宋体" w:cs="宋体"/>
                <w:color w:val="000000"/>
                <w:sz w:val="18"/>
                <w:szCs w:val="18"/>
              </w:rPr>
            </w:pPr>
            <w:r>
              <w:rPr>
                <w:rFonts w:hint="eastAsia" w:ascii="Times New Roman" w:hAnsi="Times New Roman" w:eastAsia="仿宋_GB2312" w:cs="Times New Roman"/>
                <w:color w:val="000000"/>
                <w:sz w:val="18"/>
                <w:szCs w:val="18"/>
              </w:rPr>
              <w:t>5</w:t>
            </w:r>
          </w:p>
        </w:tc>
      </w:tr>
    </w:tbl>
    <w:p w14:paraId="2BD8CD34">
      <w:pPr>
        <w:spacing w:line="600" w:lineRule="exact"/>
        <w:jc w:val="center"/>
        <w:outlineLvl w:val="0"/>
        <w:rPr>
          <w:rFonts w:hint="eastAsia" w:ascii="黑体" w:hAnsi="黑体" w:eastAsia="黑体"/>
          <w:color w:val="auto"/>
          <w:sz w:val="44"/>
          <w:szCs w:val="44"/>
          <w:highlight w:val="none"/>
        </w:rPr>
        <w:sectPr>
          <w:footerReference r:id="rId14" w:type="first"/>
          <w:headerReference r:id="rId12" w:type="default"/>
          <w:footerReference r:id="rId13" w:type="default"/>
          <w:pgSz w:w="16838" w:h="11906" w:orient="landscape"/>
          <w:pgMar w:top="1800" w:right="1440" w:bottom="1800" w:left="1440" w:header="851" w:footer="992" w:gutter="0"/>
          <w:pgNumType w:fmt="decimal"/>
          <w:cols w:space="425" w:num="1"/>
          <w:titlePg/>
          <w:docGrid w:type="lines" w:linePitch="312" w:charSpace="0"/>
        </w:sectPr>
      </w:pPr>
    </w:p>
    <w:p w14:paraId="6A1E1149">
      <w:pPr>
        <w:spacing w:line="600" w:lineRule="exact"/>
        <w:jc w:val="both"/>
        <w:outlineLvl w:val="0"/>
        <w:rPr>
          <w:rFonts w:hint="eastAsia" w:ascii="黑体" w:hAnsi="黑体" w:eastAsia="黑体"/>
          <w:color w:val="auto"/>
          <w:sz w:val="44"/>
          <w:szCs w:val="44"/>
          <w:highlight w:val="none"/>
        </w:rPr>
      </w:pPr>
    </w:p>
    <w:p w14:paraId="1860A573">
      <w:pPr>
        <w:spacing w:line="600" w:lineRule="exact"/>
        <w:jc w:val="center"/>
        <w:outlineLvl w:val="0"/>
        <w:rPr>
          <w:rFonts w:ascii="黑体" w:hAnsi="黑体" w:eastAsia="黑体" w:cs="黑体"/>
          <w:kern w:val="2"/>
          <w:sz w:val="24"/>
          <w:szCs w:val="24"/>
          <w:lang w:val="en-US" w:eastAsia="zh-CN" w:bidi="ar-SA"/>
        </w:rPr>
      </w:pPr>
      <w:r>
        <w:rPr>
          <w:rFonts w:hint="eastAsia" w:ascii="黑体" w:hAnsi="黑体" w:eastAsia="黑体"/>
          <w:color w:val="auto"/>
          <w:sz w:val="44"/>
          <w:szCs w:val="44"/>
          <w:highlight w:val="none"/>
        </w:rPr>
        <w:t>第</w:t>
      </w:r>
      <w:r>
        <w:rPr>
          <w:rStyle w:val="25"/>
          <w:rFonts w:hint="eastAsia" w:ascii="黑体" w:hAnsi="黑体" w:eastAsia="黑体"/>
          <w:b w:val="0"/>
          <w:color w:val="auto"/>
          <w:highlight w:val="none"/>
        </w:rPr>
        <w:t>五部分附表</w:t>
      </w:r>
    </w:p>
    <w:p w14:paraId="41AB8126">
      <w:pPr>
        <w:pStyle w:val="4"/>
        <w:rPr>
          <w:rFonts w:ascii="仿宋" w:hAnsi="仿宋" w:eastAsia="仿宋"/>
          <w:color w:val="auto"/>
          <w:highlight w:val="none"/>
        </w:rPr>
      </w:pPr>
      <w:bookmarkStart w:id="118" w:name="_Toc11820"/>
      <w:bookmarkStart w:id="119" w:name="_Toc4349"/>
      <w:r>
        <w:rPr>
          <w:rFonts w:hint="eastAsia" w:ascii="仿宋" w:hAnsi="仿宋" w:eastAsia="仿宋"/>
          <w:b w:val="0"/>
          <w:color w:val="auto"/>
          <w:highlight w:val="none"/>
        </w:rPr>
        <w:t>一、收</w:t>
      </w:r>
      <w:r>
        <w:rPr>
          <w:rStyle w:val="26"/>
          <w:rFonts w:hint="eastAsia" w:ascii="仿宋" w:hAnsi="仿宋" w:eastAsia="仿宋"/>
          <w:b w:val="0"/>
          <w:bCs w:val="0"/>
          <w:color w:val="auto"/>
          <w:highlight w:val="none"/>
        </w:rPr>
        <w:t>入支出决算总表</w:t>
      </w:r>
      <w:bookmarkEnd w:id="118"/>
      <w:bookmarkEnd w:id="119"/>
    </w:p>
    <w:p w14:paraId="242EA8B5">
      <w:pPr>
        <w:pStyle w:val="4"/>
        <w:rPr>
          <w:rFonts w:ascii="仿宋" w:hAnsi="仿宋" w:eastAsia="仿宋"/>
          <w:color w:val="auto"/>
          <w:highlight w:val="none"/>
        </w:rPr>
      </w:pPr>
      <w:bookmarkStart w:id="120" w:name="_Toc15396620"/>
      <w:bookmarkStart w:id="121" w:name="_Toc22817"/>
      <w:bookmarkStart w:id="122" w:name="_Toc9051"/>
      <w:r>
        <w:rPr>
          <w:rFonts w:hint="eastAsia" w:ascii="仿宋" w:hAnsi="仿宋" w:eastAsia="仿宋"/>
          <w:b w:val="0"/>
          <w:color w:val="auto"/>
          <w:highlight w:val="none"/>
        </w:rPr>
        <w:t>二、收</w:t>
      </w:r>
      <w:r>
        <w:rPr>
          <w:rStyle w:val="26"/>
          <w:rFonts w:hint="eastAsia" w:ascii="仿宋" w:hAnsi="仿宋" w:eastAsia="仿宋"/>
          <w:b w:val="0"/>
          <w:bCs w:val="0"/>
          <w:color w:val="auto"/>
          <w:highlight w:val="none"/>
        </w:rPr>
        <w:t>入决算表</w:t>
      </w:r>
      <w:bookmarkEnd w:id="120"/>
      <w:bookmarkEnd w:id="121"/>
      <w:bookmarkEnd w:id="122"/>
    </w:p>
    <w:p w14:paraId="5C4FBFAC">
      <w:pPr>
        <w:pStyle w:val="4"/>
        <w:rPr>
          <w:rFonts w:ascii="仿宋" w:hAnsi="仿宋" w:eastAsia="仿宋"/>
          <w:color w:val="auto"/>
          <w:highlight w:val="none"/>
        </w:rPr>
      </w:pPr>
      <w:bookmarkStart w:id="123" w:name="_Toc22133"/>
      <w:bookmarkStart w:id="124" w:name="_Toc15396621"/>
      <w:bookmarkStart w:id="125" w:name="_Toc32478"/>
      <w:r>
        <w:rPr>
          <w:rStyle w:val="26"/>
          <w:rFonts w:hint="eastAsia" w:ascii="仿宋" w:hAnsi="仿宋" w:eastAsia="仿宋"/>
          <w:b w:val="0"/>
          <w:bCs w:val="0"/>
          <w:color w:val="auto"/>
          <w:highlight w:val="none"/>
        </w:rPr>
        <w:t>三、</w:t>
      </w:r>
      <w:r>
        <w:rPr>
          <w:rFonts w:hint="eastAsia" w:ascii="仿宋" w:hAnsi="仿宋" w:eastAsia="仿宋"/>
          <w:b w:val="0"/>
          <w:color w:val="auto"/>
          <w:highlight w:val="none"/>
        </w:rPr>
        <w:t>支</w:t>
      </w:r>
      <w:r>
        <w:rPr>
          <w:rStyle w:val="26"/>
          <w:rFonts w:hint="eastAsia" w:ascii="仿宋" w:hAnsi="仿宋" w:eastAsia="仿宋"/>
          <w:b w:val="0"/>
          <w:bCs w:val="0"/>
          <w:color w:val="auto"/>
          <w:highlight w:val="none"/>
        </w:rPr>
        <w:t>出决算表</w:t>
      </w:r>
      <w:bookmarkEnd w:id="123"/>
      <w:bookmarkEnd w:id="124"/>
      <w:bookmarkEnd w:id="125"/>
    </w:p>
    <w:p w14:paraId="6F9B8CFC">
      <w:pPr>
        <w:pStyle w:val="4"/>
        <w:rPr>
          <w:rFonts w:ascii="仿宋" w:hAnsi="仿宋" w:eastAsia="仿宋"/>
          <w:b w:val="0"/>
          <w:color w:val="auto"/>
          <w:highlight w:val="none"/>
        </w:rPr>
      </w:pPr>
      <w:bookmarkStart w:id="126" w:name="_Toc27436"/>
      <w:bookmarkStart w:id="127" w:name="_Toc15396622"/>
      <w:bookmarkStart w:id="128" w:name="_Toc5904"/>
      <w:r>
        <w:rPr>
          <w:rStyle w:val="26"/>
          <w:rFonts w:hint="eastAsia" w:ascii="仿宋" w:hAnsi="仿宋" w:eastAsia="仿宋"/>
          <w:b w:val="0"/>
          <w:bCs w:val="0"/>
          <w:color w:val="auto"/>
          <w:highlight w:val="none"/>
        </w:rPr>
        <w:t>四、</w:t>
      </w:r>
      <w:r>
        <w:rPr>
          <w:rFonts w:hint="eastAsia" w:ascii="仿宋" w:hAnsi="仿宋" w:eastAsia="仿宋"/>
          <w:b w:val="0"/>
          <w:color w:val="auto"/>
          <w:highlight w:val="none"/>
        </w:rPr>
        <w:t>财</w:t>
      </w:r>
      <w:r>
        <w:rPr>
          <w:rStyle w:val="26"/>
          <w:rFonts w:hint="eastAsia" w:ascii="仿宋" w:hAnsi="仿宋" w:eastAsia="仿宋"/>
          <w:b w:val="0"/>
          <w:bCs w:val="0"/>
          <w:color w:val="auto"/>
          <w:highlight w:val="none"/>
        </w:rPr>
        <w:t>政拨款收入支出决算总表</w:t>
      </w:r>
      <w:bookmarkEnd w:id="126"/>
      <w:bookmarkEnd w:id="127"/>
      <w:bookmarkEnd w:id="128"/>
    </w:p>
    <w:p w14:paraId="327D1299">
      <w:pPr>
        <w:pStyle w:val="4"/>
        <w:rPr>
          <w:rStyle w:val="26"/>
          <w:rFonts w:ascii="仿宋" w:hAnsi="仿宋" w:eastAsia="仿宋"/>
          <w:b w:val="0"/>
          <w:bCs w:val="0"/>
          <w:color w:val="auto"/>
          <w:highlight w:val="none"/>
        </w:rPr>
      </w:pPr>
      <w:bookmarkStart w:id="129" w:name="_Toc15396623"/>
      <w:bookmarkStart w:id="130" w:name="_Toc20972"/>
      <w:bookmarkStart w:id="131" w:name="_Toc17841"/>
      <w:r>
        <w:rPr>
          <w:rStyle w:val="26"/>
          <w:rFonts w:hint="eastAsia" w:ascii="仿宋" w:hAnsi="仿宋" w:eastAsia="仿宋"/>
          <w:b w:val="0"/>
          <w:bCs w:val="0"/>
          <w:color w:val="auto"/>
          <w:highlight w:val="none"/>
        </w:rPr>
        <w:t>五、</w:t>
      </w:r>
      <w:r>
        <w:rPr>
          <w:rFonts w:hint="eastAsia" w:ascii="仿宋" w:hAnsi="仿宋" w:eastAsia="仿宋"/>
          <w:b w:val="0"/>
          <w:color w:val="auto"/>
          <w:highlight w:val="none"/>
        </w:rPr>
        <w:t>财</w:t>
      </w:r>
      <w:r>
        <w:rPr>
          <w:rStyle w:val="26"/>
          <w:rFonts w:hint="eastAsia" w:ascii="仿宋" w:hAnsi="仿宋" w:eastAsia="仿宋"/>
          <w:b w:val="0"/>
          <w:bCs w:val="0"/>
          <w:color w:val="auto"/>
          <w:highlight w:val="none"/>
        </w:rPr>
        <w:t>政拨款支出决算明细表</w:t>
      </w:r>
      <w:bookmarkEnd w:id="129"/>
      <w:bookmarkEnd w:id="130"/>
      <w:bookmarkEnd w:id="131"/>
      <w:bookmarkStart w:id="132" w:name="_Toc15396624"/>
    </w:p>
    <w:p w14:paraId="3C21A4F6">
      <w:pPr>
        <w:pStyle w:val="4"/>
        <w:rPr>
          <w:rFonts w:ascii="仿宋" w:hAnsi="仿宋" w:eastAsia="仿宋"/>
          <w:color w:val="auto"/>
          <w:highlight w:val="none"/>
        </w:rPr>
      </w:pPr>
      <w:bookmarkStart w:id="133" w:name="_Toc17418"/>
      <w:bookmarkStart w:id="134" w:name="_Toc30725"/>
      <w:r>
        <w:rPr>
          <w:rStyle w:val="26"/>
          <w:rFonts w:hint="eastAsia" w:ascii="仿宋" w:hAnsi="仿宋" w:eastAsia="仿宋"/>
          <w:b w:val="0"/>
          <w:bCs w:val="0"/>
          <w:color w:val="auto"/>
          <w:highlight w:val="none"/>
        </w:rPr>
        <w:t>六、</w:t>
      </w:r>
      <w:r>
        <w:rPr>
          <w:rFonts w:hint="eastAsia" w:ascii="仿宋" w:hAnsi="仿宋" w:eastAsia="仿宋"/>
          <w:b w:val="0"/>
          <w:color w:val="auto"/>
          <w:highlight w:val="none"/>
        </w:rPr>
        <w:t>一</w:t>
      </w:r>
      <w:r>
        <w:rPr>
          <w:rStyle w:val="26"/>
          <w:rFonts w:hint="eastAsia" w:ascii="仿宋" w:hAnsi="仿宋" w:eastAsia="仿宋"/>
          <w:b w:val="0"/>
          <w:bCs w:val="0"/>
          <w:color w:val="auto"/>
          <w:highlight w:val="none"/>
        </w:rPr>
        <w:t>般公共预算财政拨款支出决算表</w:t>
      </w:r>
      <w:bookmarkEnd w:id="132"/>
      <w:bookmarkEnd w:id="133"/>
      <w:bookmarkEnd w:id="134"/>
    </w:p>
    <w:p w14:paraId="51236A25">
      <w:pPr>
        <w:pStyle w:val="4"/>
        <w:rPr>
          <w:rFonts w:ascii="仿宋" w:hAnsi="仿宋" w:eastAsia="仿宋"/>
          <w:color w:val="auto"/>
          <w:highlight w:val="none"/>
        </w:rPr>
      </w:pPr>
      <w:bookmarkStart w:id="135" w:name="_Toc6837"/>
      <w:bookmarkStart w:id="136" w:name="_Toc15396625"/>
      <w:bookmarkStart w:id="137" w:name="_Toc23455"/>
      <w:r>
        <w:rPr>
          <w:rStyle w:val="26"/>
          <w:rFonts w:hint="eastAsia" w:ascii="仿宋" w:hAnsi="仿宋" w:eastAsia="仿宋"/>
          <w:b w:val="0"/>
          <w:bCs w:val="0"/>
          <w:color w:val="auto"/>
          <w:highlight w:val="none"/>
        </w:rPr>
        <w:t>七、</w:t>
      </w:r>
      <w:r>
        <w:rPr>
          <w:rFonts w:hint="eastAsia" w:ascii="仿宋" w:hAnsi="仿宋" w:eastAsia="仿宋"/>
          <w:b w:val="0"/>
          <w:color w:val="auto"/>
          <w:highlight w:val="none"/>
        </w:rPr>
        <w:t>一</w:t>
      </w:r>
      <w:r>
        <w:rPr>
          <w:rStyle w:val="26"/>
          <w:rFonts w:hint="eastAsia" w:ascii="仿宋" w:hAnsi="仿宋" w:eastAsia="仿宋"/>
          <w:b w:val="0"/>
          <w:bCs w:val="0"/>
          <w:color w:val="auto"/>
          <w:highlight w:val="none"/>
        </w:rPr>
        <w:t>般公共预算财政拨款支出决算明细表</w:t>
      </w:r>
      <w:bookmarkEnd w:id="135"/>
      <w:bookmarkEnd w:id="136"/>
      <w:bookmarkEnd w:id="137"/>
    </w:p>
    <w:p w14:paraId="6203F3E1">
      <w:pPr>
        <w:pStyle w:val="4"/>
        <w:rPr>
          <w:rFonts w:ascii="仿宋" w:hAnsi="仿宋" w:eastAsia="仿宋"/>
          <w:color w:val="auto"/>
          <w:highlight w:val="none"/>
        </w:rPr>
      </w:pPr>
      <w:bookmarkStart w:id="138" w:name="_Toc24910"/>
      <w:bookmarkStart w:id="139" w:name="_Toc28479"/>
      <w:bookmarkStart w:id="140" w:name="_Toc15396626"/>
      <w:r>
        <w:rPr>
          <w:rStyle w:val="26"/>
          <w:rFonts w:hint="eastAsia" w:ascii="仿宋" w:hAnsi="仿宋" w:eastAsia="仿宋"/>
          <w:b w:val="0"/>
          <w:bCs w:val="0"/>
          <w:color w:val="auto"/>
          <w:highlight w:val="none"/>
        </w:rPr>
        <w:t>八、</w:t>
      </w:r>
      <w:r>
        <w:rPr>
          <w:rFonts w:hint="eastAsia" w:ascii="仿宋" w:hAnsi="仿宋" w:eastAsia="仿宋"/>
          <w:b w:val="0"/>
          <w:color w:val="auto"/>
          <w:highlight w:val="none"/>
        </w:rPr>
        <w:t>一</w:t>
      </w:r>
      <w:r>
        <w:rPr>
          <w:rStyle w:val="26"/>
          <w:rFonts w:hint="eastAsia" w:ascii="仿宋" w:hAnsi="仿宋" w:eastAsia="仿宋"/>
          <w:b w:val="0"/>
          <w:bCs w:val="0"/>
          <w:color w:val="auto"/>
          <w:highlight w:val="none"/>
        </w:rPr>
        <w:t>般公共预算财政拨款基本支出决算表</w:t>
      </w:r>
      <w:bookmarkEnd w:id="138"/>
      <w:bookmarkEnd w:id="139"/>
      <w:bookmarkEnd w:id="140"/>
    </w:p>
    <w:p w14:paraId="2BDE0C3E">
      <w:pPr>
        <w:pStyle w:val="4"/>
        <w:rPr>
          <w:rFonts w:ascii="仿宋" w:hAnsi="仿宋" w:eastAsia="仿宋"/>
          <w:color w:val="auto"/>
          <w:highlight w:val="none"/>
        </w:rPr>
      </w:pPr>
      <w:bookmarkStart w:id="141" w:name="_Toc16117"/>
      <w:bookmarkStart w:id="142" w:name="_Toc15396627"/>
      <w:bookmarkStart w:id="143" w:name="_Toc26685"/>
      <w:r>
        <w:rPr>
          <w:rStyle w:val="26"/>
          <w:rFonts w:hint="eastAsia" w:ascii="仿宋" w:hAnsi="仿宋" w:eastAsia="仿宋"/>
          <w:b w:val="0"/>
          <w:bCs w:val="0"/>
          <w:color w:val="auto"/>
          <w:highlight w:val="none"/>
        </w:rPr>
        <w:t>九、</w:t>
      </w:r>
      <w:r>
        <w:rPr>
          <w:rFonts w:hint="eastAsia" w:ascii="仿宋" w:hAnsi="仿宋" w:eastAsia="仿宋"/>
          <w:b w:val="0"/>
          <w:color w:val="auto"/>
          <w:highlight w:val="none"/>
        </w:rPr>
        <w:t>一</w:t>
      </w:r>
      <w:r>
        <w:rPr>
          <w:rStyle w:val="26"/>
          <w:rFonts w:hint="eastAsia" w:ascii="仿宋" w:hAnsi="仿宋" w:eastAsia="仿宋"/>
          <w:b w:val="0"/>
          <w:bCs w:val="0"/>
          <w:color w:val="auto"/>
          <w:highlight w:val="none"/>
        </w:rPr>
        <w:t>般公共预算财政拨款项目支出决算表</w:t>
      </w:r>
      <w:bookmarkEnd w:id="141"/>
      <w:bookmarkEnd w:id="142"/>
      <w:bookmarkEnd w:id="143"/>
    </w:p>
    <w:p w14:paraId="5F8008C8">
      <w:pPr>
        <w:pStyle w:val="4"/>
        <w:rPr>
          <w:rFonts w:ascii="仿宋" w:hAnsi="仿宋" w:eastAsia="仿宋"/>
          <w:color w:val="auto"/>
          <w:highlight w:val="none"/>
        </w:rPr>
      </w:pPr>
      <w:bookmarkStart w:id="144" w:name="_Toc15396628"/>
      <w:bookmarkStart w:id="145" w:name="_Toc8964"/>
      <w:bookmarkStart w:id="146" w:name="_Toc20266"/>
      <w:r>
        <w:rPr>
          <w:rStyle w:val="26"/>
          <w:rFonts w:hint="eastAsia" w:ascii="仿宋" w:hAnsi="仿宋" w:eastAsia="仿宋"/>
          <w:b w:val="0"/>
          <w:bCs w:val="0"/>
          <w:color w:val="auto"/>
          <w:highlight w:val="none"/>
        </w:rPr>
        <w:t>十、</w:t>
      </w:r>
      <w:bookmarkEnd w:id="144"/>
      <w:r>
        <w:rPr>
          <w:rFonts w:hint="eastAsia" w:ascii="仿宋" w:hAnsi="仿宋" w:eastAsia="仿宋"/>
          <w:b w:val="0"/>
          <w:color w:val="auto"/>
          <w:highlight w:val="none"/>
        </w:rPr>
        <w:t>政</w:t>
      </w:r>
      <w:r>
        <w:rPr>
          <w:rStyle w:val="26"/>
          <w:rFonts w:hint="eastAsia" w:ascii="仿宋" w:hAnsi="仿宋" w:eastAsia="仿宋"/>
          <w:b w:val="0"/>
          <w:bCs w:val="0"/>
          <w:color w:val="auto"/>
          <w:highlight w:val="none"/>
        </w:rPr>
        <w:t>府性基金预算财政拨款收入支出决算表</w:t>
      </w:r>
      <w:bookmarkEnd w:id="145"/>
      <w:bookmarkEnd w:id="146"/>
    </w:p>
    <w:p w14:paraId="4A91A58A">
      <w:pPr>
        <w:pStyle w:val="4"/>
        <w:rPr>
          <w:rFonts w:ascii="仿宋" w:hAnsi="仿宋" w:eastAsia="仿宋"/>
          <w:color w:val="auto"/>
          <w:highlight w:val="none"/>
        </w:rPr>
      </w:pPr>
      <w:bookmarkStart w:id="147" w:name="_Toc15396629"/>
      <w:bookmarkStart w:id="148" w:name="_Toc2997"/>
      <w:bookmarkStart w:id="149" w:name="_Toc7208"/>
      <w:r>
        <w:rPr>
          <w:rStyle w:val="26"/>
          <w:rFonts w:hint="eastAsia" w:ascii="仿宋" w:hAnsi="仿宋" w:eastAsia="仿宋"/>
          <w:b w:val="0"/>
          <w:bCs w:val="0"/>
          <w:color w:val="auto"/>
          <w:highlight w:val="none"/>
        </w:rPr>
        <w:t>十一、</w:t>
      </w:r>
      <w:bookmarkEnd w:id="147"/>
      <w:r>
        <w:rPr>
          <w:rFonts w:hint="eastAsia" w:ascii="仿宋" w:hAnsi="仿宋" w:eastAsia="仿宋"/>
          <w:b w:val="0"/>
          <w:color w:val="auto"/>
          <w:highlight w:val="none"/>
        </w:rPr>
        <w:t>国</w:t>
      </w:r>
      <w:r>
        <w:rPr>
          <w:rStyle w:val="26"/>
          <w:rFonts w:hint="eastAsia" w:ascii="仿宋" w:hAnsi="仿宋" w:eastAsia="仿宋"/>
          <w:b w:val="0"/>
          <w:bCs w:val="0"/>
          <w:color w:val="auto"/>
          <w:highlight w:val="none"/>
        </w:rPr>
        <w:t>有资本经营预算</w:t>
      </w:r>
      <w:r>
        <w:rPr>
          <w:rStyle w:val="26"/>
          <w:rFonts w:hint="eastAsia" w:ascii="仿宋" w:hAnsi="仿宋" w:eastAsia="仿宋"/>
          <w:b w:val="0"/>
          <w:bCs w:val="0"/>
          <w:color w:val="auto"/>
          <w:highlight w:val="none"/>
          <w:lang w:eastAsia="zh-CN"/>
        </w:rPr>
        <w:t>财政拨款收入</w:t>
      </w:r>
      <w:r>
        <w:rPr>
          <w:rStyle w:val="26"/>
          <w:rFonts w:hint="eastAsia" w:ascii="仿宋" w:hAnsi="仿宋" w:eastAsia="仿宋"/>
          <w:b w:val="0"/>
          <w:bCs w:val="0"/>
          <w:color w:val="auto"/>
          <w:highlight w:val="none"/>
        </w:rPr>
        <w:t>支出决算表</w:t>
      </w:r>
      <w:bookmarkEnd w:id="148"/>
      <w:bookmarkEnd w:id="149"/>
    </w:p>
    <w:p w14:paraId="06F2CBB7">
      <w:pPr>
        <w:pStyle w:val="4"/>
        <w:rPr>
          <w:rFonts w:ascii="仿宋" w:hAnsi="仿宋" w:eastAsia="仿宋"/>
          <w:color w:val="auto"/>
          <w:highlight w:val="none"/>
        </w:rPr>
      </w:pPr>
      <w:bookmarkStart w:id="150" w:name="_Toc15396630"/>
      <w:bookmarkStart w:id="151" w:name="_Toc10170"/>
      <w:bookmarkStart w:id="152" w:name="_Toc4364"/>
      <w:r>
        <w:rPr>
          <w:rStyle w:val="26"/>
          <w:rFonts w:hint="eastAsia" w:ascii="仿宋" w:hAnsi="仿宋" w:eastAsia="仿宋"/>
          <w:b w:val="0"/>
          <w:bCs w:val="0"/>
          <w:color w:val="auto"/>
          <w:highlight w:val="none"/>
        </w:rPr>
        <w:t>十二、</w:t>
      </w:r>
      <w:bookmarkEnd w:id="150"/>
      <w:r>
        <w:rPr>
          <w:rStyle w:val="26"/>
          <w:rFonts w:hint="eastAsia" w:ascii="仿宋" w:hAnsi="仿宋" w:eastAsia="仿宋"/>
          <w:b w:val="0"/>
          <w:bCs w:val="0"/>
          <w:color w:val="auto"/>
          <w:highlight w:val="none"/>
          <w:lang w:eastAsia="zh-CN"/>
        </w:rPr>
        <w:t>国有资本经营预算财政拨款支出决算表</w:t>
      </w:r>
      <w:bookmarkEnd w:id="151"/>
      <w:bookmarkEnd w:id="152"/>
    </w:p>
    <w:p w14:paraId="0F917B3E">
      <w:pPr>
        <w:pStyle w:val="4"/>
        <w:rPr>
          <w:rFonts w:hint="eastAsia" w:eastAsia="仿宋"/>
          <w:color w:val="auto"/>
          <w:highlight w:val="none"/>
          <w:lang w:eastAsia="zh-CN"/>
        </w:rPr>
      </w:pPr>
      <w:bookmarkStart w:id="153" w:name="_Toc15396631"/>
      <w:bookmarkStart w:id="154" w:name="_Toc15161"/>
      <w:bookmarkStart w:id="155" w:name="_Toc21331"/>
      <w:r>
        <w:rPr>
          <w:rStyle w:val="26"/>
          <w:rFonts w:hint="eastAsia" w:ascii="仿宋" w:hAnsi="仿宋" w:eastAsia="仿宋"/>
          <w:b w:val="0"/>
          <w:bCs w:val="0"/>
          <w:color w:val="auto"/>
          <w:highlight w:val="none"/>
        </w:rPr>
        <w:t>十三、</w:t>
      </w:r>
      <w:bookmarkEnd w:id="153"/>
      <w:r>
        <w:rPr>
          <w:rStyle w:val="26"/>
          <w:rFonts w:hint="eastAsia" w:ascii="仿宋" w:hAnsi="仿宋" w:eastAsia="仿宋"/>
          <w:b w:val="0"/>
          <w:bCs w:val="0"/>
          <w:color w:val="auto"/>
          <w:highlight w:val="none"/>
          <w:lang w:eastAsia="zh-CN"/>
        </w:rPr>
        <w:t>财政拨款“三公”经费支出决算表</w:t>
      </w:r>
      <w:bookmarkEnd w:id="154"/>
      <w:bookmarkEnd w:id="155"/>
    </w:p>
    <w:bookmarkEnd w:id="116"/>
    <w:bookmarkEnd w:id="117"/>
    <w:p w14:paraId="728D0AE6">
      <w:pPr>
        <w:rPr>
          <w:rFonts w:hint="eastAsia" w:eastAsia="仿宋"/>
          <w:color w:val="auto"/>
          <w:highlight w:val="none"/>
          <w:lang w:eastAsia="zh-CN"/>
        </w:rPr>
      </w:pPr>
    </w:p>
    <w:sectPr>
      <w:pgSz w:w="11906" w:h="16838"/>
      <w:pgMar w:top="1440" w:right="1800" w:bottom="1440" w:left="1800" w:header="851" w:footer="992" w:gutter="0"/>
      <w:pgNumType w:fmt="decimal"/>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embedRegular r:id="rId1" w:fontKey="{DACE6CAF-FB0E-4214-8F90-4ABE480C59BE}"/>
  </w:font>
  <w:font w:name="黑体">
    <w:panose1 w:val="02010609060101010101"/>
    <w:charset w:val="86"/>
    <w:family w:val="auto"/>
    <w:pitch w:val="default"/>
    <w:sig w:usb0="800002BF" w:usb1="38CF7CFA" w:usb2="00000016" w:usb3="00000000" w:csb0="00040001" w:csb1="00000000"/>
    <w:embedRegular r:id="rId2" w:fontKey="{C5CCDC99-B0B6-4EC2-AABE-57F1C6E9A4D2}"/>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embedRegular r:id="rId3" w:fontKey="{B8A0E5F4-FD74-499B-83FA-FA0548A0BDBE}"/>
  </w:font>
  <w:font w:name="Cambria">
    <w:panose1 w:val="02040503050406030204"/>
    <w:charset w:val="00"/>
    <w:family w:val="roman"/>
    <w:pitch w:val="default"/>
    <w:sig w:usb0="E00002FF" w:usb1="400004FF" w:usb2="00000000" w:usb3="00000000" w:csb0="2000019F" w:csb1="00000000"/>
    <w:embedRegular r:id="rId4" w:fontKey="{C4AA33EA-A82A-419D-83A1-D5A946E4832D}"/>
  </w:font>
  <w:font w:name="仿宋_GB2312">
    <w:panose1 w:val="02010609030101010101"/>
    <w:charset w:val="86"/>
    <w:family w:val="modern"/>
    <w:pitch w:val="default"/>
    <w:sig w:usb0="00000001" w:usb1="080E0000" w:usb2="00000000" w:usb3="00000000" w:csb0="00040000" w:csb1="00000000"/>
    <w:embedRegular r:id="rId5" w:fontKey="{3978EE66-06AE-4E77-B6A8-9EBF60115BAB}"/>
  </w:font>
  <w:font w:name="AR PL UKai CN">
    <w:altName w:val="宋体"/>
    <w:panose1 w:val="02000503000000000000"/>
    <w:charset w:val="86"/>
    <w:family w:val="script"/>
    <w:pitch w:val="default"/>
    <w:sig w:usb0="00000000" w:usb1="00000000" w:usb2="00000036" w:usb3="00000000" w:csb0="2016009F" w:csb1="DFD70000"/>
  </w:font>
  <w:font w:name="仿宋">
    <w:panose1 w:val="02010609060101010101"/>
    <w:charset w:val="86"/>
    <w:family w:val="auto"/>
    <w:pitch w:val="default"/>
    <w:sig w:usb0="800002BF" w:usb1="38CF7CFA" w:usb2="00000016" w:usb3="00000000" w:csb0="00040001" w:csb1="00000000"/>
    <w:embedRegular r:id="rId6" w:fontKey="{82E6BF10-6F38-4CEF-B066-7547D1FA8EFF}"/>
  </w:font>
  <w:font w:name="??">
    <w:altName w:val="Times New Roman"/>
    <w:panose1 w:val="00000000000000000000"/>
    <w:charset w:val="00"/>
    <w:family w:val="roman"/>
    <w:pitch w:val="default"/>
    <w:sig w:usb0="00000000" w:usb1="00000000" w:usb2="00000000" w:usb3="00000000" w:csb0="00000000" w:csb1="00000000"/>
    <w:embedRegular r:id="rId7" w:fontKey="{98E6DD5D-54EC-4CC5-869F-25A4E804C377}"/>
  </w:font>
  <w:font w:name="微软雅黑">
    <w:panose1 w:val="020B0503020204020204"/>
    <w:charset w:val="86"/>
    <w:family w:val="auto"/>
    <w:pitch w:val="default"/>
    <w:sig w:usb0="80000287" w:usb1="280F3C52" w:usb2="00000016" w:usb3="00000000" w:csb0="0004001F" w:csb1="00000000"/>
    <w:embedRegular r:id="rId8" w:fontKey="{3B7C81E6-F6A4-4E33-BE05-C7631B797E4E}"/>
  </w:font>
  <w:font w:name="方正小标宋简体">
    <w:panose1 w:val="03000509000000000000"/>
    <w:charset w:val="86"/>
    <w:family w:val="script"/>
    <w:pitch w:val="default"/>
    <w:sig w:usb0="00000001" w:usb1="080E0000" w:usb2="00000000" w:usb3="00000000" w:csb0="00040000" w:csb1="00000000"/>
    <w:embedRegular r:id="rId9" w:fontKey="{3F473EEA-09B6-4613-BA20-C0BC7794C52A}"/>
  </w:font>
  <w:font w:name="楷体_GB2312">
    <w:panose1 w:val="02010609030101010101"/>
    <w:charset w:val="86"/>
    <w:family w:val="auto"/>
    <w:pitch w:val="default"/>
    <w:sig w:usb0="00000001" w:usb1="080E0000" w:usb2="00000000" w:usb3="00000000" w:csb0="00040000" w:csb1="00000000"/>
    <w:embedRegular r:id="rId10" w:fontKey="{F551F4B1-3450-4C94-9FAA-6B2A9666DBED}"/>
  </w:font>
  <w:font w:name="方正仿宋简体">
    <w:altName w:val="Arial Unicode MS"/>
    <w:panose1 w:val="03000509000000000000"/>
    <w:charset w:val="86"/>
    <w:family w:val="script"/>
    <w:pitch w:val="default"/>
    <w:sig w:usb0="00000000" w:usb1="00000000" w:usb2="00000000" w:usb3="00000000" w:csb0="00040000" w:csb1="00000000"/>
    <w:embedRegular r:id="rId11" w:fontKey="{168826CD-1160-4192-B34C-644CBA047408}"/>
  </w:font>
  <w:font w:name="方正楷体简体">
    <w:panose1 w:val="03000509000000000000"/>
    <w:charset w:val="86"/>
    <w:family w:val="script"/>
    <w:pitch w:val="default"/>
    <w:sig w:usb0="00000001" w:usb1="080E0000" w:usb2="00000000" w:usb3="00000000" w:csb0="00040000" w:csb1="00000000"/>
    <w:embedRegular r:id="rId12" w:fontKey="{7D1E42DD-D4CC-44C3-A04A-28CF7ECA2842}"/>
  </w:font>
  <w:font w:name="华文仿宋">
    <w:panose1 w:val="02010600040101010101"/>
    <w:charset w:val="86"/>
    <w:family w:val="auto"/>
    <w:pitch w:val="default"/>
    <w:sig w:usb0="00000287" w:usb1="080F0000" w:usb2="00000000" w:usb3="00000000" w:csb0="0004009F" w:csb1="DFD70000"/>
    <w:embedRegular r:id="rId13" w:fontKey="{4554F367-DC8D-4139-833A-0A3B3E7FDAA6}"/>
  </w:font>
  <w:font w:name="方正公文仿宋">
    <w:altName w:val="方正仿宋_GBK"/>
    <w:panose1 w:val="00000000000000000000"/>
    <w:charset w:val="00"/>
    <w:family w:val="auto"/>
    <w:pitch w:val="default"/>
    <w:sig w:usb0="00000000" w:usb1="00000000" w:usb2="00000000" w:usb3="00000000" w:csb0="00000000" w:csb1="00000000"/>
    <w:embedRegular r:id="rId14" w:fontKey="{232016FD-948E-47C2-9A49-60E2C4467E57}"/>
  </w:font>
  <w:font w:name="方正小标宋_GBK">
    <w:altName w:val="Arial Unicode MS"/>
    <w:panose1 w:val="02000000000000000000"/>
    <w:charset w:val="86"/>
    <w:family w:val="script"/>
    <w:pitch w:val="default"/>
    <w:sig w:usb0="00000000" w:usb1="00000000" w:usb2="00000000" w:usb3="00000000" w:csb0="00040000" w:csb1="00000000"/>
    <w:embedRegular r:id="rId15" w:fontKey="{962F107F-D3D2-4D6A-BEBE-845419BD99CE}"/>
  </w:font>
  <w:font w:name="Wingdings 2">
    <w:panose1 w:val="05020102010507070707"/>
    <w:charset w:val="02"/>
    <w:family w:val="roman"/>
    <w:pitch w:val="default"/>
    <w:sig w:usb0="00000000" w:usb1="00000000" w:usb2="00000000" w:usb3="00000000" w:csb0="80000000" w:csb1="00000000"/>
    <w:embedRegular r:id="rId16" w:fontKey="{7D34A9F1-8DC3-41E3-B44E-1EDDD4194B89}"/>
  </w:font>
  <w:font w:name="Lucida Sans">
    <w:panose1 w:val="020B0602030504020204"/>
    <w:charset w:val="00"/>
    <w:family w:val="swiss"/>
    <w:pitch w:val="default"/>
    <w:sig w:usb0="00000003" w:usb1="00000000" w:usb2="00000000" w:usb3="00000000" w:csb0="20000001" w:csb1="00000000"/>
    <w:embedRegular r:id="rId17" w:fontKey="{F3D2C33B-232D-47DF-BBE0-D580B736FDC3}"/>
  </w:font>
  <w:font w:name="Tahoma">
    <w:panose1 w:val="020B0604030504040204"/>
    <w:charset w:val="00"/>
    <w:family w:val="auto"/>
    <w:pitch w:val="default"/>
    <w:sig w:usb0="E1002EFF" w:usb1="C000605B" w:usb2="00000029" w:usb3="00000000" w:csb0="200101FF" w:csb1="20280000"/>
  </w:font>
  <w:font w:name="方正仿宋_GBK">
    <w:panose1 w:val="03000509000000000000"/>
    <w:charset w:val="86"/>
    <w:family w:val="auto"/>
    <w:pitch w:val="default"/>
    <w:sig w:usb0="00000001" w:usb1="080E0000" w:usb2="00000000" w:usb3="00000000" w:csb0="00040000" w:csb1="00000000"/>
  </w:font>
  <w:font w:name="Arial Unicode MS">
    <w:panose1 w:val="020B0604020202020204"/>
    <w:charset w:val="86"/>
    <w:family w:val="auto"/>
    <w:pitch w:val="default"/>
    <w:sig w:usb0="FFFFFFFF" w:usb1="E9FFFFFF" w:usb2="0000003F" w:usb3="00000000" w:csb0="603F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FA7675">
    <w:pPr>
      <w:pStyle w:val="13"/>
      <w:jc w:val="cente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id w:val="-1"/>
                          </w:sdtPr>
                          <w:sdtContent>
                            <w:p w14:paraId="15C08DD2">
                              <w:pPr>
                                <w:pStyle w:val="13"/>
                                <w:jc w:val="center"/>
                              </w:pPr>
                              <w:r>
                                <w:fldChar w:fldCharType="begin"/>
                              </w:r>
                              <w:r>
                                <w:instrText xml:space="preserve">PAGE   \* MERGEFORMAT</w:instrText>
                              </w:r>
                              <w:r>
                                <w:fldChar w:fldCharType="separate"/>
                              </w:r>
                              <w:r>
                                <w:rPr>
                                  <w:lang w:val="zh-CN"/>
                                </w:rPr>
                                <w:t>8</w:t>
                              </w:r>
                              <w:r>
                                <w:fldChar w:fldCharType="end"/>
                              </w:r>
                            </w:p>
                          </w:sdtContent>
                        </w:sdt>
                        <w:p w14:paraId="063464D3">
                          <w:pPr>
                            <w:pStyle w:val="16"/>
                          </w:pP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sdt>
                    <w:sdtPr>
                      <w:id w:val="-1"/>
                    </w:sdtPr>
                    <w:sdtContent>
                      <w:p w14:paraId="15C08DD2">
                        <w:pPr>
                          <w:pStyle w:val="13"/>
                          <w:jc w:val="center"/>
                        </w:pPr>
                        <w:r>
                          <w:fldChar w:fldCharType="begin"/>
                        </w:r>
                        <w:r>
                          <w:instrText xml:space="preserve">PAGE   \* MERGEFORMAT</w:instrText>
                        </w:r>
                        <w:r>
                          <w:fldChar w:fldCharType="separate"/>
                        </w:r>
                        <w:r>
                          <w:rPr>
                            <w:lang w:val="zh-CN"/>
                          </w:rPr>
                          <w:t>8</w:t>
                        </w:r>
                        <w:r>
                          <w:fldChar w:fldCharType="end"/>
                        </w:r>
                      </w:p>
                    </w:sdtContent>
                  </w:sdt>
                  <w:p w14:paraId="063464D3">
                    <w:pPr>
                      <w:pStyle w:val="16"/>
                    </w:pPr>
                  </w:p>
                </w:txbxContent>
              </v:textbox>
            </v:shape>
          </w:pict>
        </mc:Fallback>
      </mc:AlternateContent>
    </w:r>
  </w:p>
  <w:p w14:paraId="1AD72F6A">
    <w:pPr>
      <w:pStyle w:val="13"/>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F302F7">
    <w:pPr>
      <w:pStyle w:val="13"/>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5C00A64">
                          <w:pPr>
                            <w:pStyle w:val="1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CRrQ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gka0MQIAAGEEAAAOAAAAAAAAAAEAIAAAAB8BAABkcnMvZTJvRG9jLnhtbFBLBQYA&#10;AAAABgAGAFkBAADCBQAAAAA=&#10;">
              <v:fill on="f" focussize="0,0"/>
              <v:stroke on="f" weight="0.5pt"/>
              <v:imagedata o:title=""/>
              <o:lock v:ext="edit" aspectratio="f"/>
              <v:textbox inset="0mm,0mm,0mm,0mm" style="mso-fit-shape-to-text:t;">
                <w:txbxContent>
                  <w:p w14:paraId="15C00A64">
                    <w:pPr>
                      <w:pStyle w:val="13"/>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237033">
    <w:pPr>
      <w:pStyle w:val="13"/>
      <w:jc w:val="right"/>
      <w:rPr>
        <w:rFonts w:ascii="宋体" w:hAnsi="宋体"/>
        <w:sz w:val="28"/>
        <w:szCs w:val="28"/>
      </w:rPr>
    </w:pPr>
    <w:r>
      <w:rPr>
        <w:sz w:val="2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B3DB46F">
                          <w:pPr>
                            <w:pStyle w:val="13"/>
                            <w:jc w:val="right"/>
                          </w:pPr>
                          <w:r>
                            <w:rPr>
                              <w:rFonts w:hint="eastAsia" w:ascii="宋体" w:hAnsi="宋体"/>
                              <w:sz w:val="28"/>
                              <w:szCs w:val="28"/>
                            </w:rPr>
                            <w:t xml:space="preserve">— </w:t>
                          </w:r>
                          <w:r>
                            <w:rPr>
                              <w:rFonts w:ascii="宋体" w:hAnsi="宋体"/>
                              <w:sz w:val="28"/>
                              <w:szCs w:val="28"/>
                            </w:rPr>
                            <w:fldChar w:fldCharType="begin"/>
                          </w:r>
                          <w:r>
                            <w:rPr>
                              <w:rFonts w:ascii="宋体" w:hAnsi="宋体"/>
                              <w:sz w:val="28"/>
                              <w:szCs w:val="28"/>
                            </w:rPr>
                            <w:instrText xml:space="preserve"> PAGE   \* MERGEFORMAT </w:instrText>
                          </w:r>
                          <w:r>
                            <w:rPr>
                              <w:rFonts w:ascii="宋体" w:hAnsi="宋体"/>
                              <w:sz w:val="28"/>
                              <w:szCs w:val="28"/>
                            </w:rPr>
                            <w:fldChar w:fldCharType="separate"/>
                          </w:r>
                          <w:r>
                            <w:rPr>
                              <w:rFonts w:ascii="宋体" w:hAnsi="宋体"/>
                              <w:sz w:val="28"/>
                              <w:szCs w:val="28"/>
                              <w:lang w:val="zh-CN"/>
                            </w:rPr>
                            <w:t>21</w:t>
                          </w:r>
                          <w:r>
                            <w:rPr>
                              <w:rFonts w:ascii="宋体" w:hAnsi="宋体"/>
                              <w:sz w:val="28"/>
                              <w:szCs w:val="28"/>
                            </w:rPr>
                            <w:fldChar w:fldCharType="end"/>
                          </w:r>
                          <w:r>
                            <w:rPr>
                              <w:rFonts w:hint="eastAsia" w:ascii="宋体" w:hAnsi="宋体"/>
                              <w:sz w:val="28"/>
                              <w:szCs w:val="28"/>
                            </w:rP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14:paraId="5B3DB46F">
                    <w:pPr>
                      <w:pStyle w:val="13"/>
                      <w:jc w:val="right"/>
                    </w:pPr>
                    <w:r>
                      <w:rPr>
                        <w:rFonts w:hint="eastAsia" w:ascii="宋体" w:hAnsi="宋体"/>
                        <w:sz w:val="28"/>
                        <w:szCs w:val="28"/>
                      </w:rPr>
                      <w:t xml:space="preserve">— </w:t>
                    </w:r>
                    <w:r>
                      <w:rPr>
                        <w:rFonts w:ascii="宋体" w:hAnsi="宋体"/>
                        <w:sz w:val="28"/>
                        <w:szCs w:val="28"/>
                      </w:rPr>
                      <w:fldChar w:fldCharType="begin"/>
                    </w:r>
                    <w:r>
                      <w:rPr>
                        <w:rFonts w:ascii="宋体" w:hAnsi="宋体"/>
                        <w:sz w:val="28"/>
                        <w:szCs w:val="28"/>
                      </w:rPr>
                      <w:instrText xml:space="preserve"> PAGE   \* MERGEFORMAT </w:instrText>
                    </w:r>
                    <w:r>
                      <w:rPr>
                        <w:rFonts w:ascii="宋体" w:hAnsi="宋体"/>
                        <w:sz w:val="28"/>
                        <w:szCs w:val="28"/>
                      </w:rPr>
                      <w:fldChar w:fldCharType="separate"/>
                    </w:r>
                    <w:r>
                      <w:rPr>
                        <w:rFonts w:ascii="宋体" w:hAnsi="宋体"/>
                        <w:sz w:val="28"/>
                        <w:szCs w:val="28"/>
                        <w:lang w:val="zh-CN"/>
                      </w:rPr>
                      <w:t>21</w:t>
                    </w:r>
                    <w:r>
                      <w:rPr>
                        <w:rFonts w:ascii="宋体" w:hAnsi="宋体"/>
                        <w:sz w:val="28"/>
                        <w:szCs w:val="28"/>
                      </w:rPr>
                      <w:fldChar w:fldCharType="end"/>
                    </w:r>
                    <w:r>
                      <w:rPr>
                        <w:rFonts w:hint="eastAsia" w:ascii="宋体" w:hAnsi="宋体"/>
                        <w:sz w:val="28"/>
                        <w:szCs w:val="28"/>
                      </w:rPr>
                      <w:t xml:space="preserve"> —</w:t>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D46A32">
    <w:pPr>
      <w:pStyle w:val="13"/>
      <w:rPr>
        <w:rFonts w:ascii="宋体" w:hAnsi="宋体"/>
        <w:sz w:val="28"/>
        <w:szCs w:val="28"/>
      </w:rPr>
    </w:pPr>
    <w:r>
      <w:rPr>
        <w:rFonts w:hint="eastAsia" w:ascii="宋体" w:hAnsi="宋体"/>
        <w:sz w:val="28"/>
        <w:szCs w:val="28"/>
      </w:rPr>
      <w:t xml:space="preserve">— </w:t>
    </w:r>
    <w:r>
      <w:rPr>
        <w:rFonts w:ascii="宋体" w:hAnsi="宋体"/>
        <w:sz w:val="28"/>
        <w:szCs w:val="28"/>
      </w:rPr>
      <w:fldChar w:fldCharType="begin"/>
    </w:r>
    <w:r>
      <w:rPr>
        <w:rFonts w:ascii="宋体" w:hAnsi="宋体"/>
        <w:sz w:val="28"/>
        <w:szCs w:val="28"/>
      </w:rPr>
      <w:instrText xml:space="preserve"> PAGE   \* MERGEFORMAT </w:instrText>
    </w:r>
    <w:r>
      <w:rPr>
        <w:rFonts w:ascii="宋体" w:hAnsi="宋体"/>
        <w:sz w:val="28"/>
        <w:szCs w:val="28"/>
      </w:rPr>
      <w:fldChar w:fldCharType="separate"/>
    </w:r>
    <w:r>
      <w:rPr>
        <w:rFonts w:ascii="宋体" w:hAnsi="宋体"/>
        <w:sz w:val="28"/>
        <w:szCs w:val="28"/>
        <w:lang w:val="zh-CN"/>
      </w:rPr>
      <w:t>22</w:t>
    </w:r>
    <w:r>
      <w:rPr>
        <w:rFonts w:ascii="宋体" w:hAnsi="宋体"/>
        <w:sz w:val="28"/>
        <w:szCs w:val="28"/>
      </w:rPr>
      <w:fldChar w:fldCharType="end"/>
    </w:r>
    <w:r>
      <w:rPr>
        <w:rFonts w:hint="eastAsia" w:ascii="宋体" w:hAnsi="宋体"/>
        <w:sz w:val="28"/>
        <w:szCs w:val="28"/>
      </w:rPr>
      <w:t xml:space="preserve"> —</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74C2E0">
    <w:pPr>
      <w:pStyle w:val="13"/>
      <w:rPr>
        <w:szCs w:val="28"/>
      </w:rPr>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0AEE433">
                          <w:pPr>
                            <w:pStyle w:val="1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CJEl4xAgAAY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wiRJeMQIAAGEEAAAOAAAAAAAAAAEAIAAAAB8BAABkcnMvZTJvRG9jLnhtbFBLBQYA&#10;AAAABgAGAFkBAADCBQAAAAA=&#10;">
              <v:fill on="f" focussize="0,0"/>
              <v:stroke on="f" weight="0.5pt"/>
              <v:imagedata o:title=""/>
              <o:lock v:ext="edit" aspectratio="f"/>
              <v:textbox inset="0mm,0mm,0mm,0mm" style="mso-fit-shape-to-text:t;">
                <w:txbxContent>
                  <w:p w14:paraId="70AEE433">
                    <w:pPr>
                      <w:pStyle w:val="13"/>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D399A8">
    <w:pPr>
      <w:pStyle w:val="13"/>
      <w:jc w:val="cente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id w:val="890257429"/>
                          </w:sdtPr>
                          <w:sdtContent>
                            <w:p w14:paraId="0E03270A">
                              <w:pPr>
                                <w:pStyle w:val="13"/>
                                <w:jc w:val="center"/>
                              </w:pPr>
                              <w:r>
                                <w:fldChar w:fldCharType="begin"/>
                              </w:r>
                              <w:r>
                                <w:instrText xml:space="preserve">PAGE   \* MERGEFORMAT</w:instrText>
                              </w:r>
                              <w:r>
                                <w:fldChar w:fldCharType="separate"/>
                              </w:r>
                              <w:r>
                                <w:rPr>
                                  <w:lang w:val="zh-CN"/>
                                </w:rPr>
                                <w:t>8</w:t>
                              </w:r>
                              <w:r>
                                <w:fldChar w:fldCharType="end"/>
                              </w:r>
                            </w:p>
                          </w:sdtContent>
                        </w:sdt>
                        <w:p w14:paraId="464BA4D3">
                          <w:pPr>
                            <w:pStyle w:val="16"/>
                          </w:pP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GA044yAgAAY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4YDTjjICAABhBAAADgAAAAAAAAABACAAAAAfAQAAZHJzL2Uyb0RvYy54bWxQSwUG&#10;AAAAAAYABgBZAQAAwwUAAAAA&#10;">
              <v:fill on="f" focussize="0,0"/>
              <v:stroke on="f" weight="0.5pt"/>
              <v:imagedata o:title=""/>
              <o:lock v:ext="edit" aspectratio="f"/>
              <v:textbox inset="0mm,0mm,0mm,0mm" style="mso-fit-shape-to-text:t;">
                <w:txbxContent>
                  <w:sdt>
                    <w:sdtPr>
                      <w:id w:val="890257429"/>
                    </w:sdtPr>
                    <w:sdtContent>
                      <w:p w14:paraId="0E03270A">
                        <w:pPr>
                          <w:pStyle w:val="13"/>
                          <w:jc w:val="center"/>
                        </w:pPr>
                        <w:r>
                          <w:fldChar w:fldCharType="begin"/>
                        </w:r>
                        <w:r>
                          <w:instrText xml:space="preserve">PAGE   \* MERGEFORMAT</w:instrText>
                        </w:r>
                        <w:r>
                          <w:fldChar w:fldCharType="separate"/>
                        </w:r>
                        <w:r>
                          <w:rPr>
                            <w:lang w:val="zh-CN"/>
                          </w:rPr>
                          <w:t>8</w:t>
                        </w:r>
                        <w:r>
                          <w:fldChar w:fldCharType="end"/>
                        </w:r>
                      </w:p>
                    </w:sdtContent>
                  </w:sdt>
                  <w:p w14:paraId="464BA4D3">
                    <w:pPr>
                      <w:pStyle w:val="16"/>
                    </w:pPr>
                  </w:p>
                </w:txbxContent>
              </v:textbox>
            </v:shape>
          </w:pict>
        </mc:Fallback>
      </mc:AlternateContent>
    </w:r>
  </w:p>
  <w:p w14:paraId="77094857">
    <w:pPr>
      <w:pStyle w:val="13"/>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739446">
    <w:pPr>
      <w:pStyle w:val="13"/>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37FDBA4">
                          <w:pPr>
                            <w:pStyle w:val="1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qMOCsyAgAAY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uow4KzICAABhBAAADgAAAAAAAAABACAAAAAfAQAAZHJzL2Uyb0RvYy54bWxQSwUG&#10;AAAAAAYABgBZAQAAwwUAAAAA&#10;">
              <v:fill on="f" focussize="0,0"/>
              <v:stroke on="f" weight="0.5pt"/>
              <v:imagedata o:title=""/>
              <o:lock v:ext="edit" aspectratio="f"/>
              <v:textbox inset="0mm,0mm,0mm,0mm" style="mso-fit-shape-to-text:t;">
                <w:txbxContent>
                  <w:p w14:paraId="037FDBA4">
                    <w:pPr>
                      <w:pStyle w:val="13"/>
                    </w:pPr>
                    <w:r>
                      <w:fldChar w:fldCharType="begin"/>
                    </w:r>
                    <w:r>
                      <w:instrText xml:space="preserve"> PAGE  \* MERGEFORMAT </w:instrText>
                    </w:r>
                    <w:r>
                      <w:fldChar w:fldCharType="separate"/>
                    </w:r>
                    <w:r>
                      <w:t>1</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21E7F0">
    <w:pPr>
      <w:pStyle w:val="14"/>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6A9026">
    <w:pPr>
      <w:pStyle w:val="14"/>
      <w:pBdr>
        <w:bottom w:val="none" w:color="auto" w:sz="0" w:space="0"/>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4AEE83">
    <w:pPr>
      <w:pStyle w:val="14"/>
      <w:pBdr>
        <w:bottom w:val="none" w:color="auto" w:sz="0" w:space="0"/>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62E771">
    <w:pPr>
      <w:pStyle w:val="14"/>
      <w:pBdr>
        <w:bottom w:val="none" w:color="auto" w:sz="0" w:space="0"/>
      </w:pBd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E5EC2B">
    <w:pPr>
      <w:pStyle w:val="14"/>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2653055"/>
    <w:multiLevelType w:val="singleLevel"/>
    <w:tmpl w:val="92653055"/>
    <w:lvl w:ilvl="0" w:tentative="0">
      <w:start w:val="1"/>
      <w:numFmt w:val="decimal"/>
      <w:lvlText w:val="%1."/>
      <w:lvlJc w:val="left"/>
      <w:pPr>
        <w:tabs>
          <w:tab w:val="left" w:pos="312"/>
        </w:tabs>
      </w:pPr>
    </w:lvl>
  </w:abstractNum>
  <w:abstractNum w:abstractNumId="1">
    <w:nsid w:val="9525BA04"/>
    <w:multiLevelType w:val="singleLevel"/>
    <w:tmpl w:val="9525BA04"/>
    <w:lvl w:ilvl="0" w:tentative="0">
      <w:start w:val="2"/>
      <w:numFmt w:val="chineseCounting"/>
      <w:suff w:val="nothing"/>
      <w:lvlText w:val="（%1）"/>
      <w:lvlJc w:val="left"/>
      <w:rPr>
        <w:rFonts w:hint="eastAsia"/>
      </w:rPr>
    </w:lvl>
  </w:abstractNum>
  <w:abstractNum w:abstractNumId="2">
    <w:nsid w:val="9EEEF02C"/>
    <w:multiLevelType w:val="singleLevel"/>
    <w:tmpl w:val="9EEEF02C"/>
    <w:lvl w:ilvl="0" w:tentative="0">
      <w:start w:val="1"/>
      <w:numFmt w:val="chineseCounting"/>
      <w:suff w:val="nothing"/>
      <w:lvlText w:val="%1、"/>
      <w:lvlJc w:val="left"/>
      <w:rPr>
        <w:rFonts w:hint="eastAsia"/>
      </w:rPr>
    </w:lvl>
  </w:abstractNum>
  <w:abstractNum w:abstractNumId="3">
    <w:nsid w:val="AFC74FD0"/>
    <w:multiLevelType w:val="singleLevel"/>
    <w:tmpl w:val="AFC74FD0"/>
    <w:lvl w:ilvl="0" w:tentative="0">
      <w:start w:val="2"/>
      <w:numFmt w:val="chineseCounting"/>
      <w:suff w:val="nothing"/>
      <w:lvlText w:val="（%1）"/>
      <w:lvlJc w:val="left"/>
      <w:rPr>
        <w:rFonts w:hint="eastAsia"/>
      </w:rPr>
    </w:lvl>
  </w:abstractNum>
  <w:abstractNum w:abstractNumId="4">
    <w:nsid w:val="CF652CEC"/>
    <w:multiLevelType w:val="singleLevel"/>
    <w:tmpl w:val="CF652CEC"/>
    <w:lvl w:ilvl="0" w:tentative="0">
      <w:start w:val="9"/>
      <w:numFmt w:val="chineseCounting"/>
      <w:suff w:val="nothing"/>
      <w:lvlText w:val="%1、"/>
      <w:lvlJc w:val="left"/>
      <w:rPr>
        <w:rFonts w:hint="eastAsia"/>
      </w:rPr>
    </w:lvl>
  </w:abstractNum>
  <w:abstractNum w:abstractNumId="5">
    <w:nsid w:val="D46C7218"/>
    <w:multiLevelType w:val="singleLevel"/>
    <w:tmpl w:val="D46C7218"/>
    <w:lvl w:ilvl="0" w:tentative="0">
      <w:start w:val="2"/>
      <w:numFmt w:val="chineseCounting"/>
      <w:suff w:val="nothing"/>
      <w:lvlText w:val="（%1）"/>
      <w:lvlJc w:val="left"/>
      <w:pPr>
        <w:tabs>
          <w:tab w:val="left" w:pos="0"/>
        </w:tabs>
        <w:ind w:left="0" w:firstLine="0"/>
      </w:pPr>
      <w:rPr>
        <w:rFonts w:hint="eastAsia"/>
      </w:rPr>
    </w:lvl>
  </w:abstractNum>
  <w:abstractNum w:abstractNumId="6">
    <w:nsid w:val="E2FA047D"/>
    <w:multiLevelType w:val="singleLevel"/>
    <w:tmpl w:val="E2FA047D"/>
    <w:lvl w:ilvl="0" w:tentative="0">
      <w:start w:val="3"/>
      <w:numFmt w:val="chineseCounting"/>
      <w:suff w:val="space"/>
      <w:lvlText w:val="第%1部分"/>
      <w:lvlJc w:val="left"/>
      <w:rPr>
        <w:rFonts w:hint="eastAsia"/>
      </w:rPr>
    </w:lvl>
  </w:abstractNum>
  <w:abstractNum w:abstractNumId="7">
    <w:nsid w:val="EFFE9537"/>
    <w:multiLevelType w:val="singleLevel"/>
    <w:tmpl w:val="EFFE9537"/>
    <w:lvl w:ilvl="0" w:tentative="0">
      <w:start w:val="3"/>
      <w:numFmt w:val="chineseCounting"/>
      <w:suff w:val="nothing"/>
      <w:lvlText w:val="（%1）"/>
      <w:lvlJc w:val="left"/>
      <w:rPr>
        <w:rFonts w:hint="eastAsia"/>
      </w:rPr>
    </w:lvl>
  </w:abstractNum>
  <w:abstractNum w:abstractNumId="8">
    <w:nsid w:val="FEBEC1F8"/>
    <w:multiLevelType w:val="singleLevel"/>
    <w:tmpl w:val="FEBEC1F8"/>
    <w:lvl w:ilvl="0" w:tentative="0">
      <w:start w:val="2"/>
      <w:numFmt w:val="decimal"/>
      <w:lvlText w:val="%1."/>
      <w:lvlJc w:val="left"/>
      <w:pPr>
        <w:tabs>
          <w:tab w:val="left" w:pos="312"/>
        </w:tabs>
      </w:pPr>
    </w:lvl>
  </w:abstractNum>
  <w:abstractNum w:abstractNumId="9">
    <w:nsid w:val="1272550B"/>
    <w:multiLevelType w:val="multilevel"/>
    <w:tmpl w:val="1272550B"/>
    <w:lvl w:ilvl="0" w:tentative="0">
      <w:start w:val="1"/>
      <w:numFmt w:val="japaneseCounting"/>
      <w:lvlText w:val="%1、"/>
      <w:lvlJc w:val="left"/>
      <w:pPr>
        <w:ind w:left="1360" w:hanging="720"/>
      </w:pPr>
      <w:rPr>
        <w:rFonts w:hint="default"/>
        <w:b w:val="0"/>
      </w:rPr>
    </w:lvl>
    <w:lvl w:ilvl="1" w:tentative="0">
      <w:start w:val="1"/>
      <w:numFmt w:val="lowerLetter"/>
      <w:lvlText w:val="%2)"/>
      <w:lvlJc w:val="left"/>
      <w:pPr>
        <w:ind w:left="1480" w:hanging="420"/>
      </w:pPr>
    </w:lvl>
    <w:lvl w:ilvl="2" w:tentative="0">
      <w:start w:val="1"/>
      <w:numFmt w:val="lowerRoman"/>
      <w:lvlText w:val="%3."/>
      <w:lvlJc w:val="right"/>
      <w:pPr>
        <w:ind w:left="1900" w:hanging="420"/>
      </w:pPr>
    </w:lvl>
    <w:lvl w:ilvl="3" w:tentative="0">
      <w:start w:val="1"/>
      <w:numFmt w:val="decimal"/>
      <w:lvlText w:val="%4."/>
      <w:lvlJc w:val="left"/>
      <w:pPr>
        <w:ind w:left="2320" w:hanging="420"/>
      </w:pPr>
    </w:lvl>
    <w:lvl w:ilvl="4" w:tentative="0">
      <w:start w:val="1"/>
      <w:numFmt w:val="lowerLetter"/>
      <w:lvlText w:val="%5)"/>
      <w:lvlJc w:val="left"/>
      <w:pPr>
        <w:ind w:left="2740" w:hanging="420"/>
      </w:pPr>
    </w:lvl>
    <w:lvl w:ilvl="5" w:tentative="0">
      <w:start w:val="1"/>
      <w:numFmt w:val="lowerRoman"/>
      <w:lvlText w:val="%6."/>
      <w:lvlJc w:val="right"/>
      <w:pPr>
        <w:ind w:left="3160" w:hanging="420"/>
      </w:pPr>
    </w:lvl>
    <w:lvl w:ilvl="6" w:tentative="0">
      <w:start w:val="1"/>
      <w:numFmt w:val="decimal"/>
      <w:lvlText w:val="%7."/>
      <w:lvlJc w:val="left"/>
      <w:pPr>
        <w:ind w:left="3580" w:hanging="420"/>
      </w:pPr>
    </w:lvl>
    <w:lvl w:ilvl="7" w:tentative="0">
      <w:start w:val="1"/>
      <w:numFmt w:val="lowerLetter"/>
      <w:lvlText w:val="%8)"/>
      <w:lvlJc w:val="left"/>
      <w:pPr>
        <w:ind w:left="4000" w:hanging="420"/>
      </w:pPr>
    </w:lvl>
    <w:lvl w:ilvl="8" w:tentative="0">
      <w:start w:val="1"/>
      <w:numFmt w:val="lowerRoman"/>
      <w:lvlText w:val="%9."/>
      <w:lvlJc w:val="right"/>
      <w:pPr>
        <w:ind w:left="4420" w:hanging="420"/>
      </w:pPr>
    </w:lvl>
  </w:abstractNum>
  <w:abstractNum w:abstractNumId="10">
    <w:nsid w:val="20E57330"/>
    <w:multiLevelType w:val="singleLevel"/>
    <w:tmpl w:val="20E57330"/>
    <w:lvl w:ilvl="0" w:tentative="0">
      <w:start w:val="1"/>
      <w:numFmt w:val="decimal"/>
      <w:lvlText w:val="%1."/>
      <w:lvlJc w:val="left"/>
      <w:pPr>
        <w:tabs>
          <w:tab w:val="left" w:pos="312"/>
        </w:tabs>
        <w:ind w:left="407"/>
      </w:pPr>
    </w:lvl>
  </w:abstractNum>
  <w:num w:numId="1">
    <w:abstractNumId w:val="10"/>
  </w:num>
  <w:num w:numId="2">
    <w:abstractNumId w:val="9"/>
  </w:num>
  <w:num w:numId="3">
    <w:abstractNumId w:val="4"/>
  </w:num>
  <w:num w:numId="4">
    <w:abstractNumId w:val="6"/>
  </w:num>
  <w:num w:numId="5">
    <w:abstractNumId w:val="0"/>
  </w:num>
  <w:num w:numId="6">
    <w:abstractNumId w:val="5"/>
  </w:num>
  <w:num w:numId="7">
    <w:abstractNumId w:val="3"/>
  </w:num>
  <w:num w:numId="8">
    <w:abstractNumId w:val="1"/>
  </w:num>
  <w:num w:numId="9">
    <w:abstractNumId w:val="8"/>
  </w:num>
  <w:num w:numId="10">
    <w:abstractNumId w:val="2"/>
  </w:num>
  <w:num w:numId="1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hdrShapeDefaults>
    <o:shapelayout v:ext="edit">
      <o:idmap v:ext="edit" data="1"/>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zgzMzBmOWIyYjc5MzNkYTMyZmUxYmZmNDJkY2EyY2MifQ=="/>
  </w:docVars>
  <w:rsids>
    <w:rsidRoot w:val="00172A27"/>
    <w:rsid w:val="000222C6"/>
    <w:rsid w:val="0002549F"/>
    <w:rsid w:val="000468DB"/>
    <w:rsid w:val="0006487A"/>
    <w:rsid w:val="00065F8F"/>
    <w:rsid w:val="00070A43"/>
    <w:rsid w:val="000768F2"/>
    <w:rsid w:val="0009184B"/>
    <w:rsid w:val="00094236"/>
    <w:rsid w:val="0009593C"/>
    <w:rsid w:val="00097322"/>
    <w:rsid w:val="000A6A92"/>
    <w:rsid w:val="000B047F"/>
    <w:rsid w:val="000B5923"/>
    <w:rsid w:val="000B5A48"/>
    <w:rsid w:val="000B6FF3"/>
    <w:rsid w:val="000C3467"/>
    <w:rsid w:val="000C3CA6"/>
    <w:rsid w:val="000D1267"/>
    <w:rsid w:val="000D1D50"/>
    <w:rsid w:val="000D5782"/>
    <w:rsid w:val="000E6613"/>
    <w:rsid w:val="000E7119"/>
    <w:rsid w:val="00114E9B"/>
    <w:rsid w:val="00142216"/>
    <w:rsid w:val="00144D6A"/>
    <w:rsid w:val="0014729F"/>
    <w:rsid w:val="00157BAB"/>
    <w:rsid w:val="001654D1"/>
    <w:rsid w:val="00174518"/>
    <w:rsid w:val="0018106D"/>
    <w:rsid w:val="001877A7"/>
    <w:rsid w:val="00191536"/>
    <w:rsid w:val="00196687"/>
    <w:rsid w:val="001C0962"/>
    <w:rsid w:val="001D7531"/>
    <w:rsid w:val="001E737D"/>
    <w:rsid w:val="001F0592"/>
    <w:rsid w:val="001F7506"/>
    <w:rsid w:val="002006CD"/>
    <w:rsid w:val="00202B36"/>
    <w:rsid w:val="00204B7A"/>
    <w:rsid w:val="00204CDE"/>
    <w:rsid w:val="0021101A"/>
    <w:rsid w:val="00220536"/>
    <w:rsid w:val="00235629"/>
    <w:rsid w:val="00260C38"/>
    <w:rsid w:val="002616C0"/>
    <w:rsid w:val="00265372"/>
    <w:rsid w:val="002662AA"/>
    <w:rsid w:val="00280496"/>
    <w:rsid w:val="00294DC9"/>
    <w:rsid w:val="00295495"/>
    <w:rsid w:val="002A31DE"/>
    <w:rsid w:val="002B2613"/>
    <w:rsid w:val="002D6D05"/>
    <w:rsid w:val="002F1818"/>
    <w:rsid w:val="002F567B"/>
    <w:rsid w:val="003216A9"/>
    <w:rsid w:val="00335A74"/>
    <w:rsid w:val="0036561B"/>
    <w:rsid w:val="0037013F"/>
    <w:rsid w:val="00380C92"/>
    <w:rsid w:val="003A484F"/>
    <w:rsid w:val="003A4883"/>
    <w:rsid w:val="003B0BE0"/>
    <w:rsid w:val="003B0C1B"/>
    <w:rsid w:val="003B688C"/>
    <w:rsid w:val="003C0291"/>
    <w:rsid w:val="003C39AE"/>
    <w:rsid w:val="003C7B60"/>
    <w:rsid w:val="003D0C0F"/>
    <w:rsid w:val="003D1FB2"/>
    <w:rsid w:val="003D66DA"/>
    <w:rsid w:val="003E1310"/>
    <w:rsid w:val="003E6F55"/>
    <w:rsid w:val="00406254"/>
    <w:rsid w:val="004223DE"/>
    <w:rsid w:val="004310D9"/>
    <w:rsid w:val="00434489"/>
    <w:rsid w:val="00437085"/>
    <w:rsid w:val="00443880"/>
    <w:rsid w:val="004464F4"/>
    <w:rsid w:val="00471401"/>
    <w:rsid w:val="00473F31"/>
    <w:rsid w:val="0048263A"/>
    <w:rsid w:val="00487E5D"/>
    <w:rsid w:val="004A711F"/>
    <w:rsid w:val="004B199D"/>
    <w:rsid w:val="004B4690"/>
    <w:rsid w:val="004E0A2D"/>
    <w:rsid w:val="004E206B"/>
    <w:rsid w:val="004E6DF7"/>
    <w:rsid w:val="004F0FBD"/>
    <w:rsid w:val="00505A47"/>
    <w:rsid w:val="00512FDA"/>
    <w:rsid w:val="00520DA0"/>
    <w:rsid w:val="005664BB"/>
    <w:rsid w:val="00566FFA"/>
    <w:rsid w:val="0057481D"/>
    <w:rsid w:val="0058486E"/>
    <w:rsid w:val="00585B33"/>
    <w:rsid w:val="0059014D"/>
    <w:rsid w:val="005B5C64"/>
    <w:rsid w:val="005C5337"/>
    <w:rsid w:val="005C6BD0"/>
    <w:rsid w:val="005D1C8B"/>
    <w:rsid w:val="005D468D"/>
    <w:rsid w:val="005D5CED"/>
    <w:rsid w:val="005F1A4C"/>
    <w:rsid w:val="00605688"/>
    <w:rsid w:val="006070AF"/>
    <w:rsid w:val="00607E6C"/>
    <w:rsid w:val="006101B1"/>
    <w:rsid w:val="00614E44"/>
    <w:rsid w:val="0062270A"/>
    <w:rsid w:val="00622830"/>
    <w:rsid w:val="00623DA0"/>
    <w:rsid w:val="00630AEF"/>
    <w:rsid w:val="006325F8"/>
    <w:rsid w:val="00633463"/>
    <w:rsid w:val="00634C9A"/>
    <w:rsid w:val="006440E4"/>
    <w:rsid w:val="0066343B"/>
    <w:rsid w:val="00664777"/>
    <w:rsid w:val="006748A4"/>
    <w:rsid w:val="00681A31"/>
    <w:rsid w:val="00683E73"/>
    <w:rsid w:val="006A3141"/>
    <w:rsid w:val="006A5E34"/>
    <w:rsid w:val="006B2422"/>
    <w:rsid w:val="006B2B9A"/>
    <w:rsid w:val="006C1937"/>
    <w:rsid w:val="006F020C"/>
    <w:rsid w:val="007127B7"/>
    <w:rsid w:val="0071798E"/>
    <w:rsid w:val="007416B6"/>
    <w:rsid w:val="00746F48"/>
    <w:rsid w:val="0075404D"/>
    <w:rsid w:val="0076182A"/>
    <w:rsid w:val="00767B7E"/>
    <w:rsid w:val="007770C3"/>
    <w:rsid w:val="00784D24"/>
    <w:rsid w:val="00785FBA"/>
    <w:rsid w:val="00786E4A"/>
    <w:rsid w:val="007875EB"/>
    <w:rsid w:val="0079426B"/>
    <w:rsid w:val="007D1682"/>
    <w:rsid w:val="007D312A"/>
    <w:rsid w:val="007D3F19"/>
    <w:rsid w:val="007E23B0"/>
    <w:rsid w:val="007E23E5"/>
    <w:rsid w:val="007F1991"/>
    <w:rsid w:val="007F2C2F"/>
    <w:rsid w:val="007F55FC"/>
    <w:rsid w:val="007F5665"/>
    <w:rsid w:val="00800112"/>
    <w:rsid w:val="00813348"/>
    <w:rsid w:val="008253BB"/>
    <w:rsid w:val="0083706E"/>
    <w:rsid w:val="008408F6"/>
    <w:rsid w:val="008423A5"/>
    <w:rsid w:val="00850625"/>
    <w:rsid w:val="00853718"/>
    <w:rsid w:val="00855221"/>
    <w:rsid w:val="00860645"/>
    <w:rsid w:val="00871F71"/>
    <w:rsid w:val="00872FD8"/>
    <w:rsid w:val="00885AF4"/>
    <w:rsid w:val="008939CD"/>
    <w:rsid w:val="008B768C"/>
    <w:rsid w:val="008C4DB1"/>
    <w:rsid w:val="008C4EAF"/>
    <w:rsid w:val="008C5176"/>
    <w:rsid w:val="008C7FD0"/>
    <w:rsid w:val="008E1DE7"/>
    <w:rsid w:val="008E707C"/>
    <w:rsid w:val="00900B08"/>
    <w:rsid w:val="00902155"/>
    <w:rsid w:val="00902FA3"/>
    <w:rsid w:val="00923564"/>
    <w:rsid w:val="0092392E"/>
    <w:rsid w:val="009315F9"/>
    <w:rsid w:val="00933499"/>
    <w:rsid w:val="00935C98"/>
    <w:rsid w:val="00946945"/>
    <w:rsid w:val="00951248"/>
    <w:rsid w:val="0095152F"/>
    <w:rsid w:val="00954C49"/>
    <w:rsid w:val="00955E37"/>
    <w:rsid w:val="0097099F"/>
    <w:rsid w:val="00971997"/>
    <w:rsid w:val="00971FFC"/>
    <w:rsid w:val="0098660A"/>
    <w:rsid w:val="009931C3"/>
    <w:rsid w:val="009B2C43"/>
    <w:rsid w:val="009B4EAE"/>
    <w:rsid w:val="009B7573"/>
    <w:rsid w:val="009C22F4"/>
    <w:rsid w:val="009C2A4B"/>
    <w:rsid w:val="009C2E98"/>
    <w:rsid w:val="009D3447"/>
    <w:rsid w:val="009D4711"/>
    <w:rsid w:val="009F1185"/>
    <w:rsid w:val="009F18CD"/>
    <w:rsid w:val="009F2A13"/>
    <w:rsid w:val="009F7527"/>
    <w:rsid w:val="00A04EB0"/>
    <w:rsid w:val="00A13CC1"/>
    <w:rsid w:val="00A16847"/>
    <w:rsid w:val="00A237D8"/>
    <w:rsid w:val="00A268C4"/>
    <w:rsid w:val="00A307CD"/>
    <w:rsid w:val="00A331C8"/>
    <w:rsid w:val="00A40A00"/>
    <w:rsid w:val="00A4142F"/>
    <w:rsid w:val="00A422EB"/>
    <w:rsid w:val="00A45BB7"/>
    <w:rsid w:val="00A56DF2"/>
    <w:rsid w:val="00A56E6E"/>
    <w:rsid w:val="00A67AB5"/>
    <w:rsid w:val="00A733B2"/>
    <w:rsid w:val="00A741C2"/>
    <w:rsid w:val="00A91760"/>
    <w:rsid w:val="00A93B00"/>
    <w:rsid w:val="00A93C21"/>
    <w:rsid w:val="00AB64C9"/>
    <w:rsid w:val="00AC3C6A"/>
    <w:rsid w:val="00AD5620"/>
    <w:rsid w:val="00AD656B"/>
    <w:rsid w:val="00AD7C1B"/>
    <w:rsid w:val="00AE16BA"/>
    <w:rsid w:val="00AE1EBE"/>
    <w:rsid w:val="00B03C9D"/>
    <w:rsid w:val="00B060AE"/>
    <w:rsid w:val="00B10517"/>
    <w:rsid w:val="00B14E76"/>
    <w:rsid w:val="00B161B8"/>
    <w:rsid w:val="00B2048C"/>
    <w:rsid w:val="00B310B9"/>
    <w:rsid w:val="00B35F3F"/>
    <w:rsid w:val="00B36CBB"/>
    <w:rsid w:val="00B425E0"/>
    <w:rsid w:val="00B440AA"/>
    <w:rsid w:val="00B44B70"/>
    <w:rsid w:val="00B53C56"/>
    <w:rsid w:val="00B57DAF"/>
    <w:rsid w:val="00B77EA6"/>
    <w:rsid w:val="00B81598"/>
    <w:rsid w:val="00B841F1"/>
    <w:rsid w:val="00B944D6"/>
    <w:rsid w:val="00BB4DF0"/>
    <w:rsid w:val="00BC289F"/>
    <w:rsid w:val="00BC2D50"/>
    <w:rsid w:val="00BC5361"/>
    <w:rsid w:val="00BC5460"/>
    <w:rsid w:val="00BC6B50"/>
    <w:rsid w:val="00BD0E25"/>
    <w:rsid w:val="00BF5BD6"/>
    <w:rsid w:val="00C03E31"/>
    <w:rsid w:val="00C200BB"/>
    <w:rsid w:val="00C33E72"/>
    <w:rsid w:val="00C354B2"/>
    <w:rsid w:val="00C35554"/>
    <w:rsid w:val="00C42709"/>
    <w:rsid w:val="00C533CC"/>
    <w:rsid w:val="00C5751C"/>
    <w:rsid w:val="00C61BFC"/>
    <w:rsid w:val="00C62B85"/>
    <w:rsid w:val="00C65438"/>
    <w:rsid w:val="00C84116"/>
    <w:rsid w:val="00C87FD8"/>
    <w:rsid w:val="00C91381"/>
    <w:rsid w:val="00C91CBB"/>
    <w:rsid w:val="00CB4E70"/>
    <w:rsid w:val="00CC09B6"/>
    <w:rsid w:val="00CC666F"/>
    <w:rsid w:val="00CD1E3F"/>
    <w:rsid w:val="00CE44F6"/>
    <w:rsid w:val="00CE49DA"/>
    <w:rsid w:val="00CE7B61"/>
    <w:rsid w:val="00D00095"/>
    <w:rsid w:val="00D114F0"/>
    <w:rsid w:val="00D20620"/>
    <w:rsid w:val="00D254F7"/>
    <w:rsid w:val="00D26091"/>
    <w:rsid w:val="00D2685C"/>
    <w:rsid w:val="00D34E7C"/>
    <w:rsid w:val="00D35489"/>
    <w:rsid w:val="00D36AFE"/>
    <w:rsid w:val="00D51276"/>
    <w:rsid w:val="00D7035F"/>
    <w:rsid w:val="00DA634F"/>
    <w:rsid w:val="00DA65AC"/>
    <w:rsid w:val="00DB1913"/>
    <w:rsid w:val="00DC410D"/>
    <w:rsid w:val="00DC5A81"/>
    <w:rsid w:val="00DC68CA"/>
    <w:rsid w:val="00DC7CBA"/>
    <w:rsid w:val="00DD73B7"/>
    <w:rsid w:val="00DF28BC"/>
    <w:rsid w:val="00DF34B9"/>
    <w:rsid w:val="00E01053"/>
    <w:rsid w:val="00E07ACF"/>
    <w:rsid w:val="00E331A1"/>
    <w:rsid w:val="00E33202"/>
    <w:rsid w:val="00E336A9"/>
    <w:rsid w:val="00E472B1"/>
    <w:rsid w:val="00E50624"/>
    <w:rsid w:val="00E568DF"/>
    <w:rsid w:val="00E64269"/>
    <w:rsid w:val="00E82267"/>
    <w:rsid w:val="00E853CE"/>
    <w:rsid w:val="00E867B6"/>
    <w:rsid w:val="00EA010F"/>
    <w:rsid w:val="00ED1B63"/>
    <w:rsid w:val="00ED3C1F"/>
    <w:rsid w:val="00ED4085"/>
    <w:rsid w:val="00ED420E"/>
    <w:rsid w:val="00ED6FBE"/>
    <w:rsid w:val="00EE2F57"/>
    <w:rsid w:val="00EF4C34"/>
    <w:rsid w:val="00EF77C6"/>
    <w:rsid w:val="00F05438"/>
    <w:rsid w:val="00F1361C"/>
    <w:rsid w:val="00F156F0"/>
    <w:rsid w:val="00F160C7"/>
    <w:rsid w:val="00F16586"/>
    <w:rsid w:val="00F2408F"/>
    <w:rsid w:val="00F240E9"/>
    <w:rsid w:val="00F36D8F"/>
    <w:rsid w:val="00F417B1"/>
    <w:rsid w:val="00F45853"/>
    <w:rsid w:val="00F602DF"/>
    <w:rsid w:val="00F754A1"/>
    <w:rsid w:val="00F81FD9"/>
    <w:rsid w:val="00F841AA"/>
    <w:rsid w:val="00F84A94"/>
    <w:rsid w:val="00F87E96"/>
    <w:rsid w:val="00FA23E8"/>
    <w:rsid w:val="00FD3CC1"/>
    <w:rsid w:val="00FF1E02"/>
    <w:rsid w:val="00FF30B4"/>
    <w:rsid w:val="012C1628"/>
    <w:rsid w:val="01395070"/>
    <w:rsid w:val="01401F5A"/>
    <w:rsid w:val="01986FCE"/>
    <w:rsid w:val="01E062DA"/>
    <w:rsid w:val="024D6524"/>
    <w:rsid w:val="02AB3D4B"/>
    <w:rsid w:val="03437DB4"/>
    <w:rsid w:val="03A964DC"/>
    <w:rsid w:val="04075641"/>
    <w:rsid w:val="04472DD4"/>
    <w:rsid w:val="047A5F62"/>
    <w:rsid w:val="048C54B6"/>
    <w:rsid w:val="04AE7B23"/>
    <w:rsid w:val="05080FE1"/>
    <w:rsid w:val="05142AFF"/>
    <w:rsid w:val="05412488"/>
    <w:rsid w:val="05974348"/>
    <w:rsid w:val="05C05314"/>
    <w:rsid w:val="061E0A3E"/>
    <w:rsid w:val="06457C0B"/>
    <w:rsid w:val="06634197"/>
    <w:rsid w:val="066E0107"/>
    <w:rsid w:val="07117EF5"/>
    <w:rsid w:val="073048B1"/>
    <w:rsid w:val="07533584"/>
    <w:rsid w:val="07996F6E"/>
    <w:rsid w:val="07B45450"/>
    <w:rsid w:val="080E345D"/>
    <w:rsid w:val="0810715F"/>
    <w:rsid w:val="0822221C"/>
    <w:rsid w:val="0870074C"/>
    <w:rsid w:val="09382F6E"/>
    <w:rsid w:val="09E0252C"/>
    <w:rsid w:val="0A2032A3"/>
    <w:rsid w:val="0A7964DD"/>
    <w:rsid w:val="0AD61B81"/>
    <w:rsid w:val="0B242F71"/>
    <w:rsid w:val="0B8450C6"/>
    <w:rsid w:val="0C2B3807"/>
    <w:rsid w:val="0C743B83"/>
    <w:rsid w:val="0C776FB3"/>
    <w:rsid w:val="0C7A30DA"/>
    <w:rsid w:val="0C9B273A"/>
    <w:rsid w:val="0CEC743A"/>
    <w:rsid w:val="0D2875F8"/>
    <w:rsid w:val="0D3E02A9"/>
    <w:rsid w:val="0E087ECA"/>
    <w:rsid w:val="0E266908"/>
    <w:rsid w:val="0EF6412A"/>
    <w:rsid w:val="0F2C7FC2"/>
    <w:rsid w:val="0F41752E"/>
    <w:rsid w:val="0F8F5430"/>
    <w:rsid w:val="0FDE750E"/>
    <w:rsid w:val="101860EC"/>
    <w:rsid w:val="10416D77"/>
    <w:rsid w:val="108F0EBD"/>
    <w:rsid w:val="10AB3168"/>
    <w:rsid w:val="10C055FF"/>
    <w:rsid w:val="10F42D61"/>
    <w:rsid w:val="11124F95"/>
    <w:rsid w:val="118107EC"/>
    <w:rsid w:val="11AC53EA"/>
    <w:rsid w:val="11C328DA"/>
    <w:rsid w:val="1206262D"/>
    <w:rsid w:val="122D652B"/>
    <w:rsid w:val="12477A8D"/>
    <w:rsid w:val="12535865"/>
    <w:rsid w:val="12557610"/>
    <w:rsid w:val="128A0CBA"/>
    <w:rsid w:val="12A06CFD"/>
    <w:rsid w:val="12C87AB2"/>
    <w:rsid w:val="12CB18A0"/>
    <w:rsid w:val="135134A4"/>
    <w:rsid w:val="1366012B"/>
    <w:rsid w:val="13A414F2"/>
    <w:rsid w:val="13D50BC4"/>
    <w:rsid w:val="13DD7F95"/>
    <w:rsid w:val="14092680"/>
    <w:rsid w:val="141A0400"/>
    <w:rsid w:val="14883EEC"/>
    <w:rsid w:val="148E5243"/>
    <w:rsid w:val="14D25286"/>
    <w:rsid w:val="156603F8"/>
    <w:rsid w:val="15B27275"/>
    <w:rsid w:val="15B4486D"/>
    <w:rsid w:val="15B565A4"/>
    <w:rsid w:val="16442E17"/>
    <w:rsid w:val="16504596"/>
    <w:rsid w:val="16953A59"/>
    <w:rsid w:val="16BB723D"/>
    <w:rsid w:val="16DC22CD"/>
    <w:rsid w:val="16E64F42"/>
    <w:rsid w:val="179078A2"/>
    <w:rsid w:val="17BC3F9E"/>
    <w:rsid w:val="17BD20FF"/>
    <w:rsid w:val="18404AB0"/>
    <w:rsid w:val="1853036D"/>
    <w:rsid w:val="186370CC"/>
    <w:rsid w:val="18E362EC"/>
    <w:rsid w:val="19DC491F"/>
    <w:rsid w:val="19F44841"/>
    <w:rsid w:val="1A467CEE"/>
    <w:rsid w:val="1A915497"/>
    <w:rsid w:val="1AA50C28"/>
    <w:rsid w:val="1AA9127D"/>
    <w:rsid w:val="1B0346CC"/>
    <w:rsid w:val="1B236CB3"/>
    <w:rsid w:val="1B520DB0"/>
    <w:rsid w:val="1B83244D"/>
    <w:rsid w:val="1BAB3F58"/>
    <w:rsid w:val="1BE8440E"/>
    <w:rsid w:val="1BF03704"/>
    <w:rsid w:val="1C1B6428"/>
    <w:rsid w:val="1D155CEE"/>
    <w:rsid w:val="1D171443"/>
    <w:rsid w:val="1D3C0749"/>
    <w:rsid w:val="1D676CC3"/>
    <w:rsid w:val="1D860F04"/>
    <w:rsid w:val="1DCB1624"/>
    <w:rsid w:val="1DF848E6"/>
    <w:rsid w:val="1E0B4FE4"/>
    <w:rsid w:val="1E116D00"/>
    <w:rsid w:val="1E124F8A"/>
    <w:rsid w:val="1F0625DD"/>
    <w:rsid w:val="1F7019C1"/>
    <w:rsid w:val="2040730C"/>
    <w:rsid w:val="2074401E"/>
    <w:rsid w:val="208C2FD1"/>
    <w:rsid w:val="20F63F8C"/>
    <w:rsid w:val="21A47481"/>
    <w:rsid w:val="21C95F19"/>
    <w:rsid w:val="21FF3314"/>
    <w:rsid w:val="220B7F0B"/>
    <w:rsid w:val="22110FE2"/>
    <w:rsid w:val="22743D02"/>
    <w:rsid w:val="22843400"/>
    <w:rsid w:val="23113D47"/>
    <w:rsid w:val="23860B96"/>
    <w:rsid w:val="238621A3"/>
    <w:rsid w:val="240371BF"/>
    <w:rsid w:val="2436731B"/>
    <w:rsid w:val="24390EE7"/>
    <w:rsid w:val="24431BDE"/>
    <w:rsid w:val="247268A5"/>
    <w:rsid w:val="248178BD"/>
    <w:rsid w:val="248355C3"/>
    <w:rsid w:val="24A83D5D"/>
    <w:rsid w:val="24BD3A83"/>
    <w:rsid w:val="24F76D7A"/>
    <w:rsid w:val="250C1FD0"/>
    <w:rsid w:val="25203CCD"/>
    <w:rsid w:val="255164B7"/>
    <w:rsid w:val="257F366E"/>
    <w:rsid w:val="25930975"/>
    <w:rsid w:val="25B4065F"/>
    <w:rsid w:val="265C7907"/>
    <w:rsid w:val="26DE5A5F"/>
    <w:rsid w:val="26FF43D5"/>
    <w:rsid w:val="27572868"/>
    <w:rsid w:val="2829733C"/>
    <w:rsid w:val="2841177B"/>
    <w:rsid w:val="285C0E2E"/>
    <w:rsid w:val="28793E20"/>
    <w:rsid w:val="28CC57ED"/>
    <w:rsid w:val="29791BFE"/>
    <w:rsid w:val="298025C5"/>
    <w:rsid w:val="299F78B6"/>
    <w:rsid w:val="29CA5FDB"/>
    <w:rsid w:val="29FD04D3"/>
    <w:rsid w:val="2A496F8A"/>
    <w:rsid w:val="2A8146B4"/>
    <w:rsid w:val="2B0D4CF3"/>
    <w:rsid w:val="2B5731AB"/>
    <w:rsid w:val="2BDB4EF5"/>
    <w:rsid w:val="2BE23A8A"/>
    <w:rsid w:val="2BEC2B5B"/>
    <w:rsid w:val="2BEC4402"/>
    <w:rsid w:val="2C0E5EDB"/>
    <w:rsid w:val="2C490A31"/>
    <w:rsid w:val="2C7963E8"/>
    <w:rsid w:val="2C8A61B5"/>
    <w:rsid w:val="2CD817D0"/>
    <w:rsid w:val="2D1E510E"/>
    <w:rsid w:val="2D35408E"/>
    <w:rsid w:val="2D40315E"/>
    <w:rsid w:val="2D82298B"/>
    <w:rsid w:val="2DEE65A8"/>
    <w:rsid w:val="2DF04E50"/>
    <w:rsid w:val="2E0653FE"/>
    <w:rsid w:val="2E822341"/>
    <w:rsid w:val="2EC65434"/>
    <w:rsid w:val="2EF62F70"/>
    <w:rsid w:val="2F03457B"/>
    <w:rsid w:val="2F673C1F"/>
    <w:rsid w:val="2F6F69AC"/>
    <w:rsid w:val="2F830016"/>
    <w:rsid w:val="3062163D"/>
    <w:rsid w:val="31696EF5"/>
    <w:rsid w:val="319F7F4E"/>
    <w:rsid w:val="31B16028"/>
    <w:rsid w:val="31E63BA8"/>
    <w:rsid w:val="32290467"/>
    <w:rsid w:val="32314AE9"/>
    <w:rsid w:val="327B7B22"/>
    <w:rsid w:val="32F37C47"/>
    <w:rsid w:val="33970749"/>
    <w:rsid w:val="34186675"/>
    <w:rsid w:val="34520623"/>
    <w:rsid w:val="345319C9"/>
    <w:rsid w:val="350E58F0"/>
    <w:rsid w:val="35647C06"/>
    <w:rsid w:val="35794135"/>
    <w:rsid w:val="359F7AA1"/>
    <w:rsid w:val="35BC22C3"/>
    <w:rsid w:val="35BD116E"/>
    <w:rsid w:val="35D94150"/>
    <w:rsid w:val="35F406D0"/>
    <w:rsid w:val="36146B5A"/>
    <w:rsid w:val="367D0F7F"/>
    <w:rsid w:val="36AA5135"/>
    <w:rsid w:val="36E90BEF"/>
    <w:rsid w:val="374A15B6"/>
    <w:rsid w:val="37503F9E"/>
    <w:rsid w:val="378F142A"/>
    <w:rsid w:val="37E16F03"/>
    <w:rsid w:val="37E64902"/>
    <w:rsid w:val="37EE581E"/>
    <w:rsid w:val="3872263A"/>
    <w:rsid w:val="38A00F55"/>
    <w:rsid w:val="38B31D59"/>
    <w:rsid w:val="38E26BF0"/>
    <w:rsid w:val="38E726E0"/>
    <w:rsid w:val="39B20F40"/>
    <w:rsid w:val="39B25F1D"/>
    <w:rsid w:val="3A254A07"/>
    <w:rsid w:val="3A6366DE"/>
    <w:rsid w:val="3A8665A1"/>
    <w:rsid w:val="3A8723CC"/>
    <w:rsid w:val="3BC82309"/>
    <w:rsid w:val="3BF53366"/>
    <w:rsid w:val="3C991F43"/>
    <w:rsid w:val="3CFA5631"/>
    <w:rsid w:val="3D98207C"/>
    <w:rsid w:val="3DAD5C0B"/>
    <w:rsid w:val="3E014244"/>
    <w:rsid w:val="3E0755D2"/>
    <w:rsid w:val="3E202AC9"/>
    <w:rsid w:val="3EAB0AC2"/>
    <w:rsid w:val="3EB005EC"/>
    <w:rsid w:val="3EC327E6"/>
    <w:rsid w:val="3ECA1318"/>
    <w:rsid w:val="3F492DCA"/>
    <w:rsid w:val="3F864B35"/>
    <w:rsid w:val="3FB35A36"/>
    <w:rsid w:val="406805AA"/>
    <w:rsid w:val="40CD48B1"/>
    <w:rsid w:val="40E22E81"/>
    <w:rsid w:val="410249FD"/>
    <w:rsid w:val="415248D0"/>
    <w:rsid w:val="415C7244"/>
    <w:rsid w:val="41801BCC"/>
    <w:rsid w:val="41CE2D58"/>
    <w:rsid w:val="41D659E7"/>
    <w:rsid w:val="425629F5"/>
    <w:rsid w:val="427F45B0"/>
    <w:rsid w:val="42834C10"/>
    <w:rsid w:val="42AE2BDB"/>
    <w:rsid w:val="43080757"/>
    <w:rsid w:val="437B05F4"/>
    <w:rsid w:val="43A66FC9"/>
    <w:rsid w:val="43F131D5"/>
    <w:rsid w:val="44195DA9"/>
    <w:rsid w:val="44225C76"/>
    <w:rsid w:val="44307631"/>
    <w:rsid w:val="444A7FC7"/>
    <w:rsid w:val="44663053"/>
    <w:rsid w:val="44983428"/>
    <w:rsid w:val="44E268DA"/>
    <w:rsid w:val="44E67CEF"/>
    <w:rsid w:val="452F6C32"/>
    <w:rsid w:val="455E3D2A"/>
    <w:rsid w:val="457A62DB"/>
    <w:rsid w:val="458319E2"/>
    <w:rsid w:val="4594227D"/>
    <w:rsid w:val="45A312C2"/>
    <w:rsid w:val="45E05087"/>
    <w:rsid w:val="45E06E35"/>
    <w:rsid w:val="46712183"/>
    <w:rsid w:val="46BF34CB"/>
    <w:rsid w:val="46D55F9C"/>
    <w:rsid w:val="46DD18E6"/>
    <w:rsid w:val="46E70E21"/>
    <w:rsid w:val="470F5C8E"/>
    <w:rsid w:val="479B6F43"/>
    <w:rsid w:val="47AF6ABF"/>
    <w:rsid w:val="480E54FB"/>
    <w:rsid w:val="481E150E"/>
    <w:rsid w:val="48985457"/>
    <w:rsid w:val="48C04CFB"/>
    <w:rsid w:val="48C976F0"/>
    <w:rsid w:val="491750B6"/>
    <w:rsid w:val="49505519"/>
    <w:rsid w:val="498875C7"/>
    <w:rsid w:val="49C5556E"/>
    <w:rsid w:val="4A0330F2"/>
    <w:rsid w:val="4A627F82"/>
    <w:rsid w:val="4B457906"/>
    <w:rsid w:val="4B4614E8"/>
    <w:rsid w:val="4B4F25DA"/>
    <w:rsid w:val="4B6E1BBE"/>
    <w:rsid w:val="4B754F47"/>
    <w:rsid w:val="4B844106"/>
    <w:rsid w:val="4B95246F"/>
    <w:rsid w:val="4BCF21B3"/>
    <w:rsid w:val="4BE068DB"/>
    <w:rsid w:val="4C3844EB"/>
    <w:rsid w:val="4C6A25D2"/>
    <w:rsid w:val="4D1879C1"/>
    <w:rsid w:val="4D447C0C"/>
    <w:rsid w:val="4D577224"/>
    <w:rsid w:val="4D6B792C"/>
    <w:rsid w:val="4D883ECB"/>
    <w:rsid w:val="4DED0341"/>
    <w:rsid w:val="4DFA0EEF"/>
    <w:rsid w:val="4E361CE8"/>
    <w:rsid w:val="4E76525E"/>
    <w:rsid w:val="4E872543"/>
    <w:rsid w:val="4EAB630A"/>
    <w:rsid w:val="4ECE2238"/>
    <w:rsid w:val="4F3D70A6"/>
    <w:rsid w:val="4F511C28"/>
    <w:rsid w:val="4F6665FD"/>
    <w:rsid w:val="4F8D1DDB"/>
    <w:rsid w:val="4F995B89"/>
    <w:rsid w:val="50AB5B57"/>
    <w:rsid w:val="50CC6933"/>
    <w:rsid w:val="510548D2"/>
    <w:rsid w:val="510A3C3F"/>
    <w:rsid w:val="515661FD"/>
    <w:rsid w:val="515F6BC4"/>
    <w:rsid w:val="51730B2F"/>
    <w:rsid w:val="51CB69C5"/>
    <w:rsid w:val="52203989"/>
    <w:rsid w:val="52B80559"/>
    <w:rsid w:val="533F6118"/>
    <w:rsid w:val="537F7270"/>
    <w:rsid w:val="53C07F63"/>
    <w:rsid w:val="53C438F2"/>
    <w:rsid w:val="53E83463"/>
    <w:rsid w:val="542A3C12"/>
    <w:rsid w:val="54420CBA"/>
    <w:rsid w:val="54F56541"/>
    <w:rsid w:val="55124B31"/>
    <w:rsid w:val="55171FFF"/>
    <w:rsid w:val="55350E59"/>
    <w:rsid w:val="55674E7D"/>
    <w:rsid w:val="5579070C"/>
    <w:rsid w:val="55D55E82"/>
    <w:rsid w:val="55DB009C"/>
    <w:rsid w:val="55EE75F2"/>
    <w:rsid w:val="561F7505"/>
    <w:rsid w:val="56436807"/>
    <w:rsid w:val="568D26C1"/>
    <w:rsid w:val="56BF4CB5"/>
    <w:rsid w:val="58A837F2"/>
    <w:rsid w:val="59050888"/>
    <w:rsid w:val="590F5946"/>
    <w:rsid w:val="59482DD7"/>
    <w:rsid w:val="59EC7146"/>
    <w:rsid w:val="5A7BC720"/>
    <w:rsid w:val="5AC643F3"/>
    <w:rsid w:val="5AEF6D32"/>
    <w:rsid w:val="5AF92295"/>
    <w:rsid w:val="5B1E0B51"/>
    <w:rsid w:val="5B9E2C7A"/>
    <w:rsid w:val="5CD71FC4"/>
    <w:rsid w:val="5D026E4B"/>
    <w:rsid w:val="5D260A4A"/>
    <w:rsid w:val="5D5A50DE"/>
    <w:rsid w:val="5D937A86"/>
    <w:rsid w:val="5E323B4E"/>
    <w:rsid w:val="5E7B7EAA"/>
    <w:rsid w:val="5E8C56CC"/>
    <w:rsid w:val="5F0E0117"/>
    <w:rsid w:val="5F1E1F19"/>
    <w:rsid w:val="5F2345A8"/>
    <w:rsid w:val="5F5526B2"/>
    <w:rsid w:val="5FAA379E"/>
    <w:rsid w:val="5FB55B8B"/>
    <w:rsid w:val="5FDD68C8"/>
    <w:rsid w:val="5FF7504F"/>
    <w:rsid w:val="60030CDA"/>
    <w:rsid w:val="60065AA7"/>
    <w:rsid w:val="601A5CAC"/>
    <w:rsid w:val="60596AB4"/>
    <w:rsid w:val="610C4B2A"/>
    <w:rsid w:val="615362B5"/>
    <w:rsid w:val="615F10FE"/>
    <w:rsid w:val="619D24A1"/>
    <w:rsid w:val="61B54029"/>
    <w:rsid w:val="61B551C2"/>
    <w:rsid w:val="61DE305B"/>
    <w:rsid w:val="62157A0E"/>
    <w:rsid w:val="622D2FAA"/>
    <w:rsid w:val="625C1559"/>
    <w:rsid w:val="627B5AC3"/>
    <w:rsid w:val="63395D46"/>
    <w:rsid w:val="634058C1"/>
    <w:rsid w:val="634D614C"/>
    <w:rsid w:val="6370314E"/>
    <w:rsid w:val="63730E90"/>
    <w:rsid w:val="639D7EB8"/>
    <w:rsid w:val="63AB232A"/>
    <w:rsid w:val="63DF02D4"/>
    <w:rsid w:val="64620964"/>
    <w:rsid w:val="649B2251"/>
    <w:rsid w:val="64A84B6A"/>
    <w:rsid w:val="64B10AB2"/>
    <w:rsid w:val="64B972E7"/>
    <w:rsid w:val="65C75A59"/>
    <w:rsid w:val="660409AD"/>
    <w:rsid w:val="66065FEC"/>
    <w:rsid w:val="66376316"/>
    <w:rsid w:val="670E33AA"/>
    <w:rsid w:val="673812B4"/>
    <w:rsid w:val="675C16CA"/>
    <w:rsid w:val="67671600"/>
    <w:rsid w:val="677F747E"/>
    <w:rsid w:val="68050F4D"/>
    <w:rsid w:val="68185EDC"/>
    <w:rsid w:val="68264372"/>
    <w:rsid w:val="68272F3B"/>
    <w:rsid w:val="684C69F0"/>
    <w:rsid w:val="6881195A"/>
    <w:rsid w:val="68954F1D"/>
    <w:rsid w:val="691B374F"/>
    <w:rsid w:val="69297F8C"/>
    <w:rsid w:val="69747710"/>
    <w:rsid w:val="69885427"/>
    <w:rsid w:val="698B1703"/>
    <w:rsid w:val="6A55532F"/>
    <w:rsid w:val="6A9640DE"/>
    <w:rsid w:val="6AB02651"/>
    <w:rsid w:val="6AC351E5"/>
    <w:rsid w:val="6AF8120D"/>
    <w:rsid w:val="6B5E0C27"/>
    <w:rsid w:val="6BC049EA"/>
    <w:rsid w:val="6BCC0374"/>
    <w:rsid w:val="6BCD3F11"/>
    <w:rsid w:val="6BFFB6E5"/>
    <w:rsid w:val="6C021003"/>
    <w:rsid w:val="6C4A05C8"/>
    <w:rsid w:val="6C793A62"/>
    <w:rsid w:val="6C8222E0"/>
    <w:rsid w:val="6CA667C2"/>
    <w:rsid w:val="6CAE2F39"/>
    <w:rsid w:val="6CF01838"/>
    <w:rsid w:val="6CF53964"/>
    <w:rsid w:val="6DB8616B"/>
    <w:rsid w:val="6DE138FF"/>
    <w:rsid w:val="6DE67AA6"/>
    <w:rsid w:val="6DE7745A"/>
    <w:rsid w:val="6DFA5D10"/>
    <w:rsid w:val="6DFF3A4C"/>
    <w:rsid w:val="6E7E3605"/>
    <w:rsid w:val="6F2B60A7"/>
    <w:rsid w:val="6F6B5112"/>
    <w:rsid w:val="6F9E1043"/>
    <w:rsid w:val="6FF5CC65"/>
    <w:rsid w:val="702C29D3"/>
    <w:rsid w:val="707A1AB0"/>
    <w:rsid w:val="709A5484"/>
    <w:rsid w:val="71017ADB"/>
    <w:rsid w:val="711A6DEF"/>
    <w:rsid w:val="715C0E4B"/>
    <w:rsid w:val="718747D9"/>
    <w:rsid w:val="71B7596C"/>
    <w:rsid w:val="72734D90"/>
    <w:rsid w:val="72AC60EA"/>
    <w:rsid w:val="734B04A1"/>
    <w:rsid w:val="738549F4"/>
    <w:rsid w:val="73AA3A4F"/>
    <w:rsid w:val="73AD73D5"/>
    <w:rsid w:val="73B6EB34"/>
    <w:rsid w:val="73E208C2"/>
    <w:rsid w:val="74532FB1"/>
    <w:rsid w:val="74816EB6"/>
    <w:rsid w:val="7553467E"/>
    <w:rsid w:val="75BF3AC1"/>
    <w:rsid w:val="7697299D"/>
    <w:rsid w:val="7711272C"/>
    <w:rsid w:val="7727002A"/>
    <w:rsid w:val="773F310C"/>
    <w:rsid w:val="77585F7B"/>
    <w:rsid w:val="77DC1129"/>
    <w:rsid w:val="77EF3E32"/>
    <w:rsid w:val="78B31BEE"/>
    <w:rsid w:val="78E632BF"/>
    <w:rsid w:val="791B3704"/>
    <w:rsid w:val="791C31CA"/>
    <w:rsid w:val="792D3548"/>
    <w:rsid w:val="794269D6"/>
    <w:rsid w:val="79EE5BA4"/>
    <w:rsid w:val="7A3B3519"/>
    <w:rsid w:val="7A4A42A1"/>
    <w:rsid w:val="7A853E83"/>
    <w:rsid w:val="7A894339"/>
    <w:rsid w:val="7A8F1B5B"/>
    <w:rsid w:val="7ADA5348"/>
    <w:rsid w:val="7AF3360F"/>
    <w:rsid w:val="7B7B6C0A"/>
    <w:rsid w:val="7BDFBC63"/>
    <w:rsid w:val="7BFC0E68"/>
    <w:rsid w:val="7C105031"/>
    <w:rsid w:val="7C6A3066"/>
    <w:rsid w:val="7D254B52"/>
    <w:rsid w:val="7D5D44CB"/>
    <w:rsid w:val="7DAB5376"/>
    <w:rsid w:val="7DEB5256"/>
    <w:rsid w:val="7DF92299"/>
    <w:rsid w:val="7E274B82"/>
    <w:rsid w:val="7EAD3051"/>
    <w:rsid w:val="7EDB234E"/>
    <w:rsid w:val="7EEF11D3"/>
    <w:rsid w:val="7EFE0940"/>
    <w:rsid w:val="7F193AEF"/>
    <w:rsid w:val="7F3D6860"/>
    <w:rsid w:val="7F710522"/>
    <w:rsid w:val="7FA30C79"/>
    <w:rsid w:val="7FAD529C"/>
    <w:rsid w:val="7FC96657"/>
    <w:rsid w:val="CDFA4EF1"/>
    <w:rsid w:val="D8D6DB89"/>
    <w:rsid w:val="DB6F4CAB"/>
    <w:rsid w:val="DF6F9789"/>
    <w:rsid w:val="EBF6B32A"/>
    <w:rsid w:val="FAAF49B1"/>
    <w:rsid w:val="FD7A5BA3"/>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qFormat="1" w:unhideWhenUsed="0" w:uiPriority="0" w:semiHidden="0"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nhideWhenUsed="0" w:uiPriority="99" w:name="header"/>
    <w:lsdException w:qFormat="1" w:unhideWhenUsed="0" w:uiPriority="99" w:semiHidden="0" w:name="footer"/>
    <w:lsdException w:uiPriority="99" w:name="index heading"/>
    <w:lsdException w:qFormat="1" w:uiPriority="35" w:name="caption"/>
    <w:lsdException w:qFormat="1" w:unhideWhenUsed="0" w:uiPriority="0" w:semiHidden="0"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qFormat="1" w:unhideWhenUsed="0" w:uiPriority="0" w:semiHidden="0"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qFormat="1" w:unhideWhenUsed="0" w:uiPriority="99"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qFormat="1" w:unhideWhenUsed="0" w:uiPriority="0" w:semiHidden="0" w:name="Salutation"/>
    <w:lsdException w:uiPriority="99" w:name="Date"/>
    <w:lsdException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99"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link w:val="25"/>
    <w:qFormat/>
    <w:uiPriority w:val="9"/>
    <w:pPr>
      <w:keepNext/>
      <w:keepLines/>
      <w:spacing w:before="340" w:after="330" w:line="578" w:lineRule="auto"/>
      <w:outlineLvl w:val="0"/>
    </w:pPr>
    <w:rPr>
      <w:b/>
      <w:bCs/>
      <w:kern w:val="44"/>
      <w:sz w:val="44"/>
      <w:szCs w:val="44"/>
    </w:rPr>
  </w:style>
  <w:style w:type="paragraph" w:styleId="4">
    <w:name w:val="heading 2"/>
    <w:basedOn w:val="1"/>
    <w:next w:val="1"/>
    <w:link w:val="26"/>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5">
    <w:name w:val="heading 3"/>
    <w:basedOn w:val="1"/>
    <w:next w:val="1"/>
    <w:link w:val="27"/>
    <w:unhideWhenUsed/>
    <w:qFormat/>
    <w:uiPriority w:val="9"/>
    <w:pPr>
      <w:keepNext/>
      <w:keepLines/>
      <w:spacing w:before="260" w:after="260" w:line="416" w:lineRule="auto"/>
      <w:outlineLvl w:val="2"/>
    </w:pPr>
    <w:rPr>
      <w:b/>
      <w:bCs/>
      <w:sz w:val="32"/>
      <w:szCs w:val="32"/>
    </w:rPr>
  </w:style>
  <w:style w:type="character" w:default="1" w:styleId="22">
    <w:name w:val="Default Paragraph Font"/>
    <w:unhideWhenUsed/>
    <w:qFormat/>
    <w:uiPriority w:val="1"/>
  </w:style>
  <w:style w:type="table" w:default="1" w:styleId="2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customStyle="1" w:styleId="2">
    <w:name w:val="样式1"/>
    <w:basedOn w:val="1"/>
    <w:qFormat/>
    <w:uiPriority w:val="0"/>
    <w:rPr>
      <w:b/>
      <w:color w:val="538135"/>
      <w:sz w:val="28"/>
    </w:rPr>
  </w:style>
  <w:style w:type="paragraph" w:styleId="6">
    <w:name w:val="index 5"/>
    <w:next w:val="1"/>
    <w:qFormat/>
    <w:uiPriority w:val="0"/>
    <w:pPr>
      <w:widowControl w:val="0"/>
      <w:spacing w:line="576" w:lineRule="exact"/>
      <w:ind w:firstLine="200" w:firstLineChars="200"/>
      <w:jc w:val="both"/>
    </w:pPr>
    <w:rPr>
      <w:rFonts w:ascii="仿宋_GB2312" w:hAnsi="AR PL UKai CN" w:eastAsia="仿宋_GB2312" w:cs="Times New Roman"/>
      <w:bCs/>
      <w:kern w:val="2"/>
      <w:sz w:val="32"/>
      <w:szCs w:val="32"/>
      <w:lang w:val="en-US" w:eastAsia="zh-CN" w:bidi="ar-SA"/>
    </w:rPr>
  </w:style>
  <w:style w:type="paragraph" w:styleId="7">
    <w:name w:val="Salutation"/>
    <w:basedOn w:val="1"/>
    <w:next w:val="1"/>
    <w:qFormat/>
    <w:uiPriority w:val="0"/>
    <w:rPr>
      <w:rFonts w:ascii="Times New Roman" w:hAnsi="Times New Roman" w:cs="Times New Roman"/>
    </w:rPr>
  </w:style>
  <w:style w:type="paragraph" w:styleId="8">
    <w:name w:val="Body Text"/>
    <w:basedOn w:val="1"/>
    <w:link w:val="35"/>
    <w:qFormat/>
    <w:uiPriority w:val="99"/>
    <w:pPr>
      <w:spacing w:beforeLines="30"/>
    </w:pPr>
    <w:rPr>
      <w:rFonts w:ascii="仿宋_GB2312" w:eastAsia="仿宋_GB2312"/>
      <w:kern w:val="0"/>
      <w:sz w:val="30"/>
    </w:rPr>
  </w:style>
  <w:style w:type="paragraph" w:styleId="9">
    <w:name w:val="Body Text Indent"/>
    <w:basedOn w:val="1"/>
    <w:qFormat/>
    <w:uiPriority w:val="0"/>
    <w:pPr>
      <w:ind w:left="200" w:leftChars="200"/>
    </w:pPr>
  </w:style>
  <w:style w:type="paragraph" w:styleId="10">
    <w:name w:val="List 2"/>
    <w:basedOn w:val="1"/>
    <w:qFormat/>
    <w:uiPriority w:val="0"/>
    <w:pPr>
      <w:ind w:left="100" w:leftChars="200" w:hanging="200" w:hangingChars="200"/>
      <w:contextualSpacing/>
    </w:pPr>
  </w:style>
  <w:style w:type="paragraph" w:styleId="11">
    <w:name w:val="toc 3"/>
    <w:basedOn w:val="1"/>
    <w:next w:val="1"/>
    <w:unhideWhenUsed/>
    <w:qFormat/>
    <w:uiPriority w:val="39"/>
    <w:pPr>
      <w:tabs>
        <w:tab w:val="right" w:leader="dot" w:pos="8296"/>
      </w:tabs>
      <w:ind w:left="840" w:leftChars="400"/>
    </w:pPr>
  </w:style>
  <w:style w:type="paragraph" w:styleId="12">
    <w:name w:val="Balloon Text"/>
    <w:basedOn w:val="1"/>
    <w:link w:val="39"/>
    <w:semiHidden/>
    <w:unhideWhenUsed/>
    <w:qFormat/>
    <w:uiPriority w:val="99"/>
    <w:rPr>
      <w:sz w:val="18"/>
      <w:szCs w:val="18"/>
    </w:rPr>
  </w:style>
  <w:style w:type="paragraph" w:styleId="13">
    <w:name w:val="footer"/>
    <w:basedOn w:val="1"/>
    <w:link w:val="33"/>
    <w:qFormat/>
    <w:uiPriority w:val="99"/>
    <w:pPr>
      <w:tabs>
        <w:tab w:val="center" w:pos="4153"/>
        <w:tab w:val="right" w:pos="8306"/>
      </w:tabs>
      <w:snapToGrid w:val="0"/>
      <w:jc w:val="left"/>
    </w:pPr>
    <w:rPr>
      <w:rFonts w:ascii="Calibri" w:hAnsi="Calibri"/>
      <w:kern w:val="0"/>
      <w:sz w:val="18"/>
      <w:szCs w:val="18"/>
    </w:rPr>
  </w:style>
  <w:style w:type="paragraph" w:styleId="14">
    <w:name w:val="header"/>
    <w:basedOn w:val="1"/>
    <w:link w:val="31"/>
    <w:semiHidden/>
    <w:qFormat/>
    <w:uiPriority w:val="99"/>
    <w:pPr>
      <w:pBdr>
        <w:bottom w:val="single" w:color="auto" w:sz="6" w:space="1"/>
      </w:pBdr>
      <w:tabs>
        <w:tab w:val="center" w:pos="4153"/>
        <w:tab w:val="right" w:pos="8306"/>
      </w:tabs>
      <w:snapToGrid w:val="0"/>
      <w:jc w:val="center"/>
    </w:pPr>
    <w:rPr>
      <w:rFonts w:ascii="Calibri" w:hAnsi="Calibri"/>
      <w:kern w:val="0"/>
      <w:sz w:val="18"/>
      <w:szCs w:val="18"/>
    </w:rPr>
  </w:style>
  <w:style w:type="paragraph" w:styleId="15">
    <w:name w:val="toc 1"/>
    <w:basedOn w:val="1"/>
    <w:next w:val="1"/>
    <w:unhideWhenUsed/>
    <w:qFormat/>
    <w:uiPriority w:val="39"/>
    <w:pPr>
      <w:tabs>
        <w:tab w:val="right" w:leader="dot" w:pos="8296"/>
      </w:tabs>
      <w:spacing w:before="93"/>
      <w:jc w:val="center"/>
    </w:pPr>
    <w:rPr>
      <w:rFonts w:ascii="仿宋" w:hAnsi="仿宋" w:eastAsia="仿宋"/>
      <w:sz w:val="28"/>
      <w:szCs w:val="28"/>
    </w:rPr>
  </w:style>
  <w:style w:type="paragraph" w:styleId="16">
    <w:name w:val="table of figures"/>
    <w:basedOn w:val="1"/>
    <w:next w:val="1"/>
    <w:qFormat/>
    <w:uiPriority w:val="0"/>
    <w:pPr>
      <w:ind w:left="400" w:leftChars="200" w:hanging="200" w:hangingChars="200"/>
    </w:pPr>
  </w:style>
  <w:style w:type="paragraph" w:styleId="17">
    <w:name w:val="toc 2"/>
    <w:basedOn w:val="1"/>
    <w:next w:val="1"/>
    <w:unhideWhenUsed/>
    <w:qFormat/>
    <w:uiPriority w:val="39"/>
    <w:pPr>
      <w:tabs>
        <w:tab w:val="right" w:leader="dot" w:pos="8296"/>
      </w:tabs>
      <w:ind w:left="420" w:leftChars="200"/>
    </w:pPr>
  </w:style>
  <w:style w:type="paragraph" w:styleId="18">
    <w:name w:val="Normal (Web)"/>
    <w:basedOn w:val="1"/>
    <w:semiHidden/>
    <w:unhideWhenUsed/>
    <w:qFormat/>
    <w:uiPriority w:val="99"/>
    <w:pPr>
      <w:spacing w:before="0" w:beforeAutospacing="1" w:after="0" w:afterAutospacing="1"/>
      <w:ind w:left="0" w:right="0"/>
      <w:jc w:val="left"/>
    </w:pPr>
    <w:rPr>
      <w:kern w:val="0"/>
      <w:sz w:val="24"/>
      <w:lang w:val="en-US" w:eastAsia="zh-CN" w:bidi="ar"/>
    </w:rPr>
  </w:style>
  <w:style w:type="paragraph" w:styleId="19">
    <w:name w:val="Body Text First Indent 2"/>
    <w:basedOn w:val="9"/>
    <w:qFormat/>
    <w:uiPriority w:val="0"/>
    <w:pPr>
      <w:ind w:firstLine="420"/>
    </w:pPr>
  </w:style>
  <w:style w:type="table" w:styleId="21">
    <w:name w:val="Table Grid"/>
    <w:basedOn w:val="20"/>
    <w:qFormat/>
    <w:uiPriority w:val="59"/>
    <w:pPr>
      <w:keepNext w:val="0"/>
      <w:keepLines w:val="0"/>
      <w:widowControl w:val="0"/>
      <w:suppressLineNumbers w:val="0"/>
      <w:spacing w:before="0" w:beforeAutospacing="0" w:after="0" w:afterAutospacing="0"/>
      <w:ind w:left="0" w:right="0"/>
      <w:jc w:val="both"/>
    </w:pPr>
    <w:rPr>
      <w:rFonts w:hint="default" w:ascii="Times New Roman" w:hAnsi="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tcPr>
      <w:tcBorders>
        <w:top w:val="single" w:color="auto" w:sz="4" w:space="0"/>
        <w:left w:val="single" w:color="auto" w:sz="4" w:space="0"/>
        <w:bottom w:val="single" w:color="auto" w:sz="4" w:space="0"/>
        <w:right w:val="single" w:color="auto" w:sz="4" w:space="0"/>
      </w:tcBorders>
    </w:tcPr>
  </w:style>
  <w:style w:type="character" w:styleId="23">
    <w:name w:val="Strong"/>
    <w:basedOn w:val="22"/>
    <w:qFormat/>
    <w:uiPriority w:val="99"/>
    <w:rPr>
      <w:b/>
    </w:rPr>
  </w:style>
  <w:style w:type="character" w:styleId="24">
    <w:name w:val="Hyperlink"/>
    <w:basedOn w:val="22"/>
    <w:unhideWhenUsed/>
    <w:qFormat/>
    <w:uiPriority w:val="99"/>
    <w:rPr>
      <w:color w:val="0000FF" w:themeColor="hyperlink"/>
      <w:u w:val="single"/>
      <w14:textFill>
        <w14:solidFill>
          <w14:schemeClr w14:val="hlink"/>
        </w14:solidFill>
      </w14:textFill>
    </w:rPr>
  </w:style>
  <w:style w:type="character" w:customStyle="1" w:styleId="25">
    <w:name w:val="标题 1 Char"/>
    <w:basedOn w:val="22"/>
    <w:link w:val="3"/>
    <w:qFormat/>
    <w:uiPriority w:val="9"/>
    <w:rPr>
      <w:rFonts w:ascii="Times New Roman" w:hAnsi="Times New Roman"/>
      <w:b/>
      <w:bCs/>
      <w:kern w:val="44"/>
      <w:sz w:val="44"/>
      <w:szCs w:val="44"/>
    </w:rPr>
  </w:style>
  <w:style w:type="character" w:customStyle="1" w:styleId="26">
    <w:name w:val="标题 2 Char"/>
    <w:basedOn w:val="22"/>
    <w:link w:val="4"/>
    <w:qFormat/>
    <w:uiPriority w:val="9"/>
    <w:rPr>
      <w:rFonts w:asciiTheme="majorHAnsi" w:hAnsiTheme="majorHAnsi" w:eastAsiaTheme="majorEastAsia" w:cstheme="majorBidi"/>
      <w:b/>
      <w:bCs/>
      <w:kern w:val="2"/>
      <w:sz w:val="32"/>
      <w:szCs w:val="32"/>
    </w:rPr>
  </w:style>
  <w:style w:type="character" w:customStyle="1" w:styleId="27">
    <w:name w:val="标题 3 Char"/>
    <w:basedOn w:val="22"/>
    <w:link w:val="5"/>
    <w:qFormat/>
    <w:uiPriority w:val="9"/>
    <w:rPr>
      <w:rFonts w:ascii="Times New Roman" w:hAnsi="Times New Roman"/>
      <w:b/>
      <w:bCs/>
      <w:kern w:val="2"/>
      <w:sz w:val="32"/>
      <w:szCs w:val="32"/>
    </w:rPr>
  </w:style>
  <w:style w:type="paragraph" w:customStyle="1" w:styleId="28">
    <w:name w:val="标题 5（有编号）（绿盟科技）"/>
    <w:basedOn w:val="1"/>
    <w:next w:val="1"/>
    <w:qFormat/>
    <w:uiPriority w:val="0"/>
    <w:pPr>
      <w:keepNext/>
      <w:keepLines/>
      <w:widowControl w:val="0"/>
      <w:suppressLineNumbers w:val="0"/>
      <w:spacing w:before="280" w:beforeAutospacing="0" w:after="156" w:afterAutospacing="0" w:line="376" w:lineRule="auto"/>
      <w:jc w:val="left"/>
      <w:outlineLvl w:val="4"/>
    </w:pPr>
    <w:rPr>
      <w:rFonts w:hint="default" w:ascii="Arial" w:hAnsi="Arial" w:eastAsia="黑体" w:cs="Times New Roman"/>
      <w:b/>
      <w:kern w:val="2"/>
      <w:sz w:val="24"/>
      <w:szCs w:val="24"/>
      <w:lang w:val="en-US" w:eastAsia="zh-CN" w:bidi="ar"/>
    </w:rPr>
  </w:style>
  <w:style w:type="paragraph" w:customStyle="1" w:styleId="29">
    <w:name w:val="No Spacing1"/>
    <w:qFormat/>
    <w:uiPriority w:val="0"/>
    <w:pPr>
      <w:widowControl w:val="0"/>
      <w:jc w:val="both"/>
    </w:pPr>
    <w:rPr>
      <w:rFonts w:ascii="Calibri" w:hAnsi="Calibri" w:eastAsia="宋体" w:cs="黑体"/>
      <w:kern w:val="2"/>
      <w:sz w:val="21"/>
      <w:szCs w:val="22"/>
      <w:lang w:val="en-US" w:eastAsia="zh-CN" w:bidi="ar-SA"/>
    </w:rPr>
  </w:style>
  <w:style w:type="character" w:customStyle="1" w:styleId="30">
    <w:name w:val="Header Char"/>
    <w:basedOn w:val="22"/>
    <w:semiHidden/>
    <w:qFormat/>
    <w:uiPriority w:val="99"/>
    <w:rPr>
      <w:rFonts w:ascii="Times New Roman" w:hAnsi="Times New Roman"/>
      <w:sz w:val="18"/>
      <w:szCs w:val="18"/>
    </w:rPr>
  </w:style>
  <w:style w:type="character" w:customStyle="1" w:styleId="31">
    <w:name w:val="页眉 Char"/>
    <w:link w:val="14"/>
    <w:semiHidden/>
    <w:qFormat/>
    <w:locked/>
    <w:uiPriority w:val="99"/>
    <w:rPr>
      <w:sz w:val="18"/>
    </w:rPr>
  </w:style>
  <w:style w:type="character" w:customStyle="1" w:styleId="32">
    <w:name w:val="Footer Char"/>
    <w:basedOn w:val="22"/>
    <w:semiHidden/>
    <w:qFormat/>
    <w:uiPriority w:val="99"/>
    <w:rPr>
      <w:rFonts w:ascii="Times New Roman" w:hAnsi="Times New Roman"/>
      <w:sz w:val="18"/>
      <w:szCs w:val="18"/>
    </w:rPr>
  </w:style>
  <w:style w:type="character" w:customStyle="1" w:styleId="33">
    <w:name w:val="页脚 Char"/>
    <w:link w:val="13"/>
    <w:qFormat/>
    <w:locked/>
    <w:uiPriority w:val="99"/>
    <w:rPr>
      <w:sz w:val="18"/>
    </w:rPr>
  </w:style>
  <w:style w:type="character" w:customStyle="1" w:styleId="34">
    <w:name w:val="Body Text Char"/>
    <w:basedOn w:val="22"/>
    <w:semiHidden/>
    <w:qFormat/>
    <w:uiPriority w:val="99"/>
    <w:rPr>
      <w:rFonts w:ascii="Times New Roman" w:hAnsi="Times New Roman"/>
      <w:szCs w:val="24"/>
    </w:rPr>
  </w:style>
  <w:style w:type="character" w:customStyle="1" w:styleId="35">
    <w:name w:val="正文文本 Char"/>
    <w:link w:val="8"/>
    <w:qFormat/>
    <w:locked/>
    <w:uiPriority w:val="99"/>
    <w:rPr>
      <w:rFonts w:ascii="仿宋_GB2312" w:hAnsi="Times New Roman" w:eastAsia="仿宋_GB2312"/>
      <w:sz w:val="24"/>
    </w:rPr>
  </w:style>
  <w:style w:type="paragraph" w:customStyle="1" w:styleId="36">
    <w:name w:val="Default"/>
    <w:qFormat/>
    <w:uiPriority w:val="99"/>
    <w:pPr>
      <w:widowControl w:val="0"/>
      <w:autoSpaceDE w:val="0"/>
      <w:autoSpaceDN w:val="0"/>
      <w:adjustRightInd w:val="0"/>
    </w:pPr>
    <w:rPr>
      <w:rFonts w:ascii="仿宋" w:hAnsi="Calibri" w:eastAsia="仿宋" w:cs="仿宋"/>
      <w:color w:val="000000"/>
      <w:sz w:val="24"/>
      <w:szCs w:val="24"/>
      <w:lang w:val="en-US" w:eastAsia="zh-CN" w:bidi="ar-SA"/>
    </w:rPr>
  </w:style>
  <w:style w:type="paragraph" w:styleId="37">
    <w:name w:val="List Paragraph"/>
    <w:basedOn w:val="1"/>
    <w:qFormat/>
    <w:uiPriority w:val="34"/>
    <w:pPr>
      <w:ind w:firstLine="420" w:firstLineChars="200"/>
    </w:pPr>
  </w:style>
  <w:style w:type="paragraph" w:customStyle="1" w:styleId="38">
    <w:name w:val="TOC 标题1"/>
    <w:basedOn w:val="3"/>
    <w:next w:val="1"/>
    <w:unhideWhenUsed/>
    <w:qFormat/>
    <w:uiPriority w:val="39"/>
    <w:pPr>
      <w:widowControl/>
      <w:spacing w:before="480" w:after="0" w:line="276" w:lineRule="auto"/>
      <w:jc w:val="left"/>
      <w:outlineLvl w:val="9"/>
    </w:pPr>
    <w:rPr>
      <w:rFonts w:asciiTheme="majorHAnsi" w:hAnsiTheme="majorHAnsi" w:eastAsiaTheme="majorEastAsia" w:cstheme="majorBidi"/>
      <w:color w:val="376092" w:themeColor="accent1" w:themeShade="BF"/>
      <w:kern w:val="0"/>
      <w:sz w:val="28"/>
      <w:szCs w:val="28"/>
    </w:rPr>
  </w:style>
  <w:style w:type="character" w:customStyle="1" w:styleId="39">
    <w:name w:val="批注框文本 Char"/>
    <w:basedOn w:val="22"/>
    <w:link w:val="12"/>
    <w:semiHidden/>
    <w:qFormat/>
    <w:uiPriority w:val="99"/>
    <w:rPr>
      <w:rFonts w:ascii="Times New Roman" w:hAnsi="Times New Roman"/>
      <w:kern w:val="2"/>
      <w:sz w:val="18"/>
      <w:szCs w:val="18"/>
    </w:rPr>
  </w:style>
  <w:style w:type="paragraph" w:customStyle="1" w:styleId="40">
    <w:name w:val="TOC Heading"/>
    <w:basedOn w:val="3"/>
    <w:next w:val="1"/>
    <w:unhideWhenUsed/>
    <w:qFormat/>
    <w:uiPriority w:val="39"/>
    <w:pPr>
      <w:widowControl/>
      <w:spacing w:before="480" w:after="0" w:line="276" w:lineRule="auto"/>
      <w:jc w:val="left"/>
      <w:outlineLvl w:val="9"/>
    </w:pPr>
    <w:rPr>
      <w:rFonts w:asciiTheme="majorHAnsi" w:hAnsiTheme="majorHAnsi" w:eastAsiaTheme="majorEastAsia" w:cstheme="majorBidi"/>
      <w:color w:val="376092" w:themeColor="accent1" w:themeShade="BF"/>
      <w:kern w:val="0"/>
      <w:sz w:val="28"/>
      <w:szCs w:val="28"/>
    </w:rPr>
  </w:style>
  <w:style w:type="paragraph" w:customStyle="1" w:styleId="41">
    <w:name w:val="四号正文"/>
    <w:basedOn w:val="1"/>
    <w:qFormat/>
    <w:uiPriority w:val="0"/>
    <w:pPr>
      <w:spacing w:line="360" w:lineRule="auto"/>
    </w:pPr>
    <w:rPr>
      <w:rFonts w:ascii="??" w:hAnsi="??" w:eastAsia="宋体"/>
      <w:color w:val="000000"/>
      <w:kern w:val="0"/>
      <w:sz w:val="28"/>
      <w:szCs w:val="21"/>
      <w:lang w:val="zh-CN" w:eastAsia="zh-CN"/>
    </w:rPr>
  </w:style>
  <w:style w:type="character" w:customStyle="1" w:styleId="42">
    <w:name w:val="font11"/>
    <w:basedOn w:val="22"/>
    <w:qFormat/>
    <w:uiPriority w:val="0"/>
    <w:rPr>
      <w:rFonts w:hint="eastAsia" w:ascii="宋体" w:hAnsi="宋体" w:eastAsia="宋体" w:cs="宋体"/>
      <w:color w:val="000000"/>
      <w:sz w:val="24"/>
      <w:szCs w:val="24"/>
      <w:u w:val="none"/>
    </w:rPr>
  </w:style>
  <w:style w:type="character" w:customStyle="1" w:styleId="43">
    <w:name w:val="font31"/>
    <w:basedOn w:val="22"/>
    <w:qFormat/>
    <w:uiPriority w:val="0"/>
    <w:rPr>
      <w:rFonts w:hint="eastAsia" w:ascii="宋体" w:hAnsi="宋体" w:eastAsia="宋体" w:cs="宋体"/>
      <w:color w:val="000000"/>
      <w:sz w:val="16"/>
      <w:szCs w:val="16"/>
      <w:u w:val="none"/>
    </w:rPr>
  </w:style>
  <w:style w:type="character" w:customStyle="1" w:styleId="44">
    <w:name w:val="font51"/>
    <w:basedOn w:val="22"/>
    <w:qFormat/>
    <w:uiPriority w:val="0"/>
    <w:rPr>
      <w:rFonts w:hint="eastAsia" w:ascii="宋体" w:hAnsi="宋体" w:eastAsia="宋体" w:cs="宋体"/>
      <w:color w:val="000000"/>
      <w:sz w:val="22"/>
      <w:szCs w:val="22"/>
      <w:u w:val="none"/>
    </w:rPr>
  </w:style>
  <w:style w:type="character" w:customStyle="1" w:styleId="45">
    <w:name w:val="font41"/>
    <w:basedOn w:val="22"/>
    <w:qFormat/>
    <w:uiPriority w:val="0"/>
    <w:rPr>
      <w:rFonts w:hint="eastAsia" w:ascii="宋体" w:hAnsi="宋体" w:eastAsia="宋体" w:cs="宋体"/>
      <w:color w:val="000000"/>
      <w:sz w:val="24"/>
      <w:szCs w:val="24"/>
      <w:u w:val="none"/>
    </w:rPr>
  </w:style>
  <w:style w:type="character" w:customStyle="1" w:styleId="46">
    <w:name w:val="font21"/>
    <w:basedOn w:val="22"/>
    <w:qFormat/>
    <w:uiPriority w:val="0"/>
    <w:rPr>
      <w:rFonts w:hint="eastAsia" w:ascii="宋体" w:hAnsi="宋体" w:eastAsia="宋体" w:cs="宋体"/>
      <w:color w:val="000000"/>
      <w:sz w:val="22"/>
      <w:szCs w:val="22"/>
      <w:u w:val="none"/>
    </w:rPr>
  </w:style>
  <w:style w:type="paragraph" w:customStyle="1" w:styleId="47">
    <w:name w:val="WPSOffice手动目录 1"/>
    <w:qFormat/>
    <w:uiPriority w:val="0"/>
    <w:pPr>
      <w:ind w:leftChars="0"/>
    </w:pPr>
    <w:rPr>
      <w:rFonts w:ascii="Times New Roman" w:hAnsi="Times New Roman" w:eastAsia="宋体" w:cs="Times New Roman"/>
      <w:sz w:val="20"/>
      <w:szCs w:val="20"/>
    </w:rPr>
  </w:style>
  <w:style w:type="paragraph" w:customStyle="1" w:styleId="48">
    <w:name w:val="WPSOffice手动目录 2"/>
    <w:qFormat/>
    <w:uiPriority w:val="0"/>
    <w:pPr>
      <w:ind w:leftChars="200"/>
    </w:pPr>
    <w:rPr>
      <w:rFonts w:ascii="Times New Roman" w:hAnsi="Times New Roman" w:eastAsia="宋体" w:cs="Times New Roman"/>
      <w:sz w:val="20"/>
      <w:szCs w:val="20"/>
    </w:rPr>
  </w:style>
  <w:style w:type="character" w:customStyle="1" w:styleId="49">
    <w:name w:val="15"/>
    <w:qFormat/>
    <w:uiPriority w:val="0"/>
    <w:rPr>
      <w:rFonts w:ascii="Calibri" w:hAnsi="Calibri" w:eastAsia="宋体" w:cs="Times New Roman"/>
      <w:lang w:bidi="ar-SA"/>
    </w:rPr>
  </w:style>
  <w:style w:type="character" w:customStyle="1" w:styleId="50">
    <w:name w:val="NormalCharacter"/>
    <w:semiHidden/>
    <w:qFormat/>
    <w:uiPriority w:val="0"/>
  </w:style>
  <w:style w:type="paragraph" w:customStyle="1" w:styleId="51">
    <w:name w:val="列出段落"/>
    <w:basedOn w:val="1"/>
    <w:qFormat/>
    <w:uiPriority w:val="0"/>
    <w:pPr>
      <w:keepNext w:val="0"/>
      <w:keepLines w:val="0"/>
      <w:widowControl w:val="0"/>
      <w:suppressLineNumbers w:val="0"/>
      <w:spacing w:before="0" w:beforeAutospacing="0" w:after="0" w:afterAutospacing="0"/>
      <w:ind w:left="0" w:right="0" w:firstLine="200" w:firstLineChars="200"/>
      <w:jc w:val="both"/>
    </w:pPr>
    <w:rPr>
      <w:rFonts w:hint="default" w:ascii="Calibri" w:hAnsi="Calibri" w:eastAsia="仿宋_GB2312" w:cs="Calibri"/>
      <w:kern w:val="2"/>
      <w:sz w:val="32"/>
      <w:szCs w:val="32"/>
      <w:lang w:val="en-US" w:eastAsia="zh-CN" w:bidi="ar"/>
    </w:rPr>
  </w:style>
  <w:style w:type="character" w:customStyle="1" w:styleId="52">
    <w:name w:val="font101"/>
    <w:basedOn w:val="22"/>
    <w:qFormat/>
    <w:uiPriority w:val="0"/>
    <w:rPr>
      <w:rFonts w:hint="eastAsia" w:ascii="宋体" w:hAnsi="宋体" w:eastAsia="宋体" w:cs="宋体"/>
      <w:color w:val="000000"/>
      <w:sz w:val="18"/>
      <w:szCs w:val="18"/>
      <w:u w:val="none"/>
    </w:rPr>
  </w:style>
  <w:style w:type="paragraph" w:customStyle="1" w:styleId="53">
    <w:name w:val="table of figures1"/>
    <w:basedOn w:val="1"/>
    <w:next w:val="1"/>
    <w:qFormat/>
    <w:uiPriority w:val="0"/>
    <w:pPr>
      <w:ind w:left="400" w:leftChars="200" w:hanging="200" w:hangingChars="200"/>
    </w:pPr>
    <w:rPr>
      <w:rFonts w:eastAsia="仿宋_GB2312"/>
      <w:sz w:val="32"/>
      <w:szCs w:val="32"/>
    </w:rPr>
  </w:style>
  <w:style w:type="character" w:customStyle="1" w:styleId="54">
    <w:name w:val="font121"/>
    <w:basedOn w:val="22"/>
    <w:qFormat/>
    <w:uiPriority w:val="0"/>
    <w:rPr>
      <w:rFonts w:hint="eastAsia" w:ascii="黑体" w:hAnsi="宋体" w:eastAsia="黑体" w:cs="黑体"/>
      <w:color w:val="000000"/>
      <w:sz w:val="18"/>
      <w:szCs w:val="18"/>
      <w:u w:val="none"/>
    </w:rPr>
  </w:style>
  <w:style w:type="character" w:customStyle="1" w:styleId="55">
    <w:name w:val="font71"/>
    <w:basedOn w:val="22"/>
    <w:qFormat/>
    <w:uiPriority w:val="0"/>
    <w:rPr>
      <w:rFonts w:hint="eastAsia" w:ascii="微软雅黑" w:hAnsi="微软雅黑" w:eastAsia="微软雅黑" w:cs="微软雅黑"/>
      <w:i/>
      <w:iCs/>
      <w:color w:val="000000"/>
      <w:sz w:val="16"/>
      <w:szCs w:val="16"/>
      <w:u w:val="none"/>
    </w:rPr>
  </w:style>
  <w:style w:type="character" w:customStyle="1" w:styleId="56">
    <w:name w:val="font61"/>
    <w:basedOn w:val="22"/>
    <w:qFormat/>
    <w:uiPriority w:val="0"/>
    <w:rPr>
      <w:rFonts w:hint="eastAsia" w:ascii="宋体" w:hAnsi="宋体" w:eastAsia="宋体" w:cs="宋体"/>
      <w:color w:val="000000"/>
      <w:sz w:val="18"/>
      <w:szCs w:val="18"/>
      <w:u w:val="none"/>
    </w:rPr>
  </w:style>
  <w:style w:type="character" w:customStyle="1" w:styleId="57">
    <w:name w:val="font301"/>
    <w:basedOn w:val="22"/>
    <w:qFormat/>
    <w:uiPriority w:val="0"/>
    <w:rPr>
      <w:rFonts w:hint="eastAsia" w:ascii="宋体" w:hAnsi="宋体" w:eastAsia="宋体" w:cs="宋体"/>
      <w:i/>
      <w:iCs/>
      <w:color w:val="000000"/>
      <w:sz w:val="16"/>
      <w:szCs w:val="16"/>
      <w:u w:val="none"/>
    </w:rPr>
  </w:style>
  <w:style w:type="character" w:customStyle="1" w:styleId="58">
    <w:name w:val="font91"/>
    <w:basedOn w:val="22"/>
    <w:qFormat/>
    <w:uiPriority w:val="0"/>
    <w:rPr>
      <w:rFonts w:hint="eastAsia" w:ascii="微软雅黑" w:hAnsi="微软雅黑" w:eastAsia="微软雅黑" w:cs="微软雅黑"/>
      <w:color w:val="000000"/>
      <w:sz w:val="16"/>
      <w:szCs w:val="16"/>
      <w:u w:val="none"/>
    </w:rPr>
  </w:style>
  <w:style w:type="character" w:customStyle="1" w:styleId="59">
    <w:name w:val="font81"/>
    <w:basedOn w:val="22"/>
    <w:qFormat/>
    <w:uiPriority w:val="0"/>
    <w:rPr>
      <w:rFonts w:hint="eastAsia" w:ascii="宋体" w:hAnsi="宋体" w:eastAsia="宋体" w:cs="宋体"/>
      <w:color w:val="000000"/>
      <w:sz w:val="16"/>
      <w:szCs w:val="16"/>
      <w:u w:val="none"/>
    </w:rPr>
  </w:style>
  <w:style w:type="paragraph" w:customStyle="1" w:styleId="60">
    <w:name w:val="引用1"/>
    <w:next w:val="1"/>
    <w:qFormat/>
    <w:uiPriority w:val="0"/>
    <w:pPr>
      <w:wordWrap w:val="0"/>
      <w:spacing w:before="200" w:after="160"/>
      <w:ind w:left="864" w:right="864"/>
      <w:jc w:val="center"/>
    </w:pPr>
    <w:rPr>
      <w:rFonts w:ascii="Times New Roman" w:hAnsi="Times New Roman" w:eastAsia="宋体" w:cs="Times New Roman"/>
      <w:i/>
      <w:sz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4.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footer" Target="footer2.xml"/><Relationship Id="rId4" Type="http://schemas.openxmlformats.org/officeDocument/2006/relationships/footer" Target="footer1.xml"/><Relationship Id="rId32" Type="http://schemas.openxmlformats.org/officeDocument/2006/relationships/fontTable" Target="fontTable.xml"/><Relationship Id="rId31" Type="http://schemas.openxmlformats.org/officeDocument/2006/relationships/numbering" Target="numbering.xml"/><Relationship Id="rId30" Type="http://schemas.openxmlformats.org/officeDocument/2006/relationships/customXml" Target="../customXml/item1.xml"/><Relationship Id="rId3" Type="http://schemas.openxmlformats.org/officeDocument/2006/relationships/header" Target="header1.xml"/><Relationship Id="rId29" Type="http://schemas.openxmlformats.org/officeDocument/2006/relationships/image" Target="media/image7.emf"/><Relationship Id="rId28" Type="http://schemas.openxmlformats.org/officeDocument/2006/relationships/oleObject" Target="embeddings/oleObject7.bin"/><Relationship Id="rId27" Type="http://schemas.openxmlformats.org/officeDocument/2006/relationships/image" Target="media/image6.emf"/><Relationship Id="rId26" Type="http://schemas.openxmlformats.org/officeDocument/2006/relationships/oleObject" Target="embeddings/oleObject6.bin"/><Relationship Id="rId25" Type="http://schemas.openxmlformats.org/officeDocument/2006/relationships/image" Target="media/image5.emf"/><Relationship Id="rId24" Type="http://schemas.openxmlformats.org/officeDocument/2006/relationships/oleObject" Target="embeddings/oleObject5.bin"/><Relationship Id="rId23" Type="http://schemas.openxmlformats.org/officeDocument/2006/relationships/image" Target="media/image4.emf"/><Relationship Id="rId22" Type="http://schemas.openxmlformats.org/officeDocument/2006/relationships/oleObject" Target="embeddings/oleObject4.bin"/><Relationship Id="rId21" Type="http://schemas.openxmlformats.org/officeDocument/2006/relationships/image" Target="media/image3.emf"/><Relationship Id="rId20" Type="http://schemas.openxmlformats.org/officeDocument/2006/relationships/oleObject" Target="embeddings/oleObject3.bin"/><Relationship Id="rId2" Type="http://schemas.openxmlformats.org/officeDocument/2006/relationships/settings" Target="settings.xml"/><Relationship Id="rId19" Type="http://schemas.openxmlformats.org/officeDocument/2006/relationships/image" Target="media/image2.emf"/><Relationship Id="rId18" Type="http://schemas.openxmlformats.org/officeDocument/2006/relationships/oleObject" Target="embeddings/oleObject2.bin"/><Relationship Id="rId17" Type="http://schemas.openxmlformats.org/officeDocument/2006/relationships/image" Target="media/image1.emf"/><Relationship Id="rId16" Type="http://schemas.openxmlformats.org/officeDocument/2006/relationships/oleObject" Target="embeddings/oleObject1.bin"/><Relationship Id="rId15" Type="http://schemas.openxmlformats.org/officeDocument/2006/relationships/theme" Target="theme/theme1.xml"/><Relationship Id="rId14" Type="http://schemas.openxmlformats.org/officeDocument/2006/relationships/footer" Target="footer7.xml"/><Relationship Id="rId13" Type="http://schemas.openxmlformats.org/officeDocument/2006/relationships/footer" Target="footer6.xml"/><Relationship Id="rId12" Type="http://schemas.openxmlformats.org/officeDocument/2006/relationships/header" Target="header5.xml"/><Relationship Id="rId11" Type="http://schemas.openxmlformats.org/officeDocument/2006/relationships/footer" Target="footer5.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7" Type="http://schemas.openxmlformats.org/officeDocument/2006/relationships/font" Target="fonts/font17.odttf"/><Relationship Id="rId16" Type="http://schemas.openxmlformats.org/officeDocument/2006/relationships/font" Target="fonts/font16.odttf"/><Relationship Id="rId15" Type="http://schemas.openxmlformats.org/officeDocument/2006/relationships/font" Target="fonts/font15.odttf"/><Relationship Id="rId14" Type="http://schemas.openxmlformats.org/officeDocument/2006/relationships/font" Target="fonts/font14.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6" textRotate="1"/>
    <customShpInfo spid="_x0000_s2050" textRotate="1"/>
    <customShpInfo spid="_x0000_s2051"/>
    <customShpInfo spid="_x0000_s2052"/>
    <customShpInfo spid="_x0000_s2053"/>
    <customShpInfo spid="_x0000_s2054"/>
    <customShpInfo spid="_x0000_s2055"/>
    <customShpInfo spid="_x0000_s205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Company>四川省财政厅</Company>
  <Pages>322</Pages>
  <Words>131274</Words>
  <Characters>142360</Characters>
  <Lines>1</Lines>
  <Paragraphs>1</Paragraphs>
  <TotalTime>8</TotalTime>
  <ScaleCrop>false</ScaleCrop>
  <LinksUpToDate>false</LinksUpToDate>
  <CharactersWithSpaces>144159</CharactersWithSpaces>
  <Application>WPS Office_12.1.0.18276_F1E327BC-269C-435d-A152-05C5408002CA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2020-08-05T17:49:00Z</dcterms:created>
  <dc:creator>曹颖</dc:creator>
  <cp:lastModifiedBy>财务室:魏小丹</cp:lastModifiedBy>
  <cp:lastPrinted>2022-09-19T19:32:00Z</cp:lastPrinted>
  <dcterms:modified xsi:type="dcterms:W3CDTF">2024-09-29T09:32:29Z</dcterms:modified>
  <dc:title>四川省***</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2052-12.1.0.18276</vt:lpwstr>
  </property>
  <property fmtid="{D5CDD505-2E9C-101B-9397-08002B2CF9AE}" pid="3" name="ICV">
    <vt:lpwstr>71EE4C5B63CC42F888BCD11980679D2B</vt:lpwstr>
  </property>
</Properties>
</file>